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BC667" w14:textId="6D51D5A8" w:rsidR="00E7451B" w:rsidRPr="00E7451B" w:rsidRDefault="00E7451B" w:rsidP="00E7451B">
      <w:pPr>
        <w:spacing w:after="200" w:line="480" w:lineRule="auto"/>
        <w:jc w:val="center"/>
        <w:rPr>
          <w:b/>
          <w:lang w:val="es-CO" w:eastAsia="es-CO"/>
        </w:rPr>
      </w:pPr>
      <w:r>
        <w:rPr>
          <w:b/>
          <w:noProof/>
          <w:lang w:eastAsia="es-AR"/>
        </w:rPr>
        <w:drawing>
          <wp:inline distT="114300" distB="114300" distL="114300" distR="114300" wp14:anchorId="09A21404" wp14:editId="29E68E3C">
            <wp:extent cx="2281238" cy="748246"/>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1238" cy="748246"/>
                    </a:xfrm>
                    <a:prstGeom prst="rect">
                      <a:avLst/>
                    </a:prstGeom>
                    <a:ln/>
                  </pic:spPr>
                </pic:pic>
              </a:graphicData>
            </a:graphic>
          </wp:inline>
        </w:drawing>
      </w:r>
    </w:p>
    <w:p w14:paraId="361C6CA3" w14:textId="2D32E282" w:rsidR="00E7451B" w:rsidRDefault="00E7451B" w:rsidP="00E7451B">
      <w:pPr>
        <w:spacing w:after="200" w:line="480" w:lineRule="auto"/>
        <w:rPr>
          <w:b/>
          <w:lang w:val="es-CO" w:eastAsia="es-CO"/>
        </w:rPr>
      </w:pPr>
      <w:r w:rsidRPr="00E7451B">
        <w:rPr>
          <w:b/>
          <w:lang w:val="es-CO" w:eastAsia="es-CO"/>
        </w:rPr>
        <w:t xml:space="preserve">Artículo de investigación </w:t>
      </w:r>
    </w:p>
    <w:p w14:paraId="142856DE" w14:textId="77777777" w:rsidR="00E7451B" w:rsidRPr="00E7451B" w:rsidRDefault="00E7451B" w:rsidP="00E7451B">
      <w:pPr>
        <w:spacing w:after="200" w:line="480" w:lineRule="auto"/>
        <w:rPr>
          <w:b/>
          <w:lang w:val="es-CO" w:eastAsia="es-CO"/>
        </w:rPr>
      </w:pPr>
    </w:p>
    <w:p w14:paraId="7B80866C" w14:textId="7B2F7283" w:rsidR="00E7451B" w:rsidRDefault="00E7451B" w:rsidP="00570047">
      <w:pPr>
        <w:spacing w:line="480" w:lineRule="auto"/>
        <w:jc w:val="center"/>
        <w:rPr>
          <w:b/>
          <w:lang w:val="es-ES"/>
        </w:rPr>
      </w:pPr>
      <w:proofErr w:type="spellStart"/>
      <w:r w:rsidRPr="00617BB1">
        <w:rPr>
          <w:b/>
          <w:lang w:val="es-ES"/>
        </w:rPr>
        <w:t>Electrobiorremediación</w:t>
      </w:r>
      <w:proofErr w:type="spellEnd"/>
      <w:r w:rsidRPr="00617BB1">
        <w:rPr>
          <w:b/>
          <w:lang w:val="es-ES"/>
        </w:rPr>
        <w:t xml:space="preserve"> de </w:t>
      </w:r>
      <w:proofErr w:type="spellStart"/>
      <w:r w:rsidRPr="00617BB1">
        <w:rPr>
          <w:b/>
          <w:i/>
          <w:lang w:val="es-ES"/>
        </w:rPr>
        <w:t>cutting</w:t>
      </w:r>
      <w:proofErr w:type="spellEnd"/>
      <w:r w:rsidRPr="00617BB1">
        <w:rPr>
          <w:b/>
          <w:i/>
          <w:lang w:val="es-ES"/>
        </w:rPr>
        <w:t xml:space="preserve"> </w:t>
      </w:r>
      <w:r w:rsidRPr="00617BB1">
        <w:rPr>
          <w:b/>
          <w:lang w:val="es-ES"/>
        </w:rPr>
        <w:t xml:space="preserve">para la biodegradación de hidrocarburos aromáticos policíclicos </w:t>
      </w:r>
    </w:p>
    <w:p w14:paraId="74364B64" w14:textId="77777777" w:rsidR="00570047" w:rsidRPr="00570047" w:rsidRDefault="00570047" w:rsidP="00570047">
      <w:pPr>
        <w:spacing w:line="480" w:lineRule="auto"/>
        <w:jc w:val="center"/>
        <w:rPr>
          <w:b/>
          <w:lang w:val="es-ES"/>
        </w:rPr>
      </w:pPr>
    </w:p>
    <w:p w14:paraId="73583BB7" w14:textId="78358A1E" w:rsidR="00E7451B" w:rsidRPr="00617BB1" w:rsidRDefault="00E7451B" w:rsidP="00E7451B">
      <w:pPr>
        <w:spacing w:line="480" w:lineRule="auto"/>
        <w:jc w:val="center"/>
        <w:rPr>
          <w:b/>
          <w:lang w:val="en-US"/>
        </w:rPr>
      </w:pPr>
      <w:proofErr w:type="spellStart"/>
      <w:r w:rsidRPr="00617BB1">
        <w:rPr>
          <w:b/>
          <w:lang w:val="en-US"/>
        </w:rPr>
        <w:t>Electrobioremediation</w:t>
      </w:r>
      <w:proofErr w:type="spellEnd"/>
      <w:r w:rsidRPr="00617BB1">
        <w:rPr>
          <w:b/>
          <w:lang w:val="en-US"/>
        </w:rPr>
        <w:t xml:space="preserve"> of </w:t>
      </w:r>
      <w:r w:rsidR="002E7001">
        <w:rPr>
          <w:b/>
          <w:lang w:val="en-US"/>
        </w:rPr>
        <w:t>“</w:t>
      </w:r>
      <w:r w:rsidRPr="004B31A7">
        <w:rPr>
          <w:b/>
          <w:i/>
          <w:iCs/>
          <w:lang w:val="en-US"/>
        </w:rPr>
        <w:t>cutting</w:t>
      </w:r>
      <w:r w:rsidR="002E7001">
        <w:rPr>
          <w:b/>
          <w:i/>
          <w:iCs/>
          <w:lang w:val="en-US"/>
        </w:rPr>
        <w:t>”</w:t>
      </w:r>
      <w:r w:rsidRPr="00617BB1">
        <w:rPr>
          <w:b/>
          <w:lang w:val="en-US"/>
        </w:rPr>
        <w:t xml:space="preserve"> for the biodegradation of polycyclic aromatic hydrocarbons </w:t>
      </w:r>
    </w:p>
    <w:p w14:paraId="1E4F6606" w14:textId="72FA1B37" w:rsidR="00E7451B" w:rsidRPr="00E7451B" w:rsidRDefault="004B31A7" w:rsidP="00E7451B">
      <w:pPr>
        <w:spacing w:before="240" w:after="240" w:line="480" w:lineRule="auto"/>
        <w:jc w:val="both"/>
        <w:rPr>
          <w:color w:val="000000"/>
          <w:lang w:val="es-CO" w:eastAsia="es-CO"/>
        </w:rPr>
      </w:pPr>
      <w:r>
        <w:rPr>
          <w:color w:val="000000"/>
          <w:vertAlign w:val="superscript"/>
          <w:lang w:val="es-CO" w:eastAsia="es-CO"/>
        </w:rPr>
        <w:t>1</w:t>
      </w:r>
      <w:r w:rsidRPr="004B31A7">
        <w:rPr>
          <w:color w:val="000000"/>
          <w:lang w:val="es-CO" w:eastAsia="es-CO"/>
        </w:rPr>
        <w:t>Romina Anabel</w:t>
      </w:r>
      <w:r>
        <w:rPr>
          <w:color w:val="000000"/>
          <w:lang w:val="es-CO" w:eastAsia="es-CO"/>
        </w:rPr>
        <w:t xml:space="preserve"> Diaz, </w:t>
      </w:r>
      <w:r w:rsidR="000C2A39" w:rsidRPr="000C2A39">
        <w:rPr>
          <w:color w:val="000000"/>
          <w:lang w:val="es-CO" w:eastAsia="es-CO"/>
        </w:rPr>
        <w:t>Universidad Nacional de la Patagonia San Juan Bosco (UNPSJB). Ciudad Universita</w:t>
      </w:r>
      <w:r w:rsidR="00143115">
        <w:rPr>
          <w:color w:val="000000"/>
          <w:lang w:val="es-CO" w:eastAsia="es-CO"/>
        </w:rPr>
        <w:t xml:space="preserve">ria, Ruta provincial </w:t>
      </w:r>
      <w:proofErr w:type="spellStart"/>
      <w:r w:rsidR="00143115">
        <w:rPr>
          <w:color w:val="000000"/>
          <w:lang w:val="es-CO" w:eastAsia="es-CO"/>
        </w:rPr>
        <w:t>N°</w:t>
      </w:r>
      <w:proofErr w:type="spellEnd"/>
      <w:r w:rsidR="00143115">
        <w:rPr>
          <w:color w:val="000000"/>
          <w:lang w:val="es-CO" w:eastAsia="es-CO"/>
        </w:rPr>
        <w:t xml:space="preserve"> 1, km 4</w:t>
      </w:r>
      <w:r w:rsidR="000C2A39" w:rsidRPr="000C2A39">
        <w:rPr>
          <w:color w:val="000000"/>
          <w:lang w:val="es-CO" w:eastAsia="es-CO"/>
        </w:rPr>
        <w:t>, Comodoro Rivadavia, Argentina</w:t>
      </w:r>
      <w:r w:rsidRPr="00E7451B">
        <w:rPr>
          <w:color w:val="000000"/>
          <w:lang w:val="es-CO" w:eastAsia="es-CO"/>
        </w:rPr>
        <w:t xml:space="preserve">, </w:t>
      </w:r>
      <w:hyperlink r:id="rId9" w:history="1">
        <w:r w:rsidRPr="00BD4B41">
          <w:rPr>
            <w:rStyle w:val="Hipervnculo"/>
            <w:lang w:val="es-CO" w:eastAsia="es-CO"/>
          </w:rPr>
          <w:t>rominaanabeldiaz91@gmail.com</w:t>
        </w:r>
      </w:hyperlink>
      <w:r>
        <w:rPr>
          <w:color w:val="000000"/>
          <w:lang w:val="es-CO" w:eastAsia="es-CO"/>
        </w:rPr>
        <w:t xml:space="preserve"> </w:t>
      </w:r>
    </w:p>
    <w:p w14:paraId="6709B3DE" w14:textId="2A141869" w:rsidR="00E7451B" w:rsidRDefault="004B31A7" w:rsidP="00E7451B">
      <w:pPr>
        <w:spacing w:before="240" w:after="240" w:line="480" w:lineRule="auto"/>
        <w:jc w:val="both"/>
        <w:rPr>
          <w:color w:val="000000"/>
          <w:lang w:val="es-CO" w:eastAsia="es-CO"/>
        </w:rPr>
      </w:pPr>
      <w:r>
        <w:rPr>
          <w:color w:val="000000"/>
          <w:vertAlign w:val="superscript"/>
          <w:lang w:val="es-CO" w:eastAsia="es-CO"/>
        </w:rPr>
        <w:t>2</w:t>
      </w:r>
      <w:r w:rsidRPr="004B31A7">
        <w:rPr>
          <w:color w:val="000000"/>
          <w:lang w:val="es-CO" w:eastAsia="es-CO"/>
        </w:rPr>
        <w:t>Maximiliano</w:t>
      </w:r>
      <w:r w:rsidR="00E7451B" w:rsidRPr="00E7451B">
        <w:rPr>
          <w:color w:val="000000"/>
          <w:lang w:val="es-CO" w:eastAsia="es-CO"/>
        </w:rPr>
        <w:t xml:space="preserve"> </w:t>
      </w:r>
      <w:proofErr w:type="spellStart"/>
      <w:r w:rsidR="00E7451B" w:rsidRPr="00E7451B">
        <w:rPr>
          <w:color w:val="000000"/>
          <w:lang w:val="es-CO" w:eastAsia="es-CO"/>
        </w:rPr>
        <w:t>G</w:t>
      </w:r>
      <w:r>
        <w:rPr>
          <w:color w:val="000000"/>
          <w:lang w:val="es-CO" w:eastAsia="es-CO"/>
        </w:rPr>
        <w:t>utierrez</w:t>
      </w:r>
      <w:proofErr w:type="spellEnd"/>
      <w:r w:rsidR="00E7451B" w:rsidRPr="00E7451B">
        <w:rPr>
          <w:color w:val="000000"/>
          <w:lang w:val="es-CO" w:eastAsia="es-CO"/>
        </w:rPr>
        <w:t xml:space="preserve">, </w:t>
      </w:r>
      <w:r w:rsidR="007A46EB">
        <w:rPr>
          <w:color w:val="000000"/>
          <w:lang w:val="es-CO" w:eastAsia="es-CO"/>
        </w:rPr>
        <w:t xml:space="preserve">Universidad Nacional de la Patagonia San Juan Bosco (UNPSJB). Ciudad Universitaria, Ruta provincial </w:t>
      </w:r>
      <w:proofErr w:type="spellStart"/>
      <w:r w:rsidR="007A46EB">
        <w:rPr>
          <w:color w:val="000000"/>
          <w:lang w:val="es-CO" w:eastAsia="es-CO"/>
        </w:rPr>
        <w:t>N°</w:t>
      </w:r>
      <w:proofErr w:type="spellEnd"/>
      <w:r w:rsidR="007A46EB">
        <w:rPr>
          <w:color w:val="000000"/>
          <w:lang w:val="es-CO" w:eastAsia="es-CO"/>
        </w:rPr>
        <w:t xml:space="preserve"> 1, km 4, Comodoro Rivadavia, Argentina</w:t>
      </w:r>
      <w:r w:rsidRPr="00E7451B">
        <w:rPr>
          <w:color w:val="000000"/>
          <w:lang w:val="es-CO" w:eastAsia="es-CO"/>
        </w:rPr>
        <w:t xml:space="preserve">, </w:t>
      </w:r>
      <w:hyperlink r:id="rId10" w:history="1">
        <w:r w:rsidRPr="00BD4B41">
          <w:rPr>
            <w:rStyle w:val="Hipervnculo"/>
            <w:lang w:val="es-CO" w:eastAsia="es-CO"/>
          </w:rPr>
          <w:t>gutierrez.me@hotmail.com</w:t>
        </w:r>
      </w:hyperlink>
      <w:r>
        <w:rPr>
          <w:color w:val="000000"/>
          <w:lang w:val="es-CO" w:eastAsia="es-CO"/>
        </w:rPr>
        <w:t xml:space="preserve"> </w:t>
      </w:r>
    </w:p>
    <w:p w14:paraId="241B4618" w14:textId="5FF933E8" w:rsidR="004B31A7" w:rsidRPr="00E7451B" w:rsidRDefault="004B31A7" w:rsidP="004B31A7">
      <w:pPr>
        <w:spacing w:before="240" w:after="240" w:line="480" w:lineRule="auto"/>
        <w:jc w:val="both"/>
        <w:rPr>
          <w:color w:val="000000"/>
          <w:lang w:val="es-CO" w:eastAsia="es-CO"/>
        </w:rPr>
      </w:pPr>
      <w:r>
        <w:rPr>
          <w:color w:val="000000"/>
          <w:vertAlign w:val="superscript"/>
          <w:lang w:val="es-CO" w:eastAsia="es-CO"/>
        </w:rPr>
        <w:t>3</w:t>
      </w:r>
      <w:r w:rsidRPr="004B31A7">
        <w:rPr>
          <w:color w:val="000000"/>
          <w:lang w:val="es-CO" w:eastAsia="es-CO"/>
        </w:rPr>
        <w:t>Jonathan</w:t>
      </w:r>
      <w:r w:rsidRPr="00E7451B">
        <w:rPr>
          <w:color w:val="000000"/>
          <w:lang w:val="es-CO" w:eastAsia="es-CO"/>
        </w:rPr>
        <w:t xml:space="preserve"> </w:t>
      </w:r>
      <w:bookmarkStart w:id="0" w:name="_Hlk223955954"/>
      <w:r>
        <w:rPr>
          <w:color w:val="000000"/>
          <w:lang w:val="es-CO" w:eastAsia="es-CO"/>
        </w:rPr>
        <w:t>Quiroga</w:t>
      </w:r>
      <w:bookmarkEnd w:id="0"/>
      <w:r w:rsidRPr="00E7451B">
        <w:rPr>
          <w:color w:val="000000"/>
          <w:lang w:val="es-CO" w:eastAsia="es-CO"/>
        </w:rPr>
        <w:t>,</w:t>
      </w:r>
      <w:r w:rsidRPr="004B31A7">
        <w:rPr>
          <w:color w:val="000000"/>
          <w:lang w:val="es-CO" w:eastAsia="es-CO"/>
        </w:rPr>
        <w:t xml:space="preserve"> </w:t>
      </w:r>
      <w:r w:rsidR="007A46EB">
        <w:rPr>
          <w:color w:val="000000"/>
          <w:lang w:val="es-CO" w:eastAsia="es-CO"/>
        </w:rPr>
        <w:t xml:space="preserve">Universidad </w:t>
      </w:r>
      <w:r w:rsidR="000C2A39">
        <w:rPr>
          <w:color w:val="000000"/>
          <w:lang w:val="es-CO" w:eastAsia="es-CO"/>
        </w:rPr>
        <w:t>Tecnológica</w:t>
      </w:r>
      <w:r w:rsidR="007A46EB">
        <w:rPr>
          <w:color w:val="000000"/>
          <w:lang w:val="es-CO" w:eastAsia="es-CO"/>
        </w:rPr>
        <w:t xml:space="preserve"> Nacional. Avenida de los Inmigrantes </w:t>
      </w:r>
      <w:proofErr w:type="spellStart"/>
      <w:r w:rsidR="000C2A39">
        <w:rPr>
          <w:color w:val="000000"/>
          <w:lang w:val="es-CO" w:eastAsia="es-CO"/>
        </w:rPr>
        <w:t>N°</w:t>
      </w:r>
      <w:proofErr w:type="spellEnd"/>
      <w:r w:rsidR="000C2A39">
        <w:rPr>
          <w:color w:val="000000"/>
          <w:lang w:val="es-CO" w:eastAsia="es-CO"/>
        </w:rPr>
        <w:t xml:space="preserve"> 555, Río Gallegos, Argentina</w:t>
      </w:r>
      <w:r w:rsidRPr="00E7451B">
        <w:rPr>
          <w:color w:val="000000"/>
          <w:lang w:val="es-CO" w:eastAsia="es-CO"/>
        </w:rPr>
        <w:t xml:space="preserve">,  </w:t>
      </w:r>
      <w:hyperlink r:id="rId11" w:history="1">
        <w:r w:rsidRPr="00BD4B41">
          <w:rPr>
            <w:rStyle w:val="Hipervnculo"/>
            <w:lang w:val="es-CO" w:eastAsia="es-CO"/>
          </w:rPr>
          <w:t>jona.quiroga@gmail.com</w:t>
        </w:r>
      </w:hyperlink>
    </w:p>
    <w:p w14:paraId="0C2C8C9E" w14:textId="76493B39" w:rsidR="004B31A7" w:rsidRDefault="004B31A7" w:rsidP="00E7451B">
      <w:pPr>
        <w:spacing w:before="240" w:after="240" w:line="480" w:lineRule="auto"/>
        <w:jc w:val="both"/>
        <w:rPr>
          <w:color w:val="000000"/>
          <w:lang w:val="es-CO" w:eastAsia="es-CO"/>
        </w:rPr>
      </w:pPr>
      <w:r w:rsidRPr="004B31A7">
        <w:rPr>
          <w:color w:val="000000"/>
          <w:vertAlign w:val="superscript"/>
          <w:lang w:val="es-CO" w:eastAsia="es-CO"/>
        </w:rPr>
        <w:t>4</w:t>
      </w:r>
      <w:r w:rsidRPr="004B31A7">
        <w:rPr>
          <w:color w:val="000000"/>
          <w:lang w:val="es-CO" w:eastAsia="es-CO"/>
        </w:rPr>
        <w:t>Adrián</w:t>
      </w:r>
      <w:r>
        <w:rPr>
          <w:color w:val="000000"/>
          <w:lang w:val="es-CO" w:eastAsia="es-CO"/>
        </w:rPr>
        <w:t xml:space="preserve"> Acuña,</w:t>
      </w:r>
      <w:r w:rsidR="000C2A39" w:rsidRPr="000C2A39">
        <w:t xml:space="preserve"> </w:t>
      </w:r>
      <w:r w:rsidR="000C2A39" w:rsidRPr="000C2A39">
        <w:rPr>
          <w:color w:val="000000"/>
          <w:lang w:val="es-CO" w:eastAsia="es-CO"/>
        </w:rPr>
        <w:t xml:space="preserve">Universidad Tecnológica Nacional. Avenida de los Inmigrantes </w:t>
      </w:r>
      <w:proofErr w:type="spellStart"/>
      <w:r w:rsidR="000C2A39" w:rsidRPr="000C2A39">
        <w:rPr>
          <w:color w:val="000000"/>
          <w:lang w:val="es-CO" w:eastAsia="es-CO"/>
        </w:rPr>
        <w:t>N°</w:t>
      </w:r>
      <w:proofErr w:type="spellEnd"/>
      <w:r w:rsidR="000C2A39" w:rsidRPr="000C2A39">
        <w:rPr>
          <w:color w:val="000000"/>
          <w:lang w:val="es-CO" w:eastAsia="es-CO"/>
        </w:rPr>
        <w:t xml:space="preserve"> 555, Río Gallegos, Argentina</w:t>
      </w:r>
      <w:r w:rsidRPr="00E7451B">
        <w:rPr>
          <w:color w:val="000000"/>
          <w:lang w:val="es-CO" w:eastAsia="es-CO"/>
        </w:rPr>
        <w:t xml:space="preserve">, </w:t>
      </w:r>
      <w:r w:rsidRPr="004B31A7">
        <w:t xml:space="preserve"> </w:t>
      </w:r>
      <w:hyperlink r:id="rId12" w:history="1">
        <w:r w:rsidRPr="00BD4B41">
          <w:rPr>
            <w:rStyle w:val="Hipervnculo"/>
            <w:lang w:val="es-CO" w:eastAsia="es-CO"/>
          </w:rPr>
          <w:t>adrianjacuna@yahoo.com.ar</w:t>
        </w:r>
      </w:hyperlink>
      <w:r>
        <w:rPr>
          <w:color w:val="000000"/>
          <w:lang w:val="es-CO" w:eastAsia="es-CO"/>
        </w:rPr>
        <w:t xml:space="preserve"> </w:t>
      </w:r>
    </w:p>
    <w:p w14:paraId="279A8AA6" w14:textId="15EF9B0A" w:rsidR="004B31A7" w:rsidRPr="00E7451B" w:rsidRDefault="004B31A7" w:rsidP="00E7451B">
      <w:pPr>
        <w:spacing w:before="240" w:after="240" w:line="480" w:lineRule="auto"/>
        <w:jc w:val="both"/>
        <w:rPr>
          <w:color w:val="000000"/>
          <w:lang w:val="es-CO" w:eastAsia="es-CO"/>
        </w:rPr>
      </w:pPr>
      <w:r w:rsidRPr="00EF0D14">
        <w:rPr>
          <w:color w:val="000000"/>
          <w:vertAlign w:val="superscript"/>
          <w:lang w:val="es-CO" w:eastAsia="es-CO"/>
        </w:rPr>
        <w:lastRenderedPageBreak/>
        <w:t>5</w:t>
      </w:r>
      <w:r w:rsidRPr="004B31A7">
        <w:rPr>
          <w:color w:val="000000"/>
          <w:lang w:val="es-CO" w:eastAsia="es-CO"/>
        </w:rPr>
        <w:t>Graciela</w:t>
      </w:r>
      <w:r>
        <w:rPr>
          <w:color w:val="000000"/>
          <w:lang w:val="es-CO" w:eastAsia="es-CO"/>
        </w:rPr>
        <w:t xml:space="preserve"> Pucc</w:t>
      </w:r>
      <w:r w:rsidR="00EF0D14">
        <w:rPr>
          <w:color w:val="000000"/>
          <w:lang w:val="es-CO" w:eastAsia="es-CO"/>
        </w:rPr>
        <w:t>i</w:t>
      </w:r>
      <w:r>
        <w:rPr>
          <w:color w:val="000000"/>
          <w:lang w:val="es-CO" w:eastAsia="es-CO"/>
        </w:rPr>
        <w:t xml:space="preserve">, </w:t>
      </w:r>
      <w:r w:rsidR="007A46EB" w:rsidRPr="007A46EB">
        <w:rPr>
          <w:color w:val="000000"/>
          <w:lang w:val="es-CO" w:eastAsia="es-CO"/>
        </w:rPr>
        <w:t xml:space="preserve">Universidad Nacional de la Patagonia San Juan Bosco (UNPSJB). Ciudad Universitaria, Ruta provincial </w:t>
      </w:r>
      <w:proofErr w:type="spellStart"/>
      <w:r w:rsidR="007A46EB" w:rsidRPr="007A46EB">
        <w:rPr>
          <w:color w:val="000000"/>
          <w:lang w:val="es-CO" w:eastAsia="es-CO"/>
        </w:rPr>
        <w:t>N°</w:t>
      </w:r>
      <w:proofErr w:type="spellEnd"/>
      <w:r w:rsidR="007A46EB" w:rsidRPr="007A46EB">
        <w:rPr>
          <w:color w:val="000000"/>
          <w:lang w:val="es-CO" w:eastAsia="es-CO"/>
        </w:rPr>
        <w:t xml:space="preserve"> 1, km 4, Comodoro Rivadavia, Argentina</w:t>
      </w:r>
      <w:r w:rsidRPr="00E7451B">
        <w:rPr>
          <w:color w:val="000000"/>
          <w:lang w:val="es-CO" w:eastAsia="es-CO"/>
        </w:rPr>
        <w:t xml:space="preserve">, </w:t>
      </w:r>
      <w:r w:rsidRPr="004B31A7">
        <w:t xml:space="preserve"> </w:t>
      </w:r>
      <w:hyperlink r:id="rId13" w:history="1">
        <w:r w:rsidRPr="00BD4B41">
          <w:rPr>
            <w:rStyle w:val="Hipervnculo"/>
            <w:lang w:val="es-CO" w:eastAsia="es-CO"/>
          </w:rPr>
          <w:t>puccigraciela@gmail.com</w:t>
        </w:r>
      </w:hyperlink>
      <w:r>
        <w:rPr>
          <w:color w:val="000000"/>
          <w:lang w:val="es-CO" w:eastAsia="es-CO"/>
        </w:rPr>
        <w:t xml:space="preserve"> </w:t>
      </w:r>
    </w:p>
    <w:p w14:paraId="7A46349F" w14:textId="04810B0A" w:rsidR="00E7451B" w:rsidRDefault="004B31A7" w:rsidP="00E7451B">
      <w:pPr>
        <w:spacing w:before="240" w:after="240" w:line="480" w:lineRule="auto"/>
        <w:jc w:val="both"/>
        <w:rPr>
          <w:lang w:val="es-CO" w:eastAsia="es-CO"/>
        </w:rPr>
      </w:pPr>
      <w:r w:rsidRPr="004B31A7">
        <w:rPr>
          <w:sz w:val="22"/>
          <w:szCs w:val="22"/>
          <w:vertAlign w:val="superscript"/>
          <w:lang w:val="es-CO" w:eastAsia="es-CO"/>
        </w:rPr>
        <w:t>1</w:t>
      </w:r>
      <w:r>
        <w:rPr>
          <w:sz w:val="22"/>
          <w:szCs w:val="22"/>
          <w:vertAlign w:val="superscript"/>
          <w:lang w:val="es-CO" w:eastAsia="es-CO"/>
        </w:rPr>
        <w:t xml:space="preserve"> </w:t>
      </w:r>
      <w:hyperlink r:id="rId14" w:history="1">
        <w:r w:rsidRPr="00BD4B41">
          <w:rPr>
            <w:rStyle w:val="Hipervnculo"/>
            <w:lang w:val="es-CO" w:eastAsia="es-CO"/>
          </w:rPr>
          <w:t>https://orcid.org/0009-0000-7270-7206</w:t>
        </w:r>
      </w:hyperlink>
      <w:r>
        <w:rPr>
          <w:lang w:val="es-CO" w:eastAsia="es-CO"/>
        </w:rPr>
        <w:t xml:space="preserve">  </w:t>
      </w:r>
    </w:p>
    <w:p w14:paraId="18BA1429" w14:textId="09AE289B" w:rsidR="004B31A7" w:rsidRDefault="004B31A7" w:rsidP="00E7451B">
      <w:pPr>
        <w:spacing w:before="240" w:after="240" w:line="480" w:lineRule="auto"/>
        <w:jc w:val="both"/>
        <w:rPr>
          <w:lang w:val="es-CO" w:eastAsia="es-CO"/>
        </w:rPr>
      </w:pPr>
      <w:r w:rsidRPr="004B31A7">
        <w:rPr>
          <w:vertAlign w:val="superscript"/>
          <w:lang w:val="es-CO" w:eastAsia="es-CO"/>
        </w:rPr>
        <w:t>2</w:t>
      </w:r>
      <w:r w:rsidRPr="004B31A7">
        <w:rPr>
          <w:vertAlign w:val="superscript"/>
        </w:rPr>
        <w:t xml:space="preserve"> </w:t>
      </w:r>
      <w:hyperlink r:id="rId15" w:history="1">
        <w:r w:rsidRPr="00BD4B41">
          <w:rPr>
            <w:rStyle w:val="Hipervnculo"/>
            <w:lang w:val="es-CO" w:eastAsia="es-CO"/>
          </w:rPr>
          <w:t>https://orcid.org/0000-0002-9834-7226</w:t>
        </w:r>
      </w:hyperlink>
    </w:p>
    <w:p w14:paraId="2CFA00BA" w14:textId="7018F38E" w:rsidR="004B31A7" w:rsidRDefault="004B31A7" w:rsidP="00E7451B">
      <w:pPr>
        <w:spacing w:before="240" w:after="240" w:line="480" w:lineRule="auto"/>
        <w:jc w:val="both"/>
        <w:rPr>
          <w:lang w:val="es-CO" w:eastAsia="es-CO"/>
        </w:rPr>
      </w:pPr>
      <w:r w:rsidRPr="004B31A7">
        <w:rPr>
          <w:vertAlign w:val="superscript"/>
          <w:lang w:val="es-CO" w:eastAsia="es-CO"/>
        </w:rPr>
        <w:t>3</w:t>
      </w:r>
      <w:r w:rsidRPr="004B31A7">
        <w:rPr>
          <w:vertAlign w:val="superscript"/>
        </w:rPr>
        <w:t xml:space="preserve"> </w:t>
      </w:r>
      <w:hyperlink r:id="rId16" w:history="1">
        <w:r w:rsidRPr="00BD4B41">
          <w:rPr>
            <w:rStyle w:val="Hipervnculo"/>
            <w:lang w:val="es-CO" w:eastAsia="es-CO"/>
          </w:rPr>
          <w:t>https://orcid.org/0000-0002-2686-9869</w:t>
        </w:r>
      </w:hyperlink>
      <w:r>
        <w:rPr>
          <w:lang w:val="es-CO" w:eastAsia="es-CO"/>
        </w:rPr>
        <w:t xml:space="preserve"> </w:t>
      </w:r>
    </w:p>
    <w:p w14:paraId="55D2072C" w14:textId="77777777" w:rsidR="00570047" w:rsidRPr="00570047" w:rsidRDefault="004B31A7" w:rsidP="00E7451B">
      <w:pPr>
        <w:spacing w:before="240" w:after="240" w:line="480" w:lineRule="auto"/>
        <w:jc w:val="both"/>
        <w:rPr>
          <w:lang w:val="es-CO" w:eastAsia="es-CO"/>
        </w:rPr>
      </w:pPr>
      <w:r w:rsidRPr="00EF0D14">
        <w:rPr>
          <w:vertAlign w:val="superscript"/>
          <w:lang w:val="es-CO" w:eastAsia="es-CO"/>
        </w:rPr>
        <w:t>4</w:t>
      </w:r>
      <w:r w:rsidRPr="004B31A7">
        <w:t xml:space="preserve"> </w:t>
      </w:r>
      <w:r w:rsidR="00570047">
        <w:rPr>
          <w:lang w:val="es-CO" w:eastAsia="es-CO"/>
        </w:rPr>
        <w:fldChar w:fldCharType="begin"/>
      </w:r>
      <w:r w:rsidR="00570047">
        <w:rPr>
          <w:lang w:val="es-CO" w:eastAsia="es-CO"/>
        </w:rPr>
        <w:instrText xml:space="preserve"> HYPERLINK "</w:instrText>
      </w:r>
      <w:r w:rsidR="00570047" w:rsidRPr="00570047">
        <w:rPr>
          <w:lang w:val="es-CO" w:eastAsia="es-CO"/>
        </w:rPr>
        <w:instrText xml:space="preserve">https://orcid.org/0000-0002-0382-3681 </w:instrText>
      </w:r>
    </w:p>
    <w:p w14:paraId="756A0D88" w14:textId="77777777" w:rsidR="00570047" w:rsidRPr="00092988" w:rsidRDefault="00570047" w:rsidP="00E7451B">
      <w:pPr>
        <w:spacing w:before="240" w:after="240" w:line="480" w:lineRule="auto"/>
        <w:jc w:val="both"/>
        <w:rPr>
          <w:rStyle w:val="Hipervnculo"/>
          <w:lang w:val="es-CO" w:eastAsia="es-CO"/>
        </w:rPr>
      </w:pPr>
      <w:r w:rsidRPr="00570047">
        <w:rPr>
          <w:vertAlign w:val="superscript"/>
          <w:lang w:val="es-CO" w:eastAsia="es-CO"/>
        </w:rPr>
        <w:instrText>5</w:instrText>
      </w:r>
      <w:r>
        <w:rPr>
          <w:lang w:val="es-CO" w:eastAsia="es-CO"/>
        </w:rPr>
        <w:instrText xml:space="preserve">" </w:instrText>
      </w:r>
      <w:r>
        <w:rPr>
          <w:lang w:val="es-CO" w:eastAsia="es-CO"/>
        </w:rPr>
        <w:fldChar w:fldCharType="separate"/>
      </w:r>
      <w:r w:rsidRPr="00092988">
        <w:rPr>
          <w:rStyle w:val="Hipervnculo"/>
          <w:lang w:val="es-CO" w:eastAsia="es-CO"/>
        </w:rPr>
        <w:t xml:space="preserve">https://orcid.org/0000-0002-0382-3681 </w:t>
      </w:r>
    </w:p>
    <w:p w14:paraId="23454878" w14:textId="0095FF7D" w:rsidR="00EF0D14" w:rsidRPr="00E7451B" w:rsidRDefault="00570047" w:rsidP="00E7451B">
      <w:pPr>
        <w:spacing w:before="240" w:after="240" w:line="480" w:lineRule="auto"/>
        <w:jc w:val="both"/>
        <w:rPr>
          <w:lang w:val="es-CO" w:eastAsia="es-CO"/>
        </w:rPr>
      </w:pPr>
      <w:r w:rsidRPr="009D561D">
        <w:rPr>
          <w:rStyle w:val="Hipervnculo"/>
          <w:color w:val="000000" w:themeColor="text1"/>
          <w:u w:val="none"/>
          <w:vertAlign w:val="superscript"/>
          <w:lang w:val="es-CO" w:eastAsia="es-CO"/>
        </w:rPr>
        <w:t>5</w:t>
      </w:r>
      <w:r>
        <w:rPr>
          <w:lang w:val="es-CO" w:eastAsia="es-CO"/>
        </w:rPr>
        <w:fldChar w:fldCharType="end"/>
      </w:r>
      <w:r w:rsidR="00EF0D14">
        <w:rPr>
          <w:lang w:val="es-CO" w:eastAsia="es-CO"/>
        </w:rPr>
        <w:t xml:space="preserve"> </w:t>
      </w:r>
      <w:hyperlink r:id="rId17" w:history="1">
        <w:r w:rsidR="00EF0D14" w:rsidRPr="00BD4B41">
          <w:rPr>
            <w:rStyle w:val="Hipervnculo"/>
            <w:lang w:val="es-CO" w:eastAsia="es-CO"/>
          </w:rPr>
          <w:t>https://orcid.org/0000-0002-0238-2394</w:t>
        </w:r>
      </w:hyperlink>
      <w:r w:rsidR="00EF0D14">
        <w:rPr>
          <w:lang w:val="es-CO" w:eastAsia="es-CO"/>
        </w:rPr>
        <w:t xml:space="preserve"> </w:t>
      </w:r>
    </w:p>
    <w:p w14:paraId="725DA3F5" w14:textId="77777777" w:rsidR="00E7451B" w:rsidRPr="00E7451B" w:rsidRDefault="00E7451B" w:rsidP="00E7451B">
      <w:pPr>
        <w:rPr>
          <w:lang w:val="es-CO" w:eastAsia="es-CO"/>
        </w:rPr>
      </w:pPr>
    </w:p>
    <w:p w14:paraId="0D67D2F0" w14:textId="1FDD1168" w:rsidR="00E7451B" w:rsidRPr="00E7451B" w:rsidRDefault="00E7451B" w:rsidP="00E7451B">
      <w:pPr>
        <w:spacing w:line="480" w:lineRule="auto"/>
        <w:ind w:left="259"/>
        <w:jc w:val="both"/>
        <w:rPr>
          <w:lang w:val="es-CO" w:eastAsia="es-CO"/>
        </w:rPr>
      </w:pPr>
      <w:r w:rsidRPr="00E7451B">
        <w:rPr>
          <w:color w:val="000000"/>
          <w:lang w:val="es-CO" w:eastAsia="es-CO"/>
        </w:rPr>
        <w:t xml:space="preserve">* </w:t>
      </w:r>
      <w:r w:rsidRPr="00E7451B">
        <w:rPr>
          <w:b/>
          <w:bCs/>
          <w:i/>
          <w:iCs/>
          <w:color w:val="000000"/>
          <w:lang w:val="es-CO" w:eastAsia="es-CO"/>
        </w:rPr>
        <w:t xml:space="preserve">Autor por correspondencia: </w:t>
      </w:r>
      <w:hyperlink r:id="rId18" w:history="1">
        <w:r w:rsidR="00EF0D14" w:rsidRPr="00EF0D14">
          <w:rPr>
            <w:rStyle w:val="Hipervnculo"/>
            <w:i/>
            <w:iCs/>
            <w:lang w:val="es-CO" w:eastAsia="es-CO"/>
          </w:rPr>
          <w:t>rominaanabeldiaz91@gmail.com</w:t>
        </w:r>
      </w:hyperlink>
    </w:p>
    <w:p w14:paraId="6313E813" w14:textId="77777777" w:rsidR="00E7451B" w:rsidRPr="00E7451B" w:rsidRDefault="00E7451B" w:rsidP="00E7451B">
      <w:pPr>
        <w:rPr>
          <w:lang w:val="es-CO" w:eastAsia="es-CO"/>
        </w:rPr>
      </w:pPr>
    </w:p>
    <w:p w14:paraId="0DBB0529" w14:textId="3FEB0B7F" w:rsidR="00E7451B" w:rsidRPr="00D306AF" w:rsidRDefault="00E7451B" w:rsidP="00E7451B">
      <w:pPr>
        <w:spacing w:line="480" w:lineRule="auto"/>
        <w:ind w:left="3" w:right="3"/>
        <w:jc w:val="center"/>
        <w:rPr>
          <w:lang w:val="es-CO" w:eastAsia="es-CO"/>
        </w:rPr>
      </w:pPr>
      <w:r w:rsidRPr="00E7451B">
        <w:rPr>
          <w:b/>
          <w:bCs/>
          <w:color w:val="000000"/>
          <w:lang w:val="es-CO" w:eastAsia="es-CO"/>
        </w:rPr>
        <w:t>Recibido</w:t>
      </w:r>
      <w:r w:rsidRPr="00E7451B">
        <w:rPr>
          <w:color w:val="000000"/>
          <w:lang w:val="es-CO" w:eastAsia="es-CO"/>
        </w:rPr>
        <w:t xml:space="preserve">: </w:t>
      </w:r>
      <w:r w:rsidR="00EF0D14">
        <w:rPr>
          <w:color w:val="000000"/>
          <w:lang w:val="es-CO" w:eastAsia="es-CO"/>
        </w:rPr>
        <w:t>10</w:t>
      </w:r>
      <w:r w:rsidRPr="00E7451B">
        <w:rPr>
          <w:color w:val="000000"/>
          <w:lang w:val="es-CO" w:eastAsia="es-CO"/>
        </w:rPr>
        <w:t xml:space="preserve"> de </w:t>
      </w:r>
      <w:r w:rsidR="00EF0D14">
        <w:rPr>
          <w:color w:val="000000"/>
          <w:lang w:val="es-CO" w:eastAsia="es-CO"/>
        </w:rPr>
        <w:t>octubre</w:t>
      </w:r>
      <w:r w:rsidRPr="00E7451B">
        <w:rPr>
          <w:color w:val="000000"/>
          <w:lang w:val="es-CO" w:eastAsia="es-CO"/>
        </w:rPr>
        <w:t xml:space="preserve"> de 202</w:t>
      </w:r>
      <w:r w:rsidR="00EF0D14">
        <w:rPr>
          <w:color w:val="000000"/>
          <w:lang w:val="es-CO" w:eastAsia="es-CO"/>
        </w:rPr>
        <w:t>4</w:t>
      </w:r>
      <w:r w:rsidRPr="00E7451B">
        <w:rPr>
          <w:color w:val="000000"/>
          <w:lang w:val="es-CO" w:eastAsia="es-CO"/>
        </w:rPr>
        <w:t xml:space="preserve">. </w:t>
      </w:r>
      <w:r w:rsidRPr="00E7451B">
        <w:rPr>
          <w:b/>
          <w:bCs/>
          <w:color w:val="000000"/>
          <w:lang w:val="es-CO" w:eastAsia="es-CO"/>
        </w:rPr>
        <w:t>Revisado</w:t>
      </w:r>
      <w:r w:rsidRPr="00E7451B">
        <w:rPr>
          <w:color w:val="000000"/>
          <w:lang w:val="es-CO" w:eastAsia="es-CO"/>
        </w:rPr>
        <w:t xml:space="preserve">: 12 de </w:t>
      </w:r>
      <w:r w:rsidR="00EF0D14">
        <w:rPr>
          <w:color w:val="000000"/>
          <w:lang w:val="es-CO" w:eastAsia="es-CO"/>
        </w:rPr>
        <w:t>febrero</w:t>
      </w:r>
      <w:r w:rsidRPr="00E7451B">
        <w:rPr>
          <w:color w:val="000000"/>
          <w:lang w:val="es-CO" w:eastAsia="es-CO"/>
        </w:rPr>
        <w:t xml:space="preserve"> de 202</w:t>
      </w:r>
      <w:r w:rsidR="00EF0D14">
        <w:rPr>
          <w:color w:val="000000"/>
          <w:lang w:val="es-CO" w:eastAsia="es-CO"/>
        </w:rPr>
        <w:t>6</w:t>
      </w:r>
      <w:r w:rsidRPr="00E7451B">
        <w:rPr>
          <w:color w:val="000000"/>
          <w:lang w:val="es-CO" w:eastAsia="es-CO"/>
        </w:rPr>
        <w:t xml:space="preserve">. </w:t>
      </w:r>
      <w:r w:rsidRPr="00E7451B">
        <w:rPr>
          <w:b/>
          <w:bCs/>
          <w:color w:val="000000"/>
          <w:lang w:val="es-CO" w:eastAsia="es-CO"/>
        </w:rPr>
        <w:t>Aceptado</w:t>
      </w:r>
      <w:r w:rsidRPr="00E7451B">
        <w:rPr>
          <w:color w:val="000000"/>
          <w:lang w:val="es-CO" w:eastAsia="es-CO"/>
        </w:rPr>
        <w:t xml:space="preserve">: </w:t>
      </w:r>
      <w:r w:rsidR="00EF0D14">
        <w:rPr>
          <w:color w:val="000000"/>
          <w:lang w:val="es-CO" w:eastAsia="es-CO"/>
        </w:rPr>
        <w:t>02</w:t>
      </w:r>
      <w:r w:rsidRPr="00E7451B">
        <w:rPr>
          <w:color w:val="000000"/>
          <w:lang w:val="es-CO" w:eastAsia="es-CO"/>
        </w:rPr>
        <w:t xml:space="preserve"> de </w:t>
      </w:r>
      <w:r w:rsidR="00EF0D14" w:rsidRPr="00D306AF">
        <w:rPr>
          <w:color w:val="000000"/>
          <w:lang w:val="es-CO" w:eastAsia="es-CO"/>
        </w:rPr>
        <w:t>marzo</w:t>
      </w:r>
      <w:r w:rsidRPr="00D306AF">
        <w:rPr>
          <w:color w:val="000000"/>
          <w:lang w:val="es-CO" w:eastAsia="es-CO"/>
        </w:rPr>
        <w:t xml:space="preserve"> de 2026</w:t>
      </w:r>
    </w:p>
    <w:p w14:paraId="5AC1AAB8" w14:textId="77777777" w:rsidR="00E7451B" w:rsidRPr="00D306AF" w:rsidRDefault="00E7451B" w:rsidP="00E7451B">
      <w:pPr>
        <w:spacing w:before="1" w:line="480" w:lineRule="auto"/>
        <w:ind w:left="3" w:right="4"/>
        <w:jc w:val="center"/>
        <w:rPr>
          <w:lang w:val="es-CO" w:eastAsia="es-CO"/>
        </w:rPr>
      </w:pPr>
      <w:r w:rsidRPr="00D306AF">
        <w:rPr>
          <w:b/>
          <w:bCs/>
          <w:color w:val="000000"/>
          <w:lang w:val="es-CO" w:eastAsia="es-CO"/>
        </w:rPr>
        <w:t>Editora: Angélica Plata Rueda</w:t>
      </w:r>
    </w:p>
    <w:p w14:paraId="52BF30DB" w14:textId="77777777" w:rsidR="00E7451B" w:rsidRPr="00D306AF" w:rsidRDefault="00E7451B" w:rsidP="00E7451B">
      <w:pPr>
        <w:rPr>
          <w:lang w:val="es-CO" w:eastAsia="es-CO"/>
        </w:rPr>
      </w:pPr>
    </w:p>
    <w:p w14:paraId="0BC21D80" w14:textId="61F73B14" w:rsidR="00E7451B" w:rsidRDefault="00E7451B" w:rsidP="004B31A7">
      <w:pPr>
        <w:spacing w:before="1" w:line="480" w:lineRule="auto"/>
        <w:ind w:left="253" w:right="258" w:hanging="6"/>
        <w:jc w:val="both"/>
        <w:rPr>
          <w:color w:val="000000"/>
          <w:lang w:val="es-CO" w:eastAsia="es-CO"/>
        </w:rPr>
      </w:pPr>
      <w:r w:rsidRPr="00D306AF">
        <w:rPr>
          <w:b/>
          <w:bCs/>
          <w:color w:val="000000"/>
          <w:lang w:val="es-CO" w:eastAsia="es-CO"/>
        </w:rPr>
        <w:t>Citación:</w:t>
      </w:r>
      <w:r w:rsidRPr="00D306AF">
        <w:rPr>
          <w:color w:val="000000"/>
          <w:lang w:val="es-CO" w:eastAsia="es-CO"/>
        </w:rPr>
        <w:t xml:space="preserve"> </w:t>
      </w:r>
      <w:r w:rsidR="00EF0D14" w:rsidRPr="00D306AF">
        <w:rPr>
          <w:color w:val="000000"/>
          <w:lang w:val="es-CO" w:eastAsia="es-CO"/>
        </w:rPr>
        <w:t>Diaz</w:t>
      </w:r>
      <w:r w:rsidRPr="00D306AF">
        <w:rPr>
          <w:color w:val="000000"/>
          <w:lang w:val="es-CO" w:eastAsia="es-CO"/>
        </w:rPr>
        <w:t xml:space="preserve">, </w:t>
      </w:r>
      <w:r w:rsidR="00EF0D14" w:rsidRPr="00D306AF">
        <w:rPr>
          <w:color w:val="000000"/>
          <w:lang w:val="es-CO" w:eastAsia="es-CO"/>
        </w:rPr>
        <w:t>R</w:t>
      </w:r>
      <w:r w:rsidRPr="00D306AF">
        <w:rPr>
          <w:color w:val="000000"/>
          <w:lang w:val="es-CO" w:eastAsia="es-CO"/>
        </w:rPr>
        <w:t>.</w:t>
      </w:r>
      <w:r w:rsidR="00EF0D14" w:rsidRPr="00D306AF">
        <w:rPr>
          <w:color w:val="000000"/>
          <w:lang w:val="es-CO" w:eastAsia="es-CO"/>
        </w:rPr>
        <w:t xml:space="preserve"> A</w:t>
      </w:r>
      <w:r w:rsidRPr="00D306AF">
        <w:rPr>
          <w:color w:val="000000"/>
          <w:lang w:val="es-CO" w:eastAsia="es-CO"/>
        </w:rPr>
        <w:t>.</w:t>
      </w:r>
      <w:r w:rsidR="00EF0D14" w:rsidRPr="00D306AF">
        <w:rPr>
          <w:color w:val="000000"/>
          <w:lang w:val="es-CO" w:eastAsia="es-CO"/>
        </w:rPr>
        <w:t xml:space="preserve">, </w:t>
      </w:r>
      <w:proofErr w:type="spellStart"/>
      <w:r w:rsidR="00EF0D14" w:rsidRPr="00D306AF">
        <w:rPr>
          <w:color w:val="000000"/>
          <w:lang w:val="es-CO" w:eastAsia="es-CO"/>
        </w:rPr>
        <w:t>Gutierrez</w:t>
      </w:r>
      <w:proofErr w:type="spellEnd"/>
      <w:r w:rsidR="00EF0D14" w:rsidRPr="00D306AF">
        <w:rPr>
          <w:color w:val="000000"/>
          <w:lang w:val="es-CO" w:eastAsia="es-CO"/>
        </w:rPr>
        <w:t>, M., Quiroga, J., Acuña, A. y Pucci, G.</w:t>
      </w:r>
      <w:r w:rsidRPr="00D306AF">
        <w:rPr>
          <w:color w:val="000000"/>
          <w:lang w:val="es-CO" w:eastAsia="es-CO"/>
        </w:rPr>
        <w:t xml:space="preserve"> (2026). </w:t>
      </w:r>
      <w:proofErr w:type="spellStart"/>
      <w:r w:rsidR="004B31A7" w:rsidRPr="00D306AF">
        <w:rPr>
          <w:bCs/>
          <w:color w:val="000000"/>
          <w:lang w:val="es-ES" w:eastAsia="es-CO"/>
        </w:rPr>
        <w:t>Electrobiorremediación</w:t>
      </w:r>
      <w:proofErr w:type="spellEnd"/>
      <w:r w:rsidR="004B31A7" w:rsidRPr="00D306AF">
        <w:rPr>
          <w:bCs/>
          <w:color w:val="000000"/>
          <w:lang w:val="es-ES" w:eastAsia="es-CO"/>
        </w:rPr>
        <w:t xml:space="preserve"> de </w:t>
      </w:r>
      <w:proofErr w:type="spellStart"/>
      <w:r w:rsidR="004B31A7" w:rsidRPr="00D306AF">
        <w:rPr>
          <w:bCs/>
          <w:i/>
          <w:color w:val="000000"/>
          <w:lang w:val="es-ES" w:eastAsia="es-CO"/>
        </w:rPr>
        <w:t>cutting</w:t>
      </w:r>
      <w:proofErr w:type="spellEnd"/>
      <w:r w:rsidR="004B31A7" w:rsidRPr="00D306AF">
        <w:rPr>
          <w:bCs/>
          <w:i/>
          <w:color w:val="000000"/>
          <w:lang w:val="es-ES" w:eastAsia="es-CO"/>
        </w:rPr>
        <w:t xml:space="preserve"> </w:t>
      </w:r>
      <w:r w:rsidR="004B31A7" w:rsidRPr="00D306AF">
        <w:rPr>
          <w:bCs/>
          <w:color w:val="000000"/>
          <w:lang w:val="es-ES" w:eastAsia="es-CO"/>
        </w:rPr>
        <w:t>para la biodegradación de hidrocarburos aromáticos policíclicos</w:t>
      </w:r>
      <w:r w:rsidRPr="00D306AF">
        <w:rPr>
          <w:bCs/>
          <w:color w:val="000000"/>
          <w:lang w:val="es-CO" w:eastAsia="es-CO"/>
        </w:rPr>
        <w:t>.</w:t>
      </w:r>
      <w:r w:rsidRPr="00D306AF">
        <w:rPr>
          <w:color w:val="000000"/>
          <w:lang w:val="es-CO" w:eastAsia="es-CO"/>
        </w:rPr>
        <w:t xml:space="preserve"> </w:t>
      </w:r>
      <w:r w:rsidRPr="00D306AF">
        <w:rPr>
          <w:i/>
          <w:iCs/>
          <w:color w:val="000000"/>
          <w:lang w:val="es-CO" w:eastAsia="es-CO"/>
        </w:rPr>
        <w:t>Acta Biol</w:t>
      </w:r>
      <w:r w:rsidRPr="00D306AF">
        <w:rPr>
          <w:color w:val="000000"/>
          <w:lang w:val="es-CO" w:eastAsia="es-CO"/>
        </w:rPr>
        <w:t>.</w:t>
      </w:r>
      <w:r w:rsidRPr="00D306AF">
        <w:rPr>
          <w:i/>
          <w:iCs/>
          <w:color w:val="000000"/>
          <w:lang w:val="es-CO" w:eastAsia="es-CO"/>
        </w:rPr>
        <w:t xml:space="preserve"> </w:t>
      </w:r>
      <w:proofErr w:type="spellStart"/>
      <w:r w:rsidRPr="00D306AF">
        <w:rPr>
          <w:i/>
          <w:iCs/>
          <w:color w:val="000000"/>
          <w:lang w:val="es-CO" w:eastAsia="es-CO"/>
        </w:rPr>
        <w:t>Colomb</w:t>
      </w:r>
      <w:proofErr w:type="spellEnd"/>
      <w:r w:rsidRPr="00D306AF">
        <w:rPr>
          <w:i/>
          <w:iCs/>
          <w:color w:val="000000"/>
          <w:lang w:val="es-CO" w:eastAsia="es-CO"/>
        </w:rPr>
        <w:t>.,</w:t>
      </w:r>
      <w:r w:rsidRPr="00D306AF">
        <w:rPr>
          <w:color w:val="000000"/>
          <w:lang w:val="es-CO" w:eastAsia="es-CO"/>
        </w:rPr>
        <w:t xml:space="preserve"> </w:t>
      </w:r>
      <w:r w:rsidRPr="00D306AF">
        <w:rPr>
          <w:i/>
          <w:iCs/>
          <w:color w:val="000000"/>
          <w:lang w:val="es-CO" w:eastAsia="es-CO"/>
        </w:rPr>
        <w:t>31</w:t>
      </w:r>
      <w:r w:rsidRPr="00D306AF">
        <w:rPr>
          <w:color w:val="000000"/>
          <w:lang w:val="es-CO" w:eastAsia="es-CO"/>
        </w:rPr>
        <w:t xml:space="preserve">(1), XX-XX </w:t>
      </w:r>
      <w:hyperlink r:id="rId19" w:history="1">
        <w:r w:rsidR="004B31A7" w:rsidRPr="00D306AF">
          <w:rPr>
            <w:rStyle w:val="Hipervnculo"/>
            <w:lang w:val="es-CO" w:eastAsia="es-CO"/>
          </w:rPr>
          <w:t>https://doi.org/10.15446/abc.v31n1.116986</w:t>
        </w:r>
      </w:hyperlink>
      <w:r w:rsidR="004B31A7" w:rsidRPr="00D306AF">
        <w:rPr>
          <w:color w:val="000000"/>
          <w:lang w:val="es-CO" w:eastAsia="es-CO"/>
        </w:rPr>
        <w:t xml:space="preserve"> </w:t>
      </w:r>
    </w:p>
    <w:p w14:paraId="64A262ED" w14:textId="44BA172F" w:rsidR="00570047" w:rsidRDefault="00570047" w:rsidP="004B31A7">
      <w:pPr>
        <w:spacing w:before="1" w:line="480" w:lineRule="auto"/>
        <w:ind w:left="253" w:right="258" w:hanging="6"/>
        <w:jc w:val="both"/>
        <w:rPr>
          <w:b/>
          <w:color w:val="000000"/>
          <w:lang w:val="es-ES" w:eastAsia="es-CO"/>
        </w:rPr>
      </w:pPr>
    </w:p>
    <w:p w14:paraId="32182DEE" w14:textId="77777777" w:rsidR="00570047" w:rsidRPr="00D306AF" w:rsidRDefault="00570047" w:rsidP="004B31A7">
      <w:pPr>
        <w:spacing w:before="1" w:line="480" w:lineRule="auto"/>
        <w:ind w:left="253" w:right="258" w:hanging="6"/>
        <w:jc w:val="both"/>
        <w:rPr>
          <w:b/>
          <w:color w:val="000000"/>
          <w:lang w:val="es-ES" w:eastAsia="es-CO"/>
        </w:rPr>
      </w:pPr>
    </w:p>
    <w:p w14:paraId="584399CA" w14:textId="6250E923" w:rsidR="00726EBF" w:rsidRPr="00D306AF" w:rsidRDefault="00330820" w:rsidP="00171EEA">
      <w:pPr>
        <w:spacing w:line="480" w:lineRule="auto"/>
        <w:rPr>
          <w:b/>
          <w:lang w:val="es-ES"/>
        </w:rPr>
      </w:pPr>
      <w:r w:rsidRPr="00D306AF">
        <w:rPr>
          <w:b/>
          <w:lang w:val="es-ES"/>
        </w:rPr>
        <w:lastRenderedPageBreak/>
        <w:t>RESUMEN</w:t>
      </w:r>
    </w:p>
    <w:p w14:paraId="5C3A9258" w14:textId="677C833B" w:rsidR="00DF2113" w:rsidRPr="00D306AF" w:rsidRDefault="00F87F88" w:rsidP="00CE2DC0">
      <w:pPr>
        <w:spacing w:line="480" w:lineRule="auto"/>
        <w:jc w:val="both"/>
      </w:pPr>
      <w:r w:rsidRPr="00D306AF">
        <w:rPr>
          <w:lang w:val="es-ES"/>
        </w:rPr>
        <w:t xml:space="preserve">La creciente demanda de productos petrolíferos ha </w:t>
      </w:r>
      <w:r w:rsidR="004313D6" w:rsidRPr="00D306AF">
        <w:rPr>
          <w:lang w:val="es-ES"/>
        </w:rPr>
        <w:t>genera</w:t>
      </w:r>
      <w:r w:rsidRPr="00D306AF">
        <w:rPr>
          <w:lang w:val="es-ES"/>
        </w:rPr>
        <w:t xml:space="preserve">do residuos propios de la explotación petrolera, entre los cuales destaca el </w:t>
      </w:r>
      <w:proofErr w:type="spellStart"/>
      <w:r w:rsidRPr="00D306AF">
        <w:rPr>
          <w:i/>
          <w:lang w:val="es-ES"/>
        </w:rPr>
        <w:t>cutting</w:t>
      </w:r>
      <w:proofErr w:type="spellEnd"/>
      <w:r w:rsidRPr="00D306AF">
        <w:rPr>
          <w:lang w:val="es-ES"/>
        </w:rPr>
        <w:t xml:space="preserve">, una matriz compleja que contiene, entre otros componentes, hidrocarburos aromáticos policíclicos (HAP) y metales pesados. </w:t>
      </w:r>
      <w:r w:rsidR="00EB7772" w:rsidRPr="00D306AF">
        <w:rPr>
          <w:lang w:val="es-ES"/>
        </w:rPr>
        <w:t xml:space="preserve">El objetivo de este estudio fue evaluar la eficiencia de la </w:t>
      </w:r>
      <w:proofErr w:type="spellStart"/>
      <w:r w:rsidR="00EB7772" w:rsidRPr="00D306AF">
        <w:rPr>
          <w:lang w:val="es-ES"/>
        </w:rPr>
        <w:t>electrobiorremediación</w:t>
      </w:r>
      <w:proofErr w:type="spellEnd"/>
      <w:r w:rsidR="00EB7772" w:rsidRPr="00D306AF">
        <w:rPr>
          <w:lang w:val="es-ES"/>
        </w:rPr>
        <w:t xml:space="preserve"> (EB) para degradar HAP en una muestra de </w:t>
      </w:r>
      <w:proofErr w:type="spellStart"/>
      <w:r w:rsidR="00EB7772" w:rsidRPr="00D306AF">
        <w:rPr>
          <w:i/>
          <w:lang w:val="es-ES"/>
        </w:rPr>
        <w:t>cutting</w:t>
      </w:r>
      <w:proofErr w:type="spellEnd"/>
      <w:r w:rsidR="00EB7772" w:rsidRPr="00D306AF">
        <w:rPr>
          <w:lang w:val="es-ES"/>
        </w:rPr>
        <w:t xml:space="preserve">, analizando la influencia de la adición de nutrientes, los parámetros fisicoquímicos y el contenido de metales pesados sobre el comportamiento de la comunidad bacteriana autóctona. </w:t>
      </w:r>
      <w:r w:rsidR="004313D6" w:rsidRPr="00D306AF">
        <w:rPr>
          <w:lang w:val="es-ES"/>
        </w:rPr>
        <w:t xml:space="preserve">Se realizaron experimentos a escala de laboratorio durante 60 días, empleando cubas electroquímicas </w:t>
      </w:r>
      <w:r w:rsidR="00D572AC" w:rsidRPr="00D306AF">
        <w:rPr>
          <w:lang w:val="es-ES"/>
        </w:rPr>
        <w:t xml:space="preserve">con un </w:t>
      </w:r>
      <w:r w:rsidR="004313D6" w:rsidRPr="00D306AF">
        <w:rPr>
          <w:lang w:val="es-ES"/>
        </w:rPr>
        <w:t>voltaje constante de</w:t>
      </w:r>
      <w:r w:rsidR="00BD7796" w:rsidRPr="00D306AF">
        <w:rPr>
          <w:lang w:val="es-ES"/>
        </w:rPr>
        <w:t xml:space="preserve"> 0,5 V cm</w:t>
      </w:r>
      <w:r w:rsidR="00BD7796" w:rsidRPr="00D306AF">
        <w:rPr>
          <w:vertAlign w:val="superscript"/>
          <w:lang w:val="es-ES"/>
        </w:rPr>
        <w:t>-1</w:t>
      </w:r>
      <w:r w:rsidR="00BD7796" w:rsidRPr="00D306AF">
        <w:rPr>
          <w:lang w:val="es-ES"/>
        </w:rPr>
        <w:t>.</w:t>
      </w:r>
      <w:r w:rsidR="004313D6" w:rsidRPr="00D306AF">
        <w:rPr>
          <w:lang w:val="es-ES"/>
        </w:rPr>
        <w:t xml:space="preserve"> Se compararon sistemas de EB con y sin adición de nutrientes</w:t>
      </w:r>
      <w:r w:rsidR="00D572AC" w:rsidRPr="00D306AF">
        <w:rPr>
          <w:lang w:val="es-ES"/>
        </w:rPr>
        <w:t xml:space="preserve"> (</w:t>
      </w:r>
      <w:r w:rsidR="004313D6" w:rsidRPr="00D306AF">
        <w:rPr>
          <w:lang w:val="es-ES"/>
        </w:rPr>
        <w:t>nitrógeno y fósforo</w:t>
      </w:r>
      <w:r w:rsidR="00D572AC" w:rsidRPr="00D306AF">
        <w:rPr>
          <w:lang w:val="es-ES"/>
        </w:rPr>
        <w:t>)</w:t>
      </w:r>
      <w:r w:rsidR="004313D6" w:rsidRPr="00D306AF">
        <w:rPr>
          <w:lang w:val="es-ES"/>
        </w:rPr>
        <w:t xml:space="preserve"> </w:t>
      </w:r>
      <w:r w:rsidR="004313D6" w:rsidRPr="00D306AF">
        <w:t xml:space="preserve">en una relación </w:t>
      </w:r>
      <w:proofErr w:type="gramStart"/>
      <w:r w:rsidR="006229D5" w:rsidRPr="00D306AF">
        <w:t>C:N</w:t>
      </w:r>
      <w:proofErr w:type="gramEnd"/>
      <w:r w:rsidR="006229D5" w:rsidRPr="00D306AF">
        <w:t xml:space="preserve">:P de </w:t>
      </w:r>
      <w:r w:rsidR="004313D6" w:rsidRPr="00D306AF">
        <w:t>100:1:</w:t>
      </w:r>
      <w:r w:rsidR="00B50A4F" w:rsidRPr="00D306AF">
        <w:t>0,</w:t>
      </w:r>
      <w:r w:rsidR="004313D6" w:rsidRPr="00D306AF">
        <w:t>1</w:t>
      </w:r>
      <w:r w:rsidR="004313D6" w:rsidRPr="00D306AF">
        <w:rPr>
          <w:lang w:val="es-ES"/>
        </w:rPr>
        <w:t xml:space="preserve">. Se determinaron los HAP, metales pesados, </w:t>
      </w:r>
      <w:r w:rsidR="004313D6" w:rsidRPr="00D306AF">
        <w:t xml:space="preserve">recuento de bacterias, identificación por </w:t>
      </w:r>
      <w:proofErr w:type="spellStart"/>
      <w:r w:rsidR="004313D6" w:rsidRPr="00D306AF">
        <w:t>FAMEs</w:t>
      </w:r>
      <w:proofErr w:type="spellEnd"/>
      <w:r w:rsidR="004313D6" w:rsidRPr="00D306AF">
        <w:t xml:space="preserve"> y análisis de la comunidad bacteriana por DGGE. Los resultados mostraron una degradación efectiva de los HAP en las cubas con nutrientes, </w:t>
      </w:r>
      <w:r w:rsidR="00D572AC" w:rsidRPr="00D306AF">
        <w:t xml:space="preserve">con </w:t>
      </w:r>
      <w:r w:rsidR="004313D6" w:rsidRPr="00D306AF">
        <w:t>tasas de</w:t>
      </w:r>
      <w:r w:rsidR="00D572AC" w:rsidRPr="00D306AF">
        <w:t xml:space="preserve"> entre</w:t>
      </w:r>
      <w:r w:rsidR="004313D6" w:rsidRPr="00D306AF">
        <w:t xml:space="preserve"> 15</w:t>
      </w:r>
      <w:r w:rsidR="00FA5129" w:rsidRPr="00D306AF">
        <w:t xml:space="preserve"> </w:t>
      </w:r>
      <w:r w:rsidR="003075B1" w:rsidRPr="00D306AF">
        <w:t>% y</w:t>
      </w:r>
      <w:r w:rsidR="00D572AC" w:rsidRPr="00D306AF">
        <w:t xml:space="preserve"> </w:t>
      </w:r>
      <w:r w:rsidR="004313D6" w:rsidRPr="00D306AF">
        <w:t>91</w:t>
      </w:r>
      <w:r w:rsidR="00FA5129" w:rsidRPr="00D306AF">
        <w:t xml:space="preserve"> </w:t>
      </w:r>
      <w:r w:rsidR="004313D6" w:rsidRPr="00D306AF">
        <w:t xml:space="preserve">%. A los 60 días, la eliminación fue mayor en los </w:t>
      </w:r>
      <w:r w:rsidR="005B55B3" w:rsidRPr="00D306AF">
        <w:t>sitio</w:t>
      </w:r>
      <w:r w:rsidR="004313D6" w:rsidRPr="00D306AF">
        <w:t>s A3 y B3</w:t>
      </w:r>
      <w:r w:rsidR="00D572AC" w:rsidRPr="00D306AF">
        <w:t>.</w:t>
      </w:r>
      <w:r w:rsidR="004313D6" w:rsidRPr="00D306AF">
        <w:t xml:space="preserve"> </w:t>
      </w:r>
      <w:r w:rsidR="006615E8" w:rsidRPr="00D306AF">
        <w:rPr>
          <w:lang w:val="es-ES"/>
        </w:rPr>
        <w:t xml:space="preserve">La presencia de concentraciones elevadas de bario no afectó a la comunidad bacteriana autóctona del suelo, que se mantuvo en condiciones óptimas para la degradación. </w:t>
      </w:r>
      <w:r w:rsidRPr="00D306AF">
        <w:rPr>
          <w:lang w:val="es-ES"/>
        </w:rPr>
        <w:t>Las propiedades químicas (conductividad, iones inorgánicos, pH, humedad y temperatura) y los cambios en la estructura de la comunidad microbiana desempeña</w:t>
      </w:r>
      <w:r w:rsidR="00D572AC" w:rsidRPr="00D306AF">
        <w:rPr>
          <w:lang w:val="es-ES"/>
        </w:rPr>
        <w:t>ro</w:t>
      </w:r>
      <w:r w:rsidRPr="00D306AF">
        <w:rPr>
          <w:lang w:val="es-ES"/>
        </w:rPr>
        <w:t>n un papel crucial en la explicación de la degradación dentro de las cubas.</w:t>
      </w:r>
    </w:p>
    <w:p w14:paraId="68AB88CB" w14:textId="64A6E4B7" w:rsidR="00171EEA" w:rsidRDefault="00476427" w:rsidP="002A35BF">
      <w:pPr>
        <w:spacing w:after="240" w:line="480" w:lineRule="auto"/>
        <w:jc w:val="both"/>
        <w:rPr>
          <w:lang w:val="es-ES"/>
        </w:rPr>
      </w:pPr>
      <w:r w:rsidRPr="00D306AF">
        <w:rPr>
          <w:b/>
          <w:lang w:val="es-ES"/>
        </w:rPr>
        <w:t xml:space="preserve">Palabras claves: </w:t>
      </w:r>
      <w:proofErr w:type="spellStart"/>
      <w:r w:rsidR="00340B14" w:rsidRPr="00D306AF">
        <w:t>Biorr</w:t>
      </w:r>
      <w:r w:rsidR="00340B14" w:rsidRPr="00D306AF">
        <w:rPr>
          <w:lang w:val="es-ES"/>
        </w:rPr>
        <w:t>emediación</w:t>
      </w:r>
      <w:proofErr w:type="spellEnd"/>
      <w:r w:rsidR="00340B14" w:rsidRPr="00D306AF">
        <w:rPr>
          <w:lang w:val="es-ES"/>
        </w:rPr>
        <w:t xml:space="preserve">, </w:t>
      </w:r>
      <w:r w:rsidR="00171EEA" w:rsidRPr="00D306AF">
        <w:rPr>
          <w:lang w:val="es-ES"/>
        </w:rPr>
        <w:t>c</w:t>
      </w:r>
      <w:r w:rsidR="00CB537E" w:rsidRPr="00D306AF">
        <w:rPr>
          <w:lang w:val="es-ES"/>
        </w:rPr>
        <w:t>omunidad bacteriana</w:t>
      </w:r>
      <w:r w:rsidRPr="00D306AF">
        <w:rPr>
          <w:lang w:val="es-ES"/>
        </w:rPr>
        <w:t xml:space="preserve">, </w:t>
      </w:r>
      <w:r w:rsidR="00171EEA" w:rsidRPr="00D306AF">
        <w:rPr>
          <w:lang w:val="es-ES"/>
        </w:rPr>
        <w:t>m</w:t>
      </w:r>
      <w:r w:rsidRPr="00D306AF">
        <w:rPr>
          <w:lang w:val="es-ES"/>
        </w:rPr>
        <w:t>etales pesados</w:t>
      </w:r>
      <w:r w:rsidR="00340B14" w:rsidRPr="00D306AF">
        <w:t xml:space="preserve">, </w:t>
      </w:r>
      <w:r w:rsidR="00171EEA" w:rsidRPr="00D306AF">
        <w:rPr>
          <w:lang w:val="es-ES"/>
        </w:rPr>
        <w:t>r</w:t>
      </w:r>
      <w:r w:rsidRPr="00D306AF">
        <w:rPr>
          <w:lang w:val="es-ES"/>
        </w:rPr>
        <w:t>esiduos de la explotación petrolera</w:t>
      </w:r>
      <w:r w:rsidR="00C57F0C" w:rsidRPr="00D306AF">
        <w:rPr>
          <w:lang w:val="es-ES"/>
        </w:rPr>
        <w:t>.</w:t>
      </w:r>
    </w:p>
    <w:p w14:paraId="71A137D7" w14:textId="77777777" w:rsidR="00570047" w:rsidRPr="00D306AF" w:rsidRDefault="00570047" w:rsidP="002A35BF">
      <w:pPr>
        <w:spacing w:after="240" w:line="480" w:lineRule="auto"/>
        <w:jc w:val="both"/>
        <w:rPr>
          <w:b/>
          <w:bCs/>
          <w:lang w:val="es-ES"/>
        </w:rPr>
      </w:pPr>
    </w:p>
    <w:p w14:paraId="7FE1DF59" w14:textId="2F70F714" w:rsidR="00DF2113" w:rsidRPr="00D306AF" w:rsidRDefault="00330820" w:rsidP="00171EEA">
      <w:pPr>
        <w:spacing w:after="120" w:line="480" w:lineRule="auto"/>
        <w:rPr>
          <w:b/>
          <w:bCs/>
          <w:lang w:val="en-US"/>
        </w:rPr>
      </w:pPr>
      <w:r w:rsidRPr="00D306AF">
        <w:rPr>
          <w:b/>
          <w:bCs/>
          <w:lang w:val="en-US"/>
        </w:rPr>
        <w:lastRenderedPageBreak/>
        <w:t>ABSTRACT</w:t>
      </w:r>
    </w:p>
    <w:p w14:paraId="1D28B211" w14:textId="71E1970D" w:rsidR="0082024B" w:rsidRPr="00D306AF" w:rsidRDefault="00DF2113" w:rsidP="00CE2DC0">
      <w:pPr>
        <w:spacing w:line="480" w:lineRule="auto"/>
        <w:jc w:val="both"/>
        <w:rPr>
          <w:lang w:val="en-US"/>
        </w:rPr>
      </w:pPr>
      <w:r w:rsidRPr="00D306AF">
        <w:rPr>
          <w:lang w:val="en-US"/>
        </w:rPr>
        <w:t xml:space="preserve">The </w:t>
      </w:r>
      <w:r w:rsidR="00F51F3F" w:rsidRPr="00D306AF">
        <w:rPr>
          <w:lang w:val="en-US"/>
        </w:rPr>
        <w:t xml:space="preserve">increasing demand </w:t>
      </w:r>
      <w:r w:rsidRPr="00D306AF">
        <w:rPr>
          <w:lang w:val="en-US"/>
        </w:rPr>
        <w:t xml:space="preserve">for petroleum products has </w:t>
      </w:r>
      <w:r w:rsidR="00D2651E" w:rsidRPr="00D306AF">
        <w:rPr>
          <w:lang w:val="en-US"/>
        </w:rPr>
        <w:t>resulte</w:t>
      </w:r>
      <w:r w:rsidR="0095554F" w:rsidRPr="00D306AF">
        <w:rPr>
          <w:lang w:val="en-US"/>
        </w:rPr>
        <w:t xml:space="preserve">d </w:t>
      </w:r>
      <w:r w:rsidR="00D2651E" w:rsidRPr="00D306AF">
        <w:rPr>
          <w:lang w:val="en-US"/>
        </w:rPr>
        <w:t>in</w:t>
      </w:r>
      <w:r w:rsidRPr="00D306AF">
        <w:rPr>
          <w:lang w:val="en-US"/>
        </w:rPr>
        <w:t xml:space="preserve"> </w:t>
      </w:r>
      <w:r w:rsidR="00D572AC" w:rsidRPr="00D306AF">
        <w:rPr>
          <w:lang w:val="en-US"/>
        </w:rPr>
        <w:t xml:space="preserve">harmful </w:t>
      </w:r>
      <w:r w:rsidRPr="00D306AF">
        <w:rPr>
          <w:lang w:val="en-US"/>
        </w:rPr>
        <w:t xml:space="preserve">environmental consequences, </w:t>
      </w:r>
      <w:r w:rsidR="00D2651E" w:rsidRPr="00D306AF">
        <w:rPr>
          <w:lang w:val="en-US"/>
        </w:rPr>
        <w:t>includ</w:t>
      </w:r>
      <w:r w:rsidRPr="00D306AF">
        <w:rPr>
          <w:lang w:val="en-US"/>
        </w:rPr>
        <w:t xml:space="preserve">ing the generation of oil exploitation waste, </w:t>
      </w:r>
      <w:r w:rsidR="0095554F" w:rsidRPr="00D306AF">
        <w:rPr>
          <w:lang w:val="en-US"/>
        </w:rPr>
        <w:t xml:space="preserve">such as </w:t>
      </w:r>
      <w:r w:rsidRPr="00D306AF">
        <w:rPr>
          <w:lang w:val="en-US"/>
        </w:rPr>
        <w:t>cuttings. Cuttings ar</w:t>
      </w:r>
      <w:r w:rsidR="004B2680" w:rsidRPr="00D306AF">
        <w:rPr>
          <w:lang w:val="en-US"/>
        </w:rPr>
        <w:t xml:space="preserve">e complex matrices containing </w:t>
      </w:r>
      <w:r w:rsidR="00D572AC" w:rsidRPr="00D306AF">
        <w:rPr>
          <w:lang w:val="en-US"/>
        </w:rPr>
        <w:t>p</w:t>
      </w:r>
      <w:r w:rsidR="004B2680" w:rsidRPr="00D306AF">
        <w:rPr>
          <w:lang w:val="en-US"/>
        </w:rPr>
        <w:t xml:space="preserve">olycyclic </w:t>
      </w:r>
      <w:r w:rsidR="00D572AC" w:rsidRPr="00D306AF">
        <w:rPr>
          <w:lang w:val="en-US"/>
        </w:rPr>
        <w:t>a</w:t>
      </w:r>
      <w:r w:rsidR="004B2680" w:rsidRPr="00D306AF">
        <w:rPr>
          <w:lang w:val="en-US"/>
        </w:rPr>
        <w:t xml:space="preserve">romatic </w:t>
      </w:r>
      <w:r w:rsidR="00D572AC" w:rsidRPr="00D306AF">
        <w:rPr>
          <w:lang w:val="en-US"/>
        </w:rPr>
        <w:t>h</w:t>
      </w:r>
      <w:r w:rsidRPr="00D306AF">
        <w:rPr>
          <w:lang w:val="en-US"/>
        </w:rPr>
        <w:t xml:space="preserve">ydrocarbons (PAHs) and heavy metals. This study </w:t>
      </w:r>
      <w:r w:rsidR="00D572AC" w:rsidRPr="00D306AF">
        <w:rPr>
          <w:lang w:val="en-US"/>
        </w:rPr>
        <w:t>aim</w:t>
      </w:r>
      <w:r w:rsidR="0095554F" w:rsidRPr="00D306AF">
        <w:rPr>
          <w:lang w:val="en-US"/>
        </w:rPr>
        <w:t>ed</w:t>
      </w:r>
      <w:r w:rsidRPr="00D306AF">
        <w:rPr>
          <w:lang w:val="en-US"/>
        </w:rPr>
        <w:t xml:space="preserve"> to </w:t>
      </w:r>
      <w:r w:rsidR="00F51F3F" w:rsidRPr="00D306AF">
        <w:rPr>
          <w:lang w:val="en-US"/>
        </w:rPr>
        <w:t xml:space="preserve">evaluate the efficiency of </w:t>
      </w:r>
      <w:proofErr w:type="spellStart"/>
      <w:r w:rsidR="00F51F3F" w:rsidRPr="00D306AF">
        <w:rPr>
          <w:lang w:val="en-US"/>
        </w:rPr>
        <w:t>electrobioremediation</w:t>
      </w:r>
      <w:proofErr w:type="spellEnd"/>
      <w:r w:rsidR="00F51F3F" w:rsidRPr="00D306AF">
        <w:rPr>
          <w:lang w:val="en-US"/>
        </w:rPr>
        <w:t xml:space="preserve"> (EB) </w:t>
      </w:r>
      <w:r w:rsidR="0095554F" w:rsidRPr="00D306AF">
        <w:rPr>
          <w:lang w:val="en-US"/>
        </w:rPr>
        <w:t xml:space="preserve">for </w:t>
      </w:r>
      <w:r w:rsidRPr="00D306AF">
        <w:rPr>
          <w:lang w:val="en-US"/>
        </w:rPr>
        <w:t>PAH</w:t>
      </w:r>
      <w:r w:rsidR="0095554F" w:rsidRPr="00D306AF">
        <w:rPr>
          <w:lang w:val="en-US"/>
        </w:rPr>
        <w:t xml:space="preserve"> degradation in cutting s</w:t>
      </w:r>
      <w:r w:rsidR="00750412" w:rsidRPr="00D306AF">
        <w:rPr>
          <w:lang w:val="en-US"/>
        </w:rPr>
        <w:t>amples</w:t>
      </w:r>
      <w:r w:rsidRPr="00D306AF">
        <w:rPr>
          <w:lang w:val="en-US"/>
        </w:rPr>
        <w:t xml:space="preserve">, </w:t>
      </w:r>
      <w:r w:rsidR="00750412" w:rsidRPr="00D306AF">
        <w:rPr>
          <w:lang w:val="en-US"/>
        </w:rPr>
        <w:t xml:space="preserve">analyzing the influence of </w:t>
      </w:r>
      <w:r w:rsidRPr="00D306AF">
        <w:rPr>
          <w:lang w:val="en-US"/>
        </w:rPr>
        <w:t xml:space="preserve">physicochemical parameters, heavy metal content, and the </w:t>
      </w:r>
      <w:r w:rsidR="003A3EFC" w:rsidRPr="00D306AF">
        <w:rPr>
          <w:lang w:val="en-US"/>
        </w:rPr>
        <w:t>behavior</w:t>
      </w:r>
      <w:r w:rsidRPr="00D306AF">
        <w:rPr>
          <w:lang w:val="en-US"/>
        </w:rPr>
        <w:t xml:space="preserve"> of the indigenous bacterial community. </w:t>
      </w:r>
      <w:r w:rsidR="00D2651E" w:rsidRPr="00D306AF">
        <w:rPr>
          <w:lang w:val="en-US"/>
        </w:rPr>
        <w:t>A l</w:t>
      </w:r>
      <w:r w:rsidRPr="00D306AF">
        <w:rPr>
          <w:lang w:val="en-US"/>
        </w:rPr>
        <w:t xml:space="preserve">aboratory-scale electrochemical cell was </w:t>
      </w:r>
      <w:r w:rsidR="00D572AC" w:rsidRPr="00D306AF">
        <w:rPr>
          <w:lang w:val="en-US"/>
        </w:rPr>
        <w:t xml:space="preserve">used </w:t>
      </w:r>
      <w:r w:rsidR="00D2651E" w:rsidRPr="00D306AF">
        <w:rPr>
          <w:lang w:val="en-US"/>
        </w:rPr>
        <w:t xml:space="preserve">to treat </w:t>
      </w:r>
      <w:r w:rsidRPr="00D306AF">
        <w:rPr>
          <w:lang w:val="en-US"/>
        </w:rPr>
        <w:t>cutting</w:t>
      </w:r>
      <w:r w:rsidR="0082024B" w:rsidRPr="00D306AF">
        <w:rPr>
          <w:lang w:val="en-US"/>
        </w:rPr>
        <w:t xml:space="preserve"> samples</w:t>
      </w:r>
      <w:r w:rsidRPr="00D306AF">
        <w:rPr>
          <w:lang w:val="en-US"/>
        </w:rPr>
        <w:t xml:space="preserve">. </w:t>
      </w:r>
      <w:r w:rsidR="00833440" w:rsidRPr="00D306AF">
        <w:rPr>
          <w:lang w:val="en-US"/>
        </w:rPr>
        <w:t xml:space="preserve">For 60 days, cutting samples without nutrients and </w:t>
      </w:r>
      <w:r w:rsidR="00D572AC" w:rsidRPr="00D306AF">
        <w:rPr>
          <w:lang w:val="en-US"/>
        </w:rPr>
        <w:t xml:space="preserve">those </w:t>
      </w:r>
      <w:r w:rsidR="00833440" w:rsidRPr="00D306AF">
        <w:rPr>
          <w:lang w:val="en-US"/>
        </w:rPr>
        <w:t>enriched with</w:t>
      </w:r>
      <w:r w:rsidR="0095554F" w:rsidRPr="00D306AF">
        <w:rPr>
          <w:lang w:val="en-US"/>
        </w:rPr>
        <w:t xml:space="preserve"> nutrients</w:t>
      </w:r>
      <w:r w:rsidR="00833440" w:rsidRPr="00D306AF">
        <w:rPr>
          <w:lang w:val="en-US"/>
        </w:rPr>
        <w:t xml:space="preserve"> </w:t>
      </w:r>
      <w:r w:rsidR="0095554F" w:rsidRPr="00D306AF">
        <w:rPr>
          <w:lang w:val="en-US"/>
        </w:rPr>
        <w:t>(</w:t>
      </w:r>
      <w:r w:rsidR="00833440" w:rsidRPr="00D306AF">
        <w:rPr>
          <w:lang w:val="en-US"/>
        </w:rPr>
        <w:t>nitrogen and phosphorus</w:t>
      </w:r>
      <w:r w:rsidR="0095554F" w:rsidRPr="00D306AF">
        <w:rPr>
          <w:lang w:val="en-US"/>
        </w:rPr>
        <w:t>)</w:t>
      </w:r>
      <w:r w:rsidR="00833440" w:rsidRPr="00D306AF">
        <w:rPr>
          <w:lang w:val="en-US"/>
        </w:rPr>
        <w:t xml:space="preserve"> </w:t>
      </w:r>
      <w:r w:rsidR="00F51F3F" w:rsidRPr="00D306AF">
        <w:rPr>
          <w:lang w:val="en-US"/>
        </w:rPr>
        <w:t xml:space="preserve">at a </w:t>
      </w:r>
      <w:proofErr w:type="gramStart"/>
      <w:r w:rsidR="00F51F3F" w:rsidRPr="00D306AF">
        <w:rPr>
          <w:lang w:val="en-US"/>
        </w:rPr>
        <w:t>C:N</w:t>
      </w:r>
      <w:proofErr w:type="gramEnd"/>
      <w:r w:rsidR="00F51F3F" w:rsidRPr="00D306AF">
        <w:rPr>
          <w:lang w:val="en-US"/>
        </w:rPr>
        <w:t xml:space="preserve">:P ratio of </w:t>
      </w:r>
      <w:r w:rsidR="00833440" w:rsidRPr="00D306AF">
        <w:rPr>
          <w:lang w:val="en-US"/>
        </w:rPr>
        <w:t>100:1:</w:t>
      </w:r>
      <w:r w:rsidR="006F6745" w:rsidRPr="00D306AF">
        <w:rPr>
          <w:lang w:val="en-US"/>
        </w:rPr>
        <w:t>0</w:t>
      </w:r>
      <w:r w:rsidR="00D572AC" w:rsidRPr="00D306AF">
        <w:rPr>
          <w:lang w:val="en-US"/>
        </w:rPr>
        <w:t>.</w:t>
      </w:r>
      <w:r w:rsidR="00833440" w:rsidRPr="00D306AF">
        <w:rPr>
          <w:lang w:val="en-US"/>
        </w:rPr>
        <w:t>1 w</w:t>
      </w:r>
      <w:r w:rsidR="00D2651E" w:rsidRPr="00D306AF">
        <w:rPr>
          <w:lang w:val="en-US"/>
        </w:rPr>
        <w:t xml:space="preserve">ere treated </w:t>
      </w:r>
      <w:r w:rsidR="00833440" w:rsidRPr="00D306AF">
        <w:rPr>
          <w:lang w:val="en-US"/>
        </w:rPr>
        <w:t>using EB cells</w:t>
      </w:r>
      <w:r w:rsidR="00D2651E" w:rsidRPr="00D306AF">
        <w:rPr>
          <w:lang w:val="en-US"/>
        </w:rPr>
        <w:t xml:space="preserve"> with</w:t>
      </w:r>
      <w:r w:rsidR="00833440" w:rsidRPr="00D306AF">
        <w:rPr>
          <w:lang w:val="en-US"/>
        </w:rPr>
        <w:t xml:space="preserve"> a constant voltage gradient of 0.5 V </w:t>
      </w:r>
      <w:r w:rsidR="00BF3E63" w:rsidRPr="00D306AF">
        <w:rPr>
          <w:lang w:val="en-US"/>
        </w:rPr>
        <w:t>cm</w:t>
      </w:r>
      <w:r w:rsidRPr="00D306AF">
        <w:rPr>
          <w:vertAlign w:val="superscript"/>
          <w:lang w:val="en-US"/>
        </w:rPr>
        <w:t>-1</w:t>
      </w:r>
      <w:r w:rsidRPr="00D306AF">
        <w:rPr>
          <w:lang w:val="en-US"/>
        </w:rPr>
        <w:t>.</w:t>
      </w:r>
      <w:r w:rsidR="00D572AC" w:rsidRPr="00D306AF">
        <w:rPr>
          <w:lang w:val="en-US"/>
        </w:rPr>
        <w:t xml:space="preserve"> </w:t>
      </w:r>
      <w:r w:rsidRPr="00D306AF">
        <w:rPr>
          <w:lang w:val="en-US"/>
        </w:rPr>
        <w:t>P</w:t>
      </w:r>
      <w:r w:rsidR="00750412" w:rsidRPr="00D306AF">
        <w:rPr>
          <w:lang w:val="en-US"/>
        </w:rPr>
        <w:t>AHs</w:t>
      </w:r>
      <w:r w:rsidRPr="00D306AF">
        <w:rPr>
          <w:lang w:val="en-US"/>
        </w:rPr>
        <w:t xml:space="preserve"> and heavy metal</w:t>
      </w:r>
      <w:r w:rsidR="00D2651E" w:rsidRPr="00D306AF">
        <w:rPr>
          <w:lang w:val="en-US"/>
        </w:rPr>
        <w:t>s</w:t>
      </w:r>
      <w:r w:rsidRPr="00D306AF">
        <w:rPr>
          <w:lang w:val="en-US"/>
        </w:rPr>
        <w:t xml:space="preserve"> analyses, bacterial enumeration, identification via FAMEs</w:t>
      </w:r>
      <w:r w:rsidR="00D572AC" w:rsidRPr="00D306AF">
        <w:rPr>
          <w:lang w:val="en-US"/>
        </w:rPr>
        <w:t>,</w:t>
      </w:r>
      <w:r w:rsidRPr="00D306AF">
        <w:rPr>
          <w:lang w:val="en-US"/>
        </w:rPr>
        <w:t xml:space="preserve"> and </w:t>
      </w:r>
      <w:r w:rsidR="00341C50" w:rsidRPr="00D306AF">
        <w:rPr>
          <w:lang w:val="en-US"/>
        </w:rPr>
        <w:t xml:space="preserve">analysis of the bacterial community by </w:t>
      </w:r>
      <w:r w:rsidRPr="00D306AF">
        <w:rPr>
          <w:lang w:val="en-US"/>
        </w:rPr>
        <w:t xml:space="preserve">DGGE were </w:t>
      </w:r>
      <w:r w:rsidR="00D572AC" w:rsidRPr="00D306AF">
        <w:rPr>
          <w:lang w:val="en-US"/>
        </w:rPr>
        <w:t>performed</w:t>
      </w:r>
      <w:r w:rsidRPr="00D306AF">
        <w:rPr>
          <w:lang w:val="en-US"/>
        </w:rPr>
        <w:t xml:space="preserve">. EB treatment </w:t>
      </w:r>
      <w:r w:rsidR="00D572AC" w:rsidRPr="00D306AF">
        <w:rPr>
          <w:lang w:val="en-US"/>
        </w:rPr>
        <w:t xml:space="preserve">showed </w:t>
      </w:r>
      <w:r w:rsidRPr="00D306AF">
        <w:rPr>
          <w:lang w:val="en-US"/>
        </w:rPr>
        <w:t>effective PAH degradation compared to control systems, achieving degradation rates ranging from 15</w:t>
      </w:r>
      <w:r w:rsidR="00FA5129" w:rsidRPr="00D306AF">
        <w:rPr>
          <w:lang w:val="en-US"/>
        </w:rPr>
        <w:t xml:space="preserve"> </w:t>
      </w:r>
      <w:r w:rsidRPr="00D306AF">
        <w:rPr>
          <w:lang w:val="en-US"/>
        </w:rPr>
        <w:t>% to 91</w:t>
      </w:r>
      <w:r w:rsidR="00FA5129" w:rsidRPr="00D306AF">
        <w:rPr>
          <w:lang w:val="en-US"/>
        </w:rPr>
        <w:t xml:space="preserve"> </w:t>
      </w:r>
      <w:r w:rsidRPr="00D306AF">
        <w:rPr>
          <w:lang w:val="en-US"/>
        </w:rPr>
        <w:t xml:space="preserve">% in the </w:t>
      </w:r>
      <w:r w:rsidR="00D3653B" w:rsidRPr="00D306AF">
        <w:rPr>
          <w:lang w:val="en-US"/>
        </w:rPr>
        <w:t xml:space="preserve">EB system </w:t>
      </w:r>
      <w:r w:rsidRPr="00D306AF">
        <w:rPr>
          <w:lang w:val="en-US"/>
        </w:rPr>
        <w:t xml:space="preserve">with nutrient addition. After 60 days of treatment, </w:t>
      </w:r>
      <w:r w:rsidR="00750412" w:rsidRPr="00D306AF">
        <w:rPr>
          <w:lang w:val="en-US"/>
        </w:rPr>
        <w:t xml:space="preserve">higher </w:t>
      </w:r>
      <w:r w:rsidRPr="00D306AF">
        <w:rPr>
          <w:lang w:val="en-US"/>
        </w:rPr>
        <w:t xml:space="preserve">PAH removal </w:t>
      </w:r>
      <w:r w:rsidR="00750412" w:rsidRPr="00D306AF">
        <w:rPr>
          <w:lang w:val="en-US"/>
        </w:rPr>
        <w:t xml:space="preserve">was observed at </w:t>
      </w:r>
      <w:r w:rsidR="004C2376" w:rsidRPr="00D306AF">
        <w:rPr>
          <w:lang w:val="en-US"/>
        </w:rPr>
        <w:t>sites near the electrodes</w:t>
      </w:r>
      <w:r w:rsidR="00750412" w:rsidRPr="00D306AF">
        <w:rPr>
          <w:lang w:val="en-US"/>
        </w:rPr>
        <w:t xml:space="preserve"> </w:t>
      </w:r>
      <w:r w:rsidRPr="00D306AF">
        <w:rPr>
          <w:lang w:val="en-US"/>
        </w:rPr>
        <w:t xml:space="preserve">(A3 and B3). </w:t>
      </w:r>
      <w:r w:rsidR="00750412" w:rsidRPr="00D306AF">
        <w:rPr>
          <w:lang w:val="en-US"/>
        </w:rPr>
        <w:t>E</w:t>
      </w:r>
      <w:r w:rsidRPr="00D306AF">
        <w:rPr>
          <w:lang w:val="en-US"/>
        </w:rPr>
        <w:t xml:space="preserve">levated barium concentrations did not adversely affect the indigenous bacterial community, which remained in optimal conditions for degradation. </w:t>
      </w:r>
      <w:r w:rsidR="00750412" w:rsidRPr="00D306AF">
        <w:rPr>
          <w:lang w:val="en-US"/>
        </w:rPr>
        <w:t>C</w:t>
      </w:r>
      <w:r w:rsidR="00961B3D" w:rsidRPr="00D306AF">
        <w:rPr>
          <w:lang w:val="en-US"/>
        </w:rPr>
        <w:t xml:space="preserve">hemical properties (conductivity, inorganic ions, pH, </w:t>
      </w:r>
      <w:r w:rsidR="00750412" w:rsidRPr="00D306AF">
        <w:rPr>
          <w:lang w:val="en-US"/>
        </w:rPr>
        <w:t>moisture</w:t>
      </w:r>
      <w:r w:rsidR="00D2651E" w:rsidRPr="00D306AF">
        <w:rPr>
          <w:lang w:val="en-US"/>
        </w:rPr>
        <w:t>,</w:t>
      </w:r>
      <w:r w:rsidR="00961B3D" w:rsidRPr="00D306AF">
        <w:rPr>
          <w:lang w:val="en-US"/>
        </w:rPr>
        <w:t xml:space="preserve"> and temperature) and </w:t>
      </w:r>
      <w:r w:rsidR="00D2651E" w:rsidRPr="00D306AF">
        <w:rPr>
          <w:lang w:val="en-US"/>
        </w:rPr>
        <w:t>changes</w:t>
      </w:r>
      <w:r w:rsidR="00961B3D" w:rsidRPr="00D306AF">
        <w:rPr>
          <w:lang w:val="en-US"/>
        </w:rPr>
        <w:t xml:space="preserve"> </w:t>
      </w:r>
      <w:r w:rsidR="003075B1" w:rsidRPr="00D306AF">
        <w:rPr>
          <w:lang w:val="en-US"/>
        </w:rPr>
        <w:t xml:space="preserve">in </w:t>
      </w:r>
      <w:r w:rsidR="00D2651E" w:rsidRPr="00D306AF">
        <w:rPr>
          <w:lang w:val="en-US"/>
        </w:rPr>
        <w:t xml:space="preserve">the </w:t>
      </w:r>
      <w:r w:rsidR="003075B1" w:rsidRPr="00D306AF">
        <w:rPr>
          <w:lang w:val="en-US"/>
        </w:rPr>
        <w:t>microbial</w:t>
      </w:r>
      <w:r w:rsidR="0082024B" w:rsidRPr="00D306AF">
        <w:rPr>
          <w:lang w:val="en-US"/>
        </w:rPr>
        <w:t xml:space="preserve"> community</w:t>
      </w:r>
      <w:r w:rsidR="00750412" w:rsidRPr="00D306AF">
        <w:rPr>
          <w:lang w:val="en-US"/>
        </w:rPr>
        <w:t xml:space="preserve"> structure</w:t>
      </w:r>
      <w:r w:rsidR="0082024B" w:rsidRPr="00D306AF">
        <w:rPr>
          <w:lang w:val="en-US"/>
        </w:rPr>
        <w:t xml:space="preserve"> were</w:t>
      </w:r>
      <w:r w:rsidR="00961B3D" w:rsidRPr="00D306AF">
        <w:rPr>
          <w:lang w:val="en-US"/>
        </w:rPr>
        <w:t xml:space="preserve"> fundamental to explain the degradation in different systems.</w:t>
      </w:r>
    </w:p>
    <w:p w14:paraId="32C9F5C7" w14:textId="50E81A81" w:rsidR="002A35BF" w:rsidRDefault="00DF2113" w:rsidP="002A35BF">
      <w:pPr>
        <w:spacing w:after="240" w:line="480" w:lineRule="auto"/>
        <w:jc w:val="both"/>
        <w:rPr>
          <w:lang w:val="en-US"/>
        </w:rPr>
      </w:pPr>
      <w:r w:rsidRPr="00D306AF">
        <w:rPr>
          <w:b/>
          <w:bCs/>
          <w:lang w:val="en-US"/>
        </w:rPr>
        <w:t>Keywords</w:t>
      </w:r>
      <w:r w:rsidR="00DD139F" w:rsidRPr="00D306AF">
        <w:rPr>
          <w:b/>
          <w:bCs/>
          <w:lang w:val="en-US"/>
        </w:rPr>
        <w:t>:</w:t>
      </w:r>
      <w:r w:rsidR="0052393D" w:rsidRPr="00D306AF">
        <w:rPr>
          <w:lang w:val="en-US"/>
        </w:rPr>
        <w:t xml:space="preserve"> </w:t>
      </w:r>
      <w:r w:rsidR="00CB537E" w:rsidRPr="00D306AF">
        <w:rPr>
          <w:lang w:val="en-US"/>
        </w:rPr>
        <w:t>Bacterial community</w:t>
      </w:r>
      <w:r w:rsidR="0052393D" w:rsidRPr="00D306AF">
        <w:rPr>
          <w:lang w:val="en-US"/>
        </w:rPr>
        <w:t>,</w:t>
      </w:r>
      <w:r w:rsidR="00340B14" w:rsidRPr="00D306AF">
        <w:rPr>
          <w:lang w:val="en-US"/>
        </w:rPr>
        <w:t xml:space="preserve"> </w:t>
      </w:r>
      <w:r w:rsidR="00171EEA" w:rsidRPr="00D306AF">
        <w:rPr>
          <w:lang w:val="en-US"/>
        </w:rPr>
        <w:t>b</w:t>
      </w:r>
      <w:r w:rsidR="00340B14" w:rsidRPr="00D306AF">
        <w:rPr>
          <w:lang w:val="en-US"/>
        </w:rPr>
        <w:t>ioremediation,</w:t>
      </w:r>
      <w:r w:rsidR="0052393D" w:rsidRPr="00D306AF">
        <w:rPr>
          <w:lang w:val="en-US"/>
        </w:rPr>
        <w:t xml:space="preserve"> </w:t>
      </w:r>
      <w:r w:rsidR="00171EEA" w:rsidRPr="00D306AF">
        <w:rPr>
          <w:lang w:val="en-US"/>
        </w:rPr>
        <w:t>h</w:t>
      </w:r>
      <w:r w:rsidR="0052393D" w:rsidRPr="00D306AF">
        <w:rPr>
          <w:lang w:val="en-US"/>
        </w:rPr>
        <w:t xml:space="preserve">eavy metals, </w:t>
      </w:r>
      <w:r w:rsidR="00171EEA" w:rsidRPr="00D306AF">
        <w:rPr>
          <w:lang w:val="en-US"/>
        </w:rPr>
        <w:t>o</w:t>
      </w:r>
      <w:r w:rsidR="0052393D" w:rsidRPr="00D306AF">
        <w:rPr>
          <w:lang w:val="en-US"/>
        </w:rPr>
        <w:t>il exploration waste</w:t>
      </w:r>
      <w:r w:rsidR="00C57F0C" w:rsidRPr="00D306AF">
        <w:rPr>
          <w:lang w:val="en-US"/>
        </w:rPr>
        <w:t>.</w:t>
      </w:r>
    </w:p>
    <w:p w14:paraId="734DBA2D" w14:textId="77777777" w:rsidR="00570047" w:rsidRPr="00D306AF" w:rsidRDefault="00570047" w:rsidP="002A35BF">
      <w:pPr>
        <w:spacing w:after="240" w:line="480" w:lineRule="auto"/>
        <w:jc w:val="both"/>
        <w:rPr>
          <w:lang w:val="en-US"/>
        </w:rPr>
      </w:pPr>
    </w:p>
    <w:p w14:paraId="6174C621" w14:textId="7DAC6CD8" w:rsidR="00426F77" w:rsidRPr="00D306AF" w:rsidRDefault="00330820" w:rsidP="002A35BF">
      <w:pPr>
        <w:spacing w:after="120" w:line="480" w:lineRule="auto"/>
        <w:rPr>
          <w:b/>
        </w:rPr>
      </w:pPr>
      <w:r w:rsidRPr="00D306AF">
        <w:rPr>
          <w:b/>
        </w:rPr>
        <w:lastRenderedPageBreak/>
        <w:t>INTRODUCCIÓN</w:t>
      </w:r>
    </w:p>
    <w:p w14:paraId="77ABA935" w14:textId="4076CD97" w:rsidR="008E412A" w:rsidRPr="00D306AF" w:rsidRDefault="001A2F75" w:rsidP="00CE2DC0">
      <w:pPr>
        <w:spacing w:line="480" w:lineRule="auto"/>
        <w:jc w:val="both"/>
        <w:rPr>
          <w:shd w:val="clear" w:color="auto" w:fill="FFFFFF"/>
        </w:rPr>
      </w:pPr>
      <w:r w:rsidRPr="00D306AF">
        <w:rPr>
          <w:lang w:val="es-ES"/>
        </w:rPr>
        <w:t xml:space="preserve">Como producto de </w:t>
      </w:r>
      <w:r w:rsidR="00FD5AB5" w:rsidRPr="00D306AF">
        <w:rPr>
          <w:lang w:val="es-ES"/>
        </w:rPr>
        <w:t>las actividades cotidianas</w:t>
      </w:r>
      <w:r w:rsidRPr="00D306AF">
        <w:rPr>
          <w:lang w:val="es-ES"/>
        </w:rPr>
        <w:t xml:space="preserve"> de la</w:t>
      </w:r>
      <w:r w:rsidR="0048050A" w:rsidRPr="00D306AF">
        <w:rPr>
          <w:lang w:val="es-ES"/>
        </w:rPr>
        <w:t xml:space="preserve"> industria petrolera </w:t>
      </w:r>
      <w:r w:rsidRPr="00D306AF">
        <w:rPr>
          <w:lang w:val="es-ES"/>
        </w:rPr>
        <w:t xml:space="preserve">se generan </w:t>
      </w:r>
      <w:r w:rsidR="00FD5AB5" w:rsidRPr="00D306AF">
        <w:rPr>
          <w:lang w:val="es-ES"/>
        </w:rPr>
        <w:t xml:space="preserve">incidentes </w:t>
      </w:r>
      <w:r w:rsidRPr="00D306AF">
        <w:rPr>
          <w:lang w:val="es-ES"/>
        </w:rPr>
        <w:t xml:space="preserve">que </w:t>
      </w:r>
      <w:r w:rsidR="005B55B3" w:rsidRPr="00D306AF">
        <w:rPr>
          <w:lang w:val="es-ES"/>
        </w:rPr>
        <w:t>ocasionan</w:t>
      </w:r>
      <w:r w:rsidR="00FD5AB5" w:rsidRPr="00D306AF">
        <w:rPr>
          <w:lang w:val="es-ES"/>
        </w:rPr>
        <w:t xml:space="preserve"> la</w:t>
      </w:r>
      <w:r w:rsidR="0048050A" w:rsidRPr="00D306AF">
        <w:rPr>
          <w:lang w:val="es-ES"/>
        </w:rPr>
        <w:t xml:space="preserve"> contaminación de</w:t>
      </w:r>
      <w:r w:rsidR="00FD5AB5" w:rsidRPr="00D306AF">
        <w:rPr>
          <w:lang w:val="es-ES"/>
        </w:rPr>
        <w:t>l suelo, del agua y del</w:t>
      </w:r>
      <w:r w:rsidR="0048050A" w:rsidRPr="00D306AF">
        <w:rPr>
          <w:lang w:val="es-ES"/>
        </w:rPr>
        <w:t xml:space="preserve"> aire. </w:t>
      </w:r>
      <w:r w:rsidR="005B55B3" w:rsidRPr="00D306AF">
        <w:rPr>
          <w:lang w:val="es-ES"/>
        </w:rPr>
        <w:t>Durante l</w:t>
      </w:r>
      <w:r w:rsidR="0048050A" w:rsidRPr="00D306AF">
        <w:rPr>
          <w:lang w:val="es-ES"/>
        </w:rPr>
        <w:t>a perforación</w:t>
      </w:r>
      <w:r w:rsidR="00FD5AB5" w:rsidRPr="00D306AF">
        <w:rPr>
          <w:lang w:val="es-ES"/>
        </w:rPr>
        <w:t xml:space="preserve"> realizada para </w:t>
      </w:r>
      <w:r w:rsidR="005B55B3" w:rsidRPr="00D306AF">
        <w:rPr>
          <w:lang w:val="es-ES"/>
        </w:rPr>
        <w:t>la extracción</w:t>
      </w:r>
      <w:r w:rsidR="00FD5AB5" w:rsidRPr="00D306AF">
        <w:rPr>
          <w:lang w:val="es-ES"/>
        </w:rPr>
        <w:t xml:space="preserve"> </w:t>
      </w:r>
      <w:r w:rsidR="005B55B3" w:rsidRPr="00D306AF">
        <w:rPr>
          <w:lang w:val="es-ES"/>
        </w:rPr>
        <w:t>de</w:t>
      </w:r>
      <w:r w:rsidR="00FD5AB5" w:rsidRPr="00D306AF">
        <w:rPr>
          <w:lang w:val="es-ES"/>
        </w:rPr>
        <w:t xml:space="preserve"> hidrocarburo</w:t>
      </w:r>
      <w:r w:rsidR="005B55B3" w:rsidRPr="00D306AF">
        <w:rPr>
          <w:lang w:val="es-ES"/>
        </w:rPr>
        <w:t>s</w:t>
      </w:r>
      <w:r w:rsidR="00FD5AB5" w:rsidRPr="00D306AF">
        <w:rPr>
          <w:lang w:val="es-ES"/>
        </w:rPr>
        <w:t xml:space="preserve"> </w:t>
      </w:r>
      <w:r w:rsidR="005B55B3" w:rsidRPr="00D306AF">
        <w:rPr>
          <w:lang w:val="es-ES"/>
        </w:rPr>
        <w:t xml:space="preserve">se </w:t>
      </w:r>
      <w:r w:rsidR="004C2376" w:rsidRPr="00D306AF">
        <w:rPr>
          <w:lang w:val="es-ES"/>
        </w:rPr>
        <w:t xml:space="preserve">producen </w:t>
      </w:r>
      <w:r w:rsidR="005B55B3" w:rsidRPr="00D306AF">
        <w:rPr>
          <w:lang w:val="es-ES"/>
        </w:rPr>
        <w:t>los denominados</w:t>
      </w:r>
      <w:r w:rsidR="00FD5AB5" w:rsidRPr="00D306AF">
        <w:rPr>
          <w:lang w:val="es-ES"/>
        </w:rPr>
        <w:t xml:space="preserve"> </w:t>
      </w:r>
      <w:proofErr w:type="spellStart"/>
      <w:r w:rsidR="0048050A" w:rsidRPr="00D306AF">
        <w:rPr>
          <w:i/>
          <w:lang w:val="es-ES"/>
        </w:rPr>
        <w:t>cutting</w:t>
      </w:r>
      <w:r w:rsidR="005B55B3" w:rsidRPr="00D306AF">
        <w:rPr>
          <w:i/>
          <w:lang w:val="es-ES"/>
        </w:rPr>
        <w:t>s</w:t>
      </w:r>
      <w:proofErr w:type="spellEnd"/>
      <w:r w:rsidR="00241F47" w:rsidRPr="00D306AF">
        <w:rPr>
          <w:lang w:val="es-ES"/>
        </w:rPr>
        <w:t xml:space="preserve"> o </w:t>
      </w:r>
      <w:r w:rsidR="0048050A" w:rsidRPr="00D306AF">
        <w:t>recortes de perforación</w:t>
      </w:r>
      <w:r w:rsidR="00FD5AB5" w:rsidRPr="00D306AF">
        <w:t xml:space="preserve">, </w:t>
      </w:r>
      <w:r w:rsidR="004C2376" w:rsidRPr="00D306AF">
        <w:t xml:space="preserve">compuestos por </w:t>
      </w:r>
      <w:r w:rsidR="0048050A" w:rsidRPr="00D306AF">
        <w:t xml:space="preserve">partículas trituradas de las </w:t>
      </w:r>
      <w:r w:rsidR="00964CDB" w:rsidRPr="00D306AF">
        <w:t xml:space="preserve">rocas que </w:t>
      </w:r>
      <w:r w:rsidR="0048050A" w:rsidRPr="00D306AF">
        <w:t>el trépano atrav</w:t>
      </w:r>
      <w:r w:rsidR="004C2376" w:rsidRPr="00D306AF">
        <w:t>i</w:t>
      </w:r>
      <w:r w:rsidR="0048050A" w:rsidRPr="00D306AF">
        <w:t>esa</w:t>
      </w:r>
      <w:r w:rsidR="00964CDB" w:rsidRPr="00D306AF">
        <w:t xml:space="preserve"> </w:t>
      </w:r>
      <w:r w:rsidR="004C2376" w:rsidRPr="00D306AF">
        <w:t xml:space="preserve">durante </w:t>
      </w:r>
      <w:r w:rsidR="00964CDB" w:rsidRPr="00D306AF">
        <w:t xml:space="preserve">la </w:t>
      </w:r>
      <w:r w:rsidR="00920986" w:rsidRPr="00D306AF">
        <w:t xml:space="preserve">extracción </w:t>
      </w:r>
      <w:r w:rsidR="00E0145F" w:rsidRPr="00D306AF">
        <w:fldChar w:fldCharType="begin"/>
      </w:r>
      <w:r w:rsidR="00CB0CE4" w:rsidRPr="00D306AF">
        <w:instrText xml:space="preserve"> ADDIN ZOTERO_ITEM CSL_CITATION {"citationID":"VR1hvw8V","properties":{"unsorted":false,"formattedCitation":"(Costa et\\uc0\\u160{}al., 2023; Pereira et\\uc0\\u160{}al., 2022)","plainCitation":"(Costa et al., 2023; Pereira et al., 2022)","noteIndex":0},"citationItems":[{"id":5,"uris":["http://zotero.org/users/local/fvn0idRM/items/8KI69EYH"],"itemData":{"id":5,"type":"article-journal","abstract":"Drill cuttings comprise a mixture of rocks generated during drilling activities of exploration and production of oil and gas. These residues' properties are variable, depending on several drilling parameters and drilled rock composition. Many scientific studies have been published regarding the characterization of these residues. Articles summarizing these residues' characteristics and toxicity data are poorly explored in the literature. This work reviews the principal methods used to characterize drill cuttings and data about these residues' properties. Some authors have reported the large content of Zn in drill cuttings. These cuttings can be associated with base fluids (as olefins, varying from C11 to C18), and some time crude oil (high range of TPH, unresolved complex mixtures, and PAH compounds). Acute and chronic toxicity tests have shown negative impacts of different types of fluids, the components of these fluids, and cuttings on other marine organisms.","container-title":"Marine Pollution Bulletin","DOI":"10.1016/j.marpolbul.2023.115342","ISSN":"0025-326X","journalAbbreviation":"Marine Pollution Bulletin","page":"115342","source":"ScienceDirect","title":"Physical and chemical characterization of drill cuttings: A review","title-short":"Physical and chemical characterization of drill cuttings","volume":"194","author":[{"family":"Costa","given":"L. C."},{"family":"Carvalho","given":"C. F."},{"family":"Soares","given":"A. S. F."},{"family":"Souza","given":"A. C. P."},{"family":"Bastos","given":"E. F. T."},{"family":"Guimarães","given":"E. C. B. T."},{"family":"Santos","given":"J. C."},{"family":"Carvalho","given":"T."},{"family":"Calderari","given":"V. H."},{"family":"Marinho","given":"L. S."},{"family":"Marques","given":"M. R. C."}],"issued":{"date-parts":[["2023",9,1]]}}},{"id":3,"uris":["http://zotero.org/users/local/fvn0idRM/items/6HQN75FN"],"itemData":{"id":3,"type":"article-journal","abstract":"The oil Exploration &amp; Production (E&amp;P) industry provides an important energy source for the world. However, there is a worldwide concern about the environmental impacts of E&amp;P activities. Spent drilling fluid is one of the drilling wastes generated by the oil and gas industry’s activities. Drilling fluid and drill cuttings together form the second-largest volume of residues generated by the E&amp;P industry. Drilling fluids are responsible for many important functions in the well drilling process. They are recirculated between the well and the platform several times during the drilling of an oil well. When the drilling reaches the reservoir phase, spent drilling fluid return to the surface contaminated with oil. The resulting residue has several compounds containing potential pollutants, which if incorrectly disposed of can pose several risks to terrestrial, aquatic, and aerial environments, including reducing soil fertility, affecting negatively the flora and fauna and causing health problems due to the volatilization of hazardous oil components such as benzene, toluene, ethylbenzene and xylene into the atmosphere. In this sense, regulators have established that the disposal of non-water based and water-based drilling fluid containing free oil is not allowed above 1% in volume. Therefore, the treatment of oily residues generated in E&amp;P activities is an essential task. Studies around the world presented a variety of physical, chemical, and biological methods to treat drilling waste: bioremediation, thermal, physicochemical, supercritical fluid, electrokinetic and stabilization/solidification treatment. All these methods showed promising results while presenting a series of advantages and limitations. It is also important to note that most treatment methods can recover and/or recycle oil, the main contaminant of the wastes generated. In choosing the best method, some relevant factors need to be considered, such as the drilling waste’s characteristics and the costs to implement the process on a large scale. It was observed that only bioremediation and stabilization/solidification proved to be easy to apply on a large scale. However, the bioremediation treatment process is of long duration, and high biodegradation efficiency is difficult to be achieved in uncontrolled environments. In the stabilization/solidification treatment, in turn, encapsulating all contaminants from the waste is difficult. Therefore, the development of new physicochemical methods for the large-scale treatment of drilling waste have been proposed, as the physicochemical treatment presented the highest treatment efficiency when compared with other methods, while also enabling the recovery and reuse of all separated phases.","container-title":"Fuel","DOI":"10.1016/j.fuel.2021.122301","ISSN":"0016-2361","journalAbbreviation":"Fuel","page":"122301","source":"ScienceDirect","title":"Environmental impacts related to drilling fluid waste and treatment methods: A critical review","title-short":"Environmental impacts related to drilling fluid waste and treatment methods","volume":"310","author":[{"family":"Pereira","given":"Laine B."},{"family":"Sad","given":"Cristina M. S."},{"family":"Castro","given":"Eustáquio V. R."},{"family":"Filgueiras","given":"Paulo R."},{"family":"Lacerda","given":"Valdemar"}],"issued":{"date-parts":[["2022",2,15]]}}}],"schema":"https://github.com/citation-style-language/schema/raw/master/csl-citation.json"} </w:instrText>
      </w:r>
      <w:r w:rsidR="00E0145F" w:rsidRPr="00D306AF">
        <w:fldChar w:fldCharType="separate"/>
      </w:r>
      <w:r w:rsidR="00CB0CE4" w:rsidRPr="00D306AF">
        <w:t>(</w:t>
      </w:r>
      <w:r w:rsidR="00C56B5D" w:rsidRPr="00D306AF">
        <w:t xml:space="preserve">Pereira et al., 2022; </w:t>
      </w:r>
      <w:r w:rsidR="00CB0CE4" w:rsidRPr="00D306AF">
        <w:t>Costa et al., 2023)</w:t>
      </w:r>
      <w:r w:rsidR="00E0145F" w:rsidRPr="00D306AF">
        <w:fldChar w:fldCharType="end"/>
      </w:r>
      <w:r w:rsidR="004C2376" w:rsidRPr="00D306AF">
        <w:t>,</w:t>
      </w:r>
      <w:r w:rsidR="00525478" w:rsidRPr="00D306AF">
        <w:t xml:space="preserve"> </w:t>
      </w:r>
      <w:r w:rsidR="00920986" w:rsidRPr="00D306AF">
        <w:t>y</w:t>
      </w:r>
      <w:r w:rsidR="00964CDB" w:rsidRPr="00D306AF">
        <w:t xml:space="preserve"> </w:t>
      </w:r>
      <w:r w:rsidR="005F5F60" w:rsidRPr="00D306AF">
        <w:t>los lodos de perforación</w:t>
      </w:r>
      <w:r w:rsidR="0048050A" w:rsidRPr="00D306AF">
        <w:t xml:space="preserve"> </w:t>
      </w:r>
      <w:r w:rsidR="005F5F60" w:rsidRPr="00D306AF">
        <w:t>utilizados para lubricar, enfriar el tr</w:t>
      </w:r>
      <w:r w:rsidR="0083117A" w:rsidRPr="00D306AF">
        <w:t>é</w:t>
      </w:r>
      <w:r w:rsidR="005F5F60" w:rsidRPr="00D306AF">
        <w:t xml:space="preserve">pano y evacuar el </w:t>
      </w:r>
      <w:proofErr w:type="spellStart"/>
      <w:r w:rsidR="005F5F60" w:rsidRPr="00D306AF">
        <w:rPr>
          <w:i/>
        </w:rPr>
        <w:t>cutting</w:t>
      </w:r>
      <w:proofErr w:type="spellEnd"/>
      <w:r w:rsidR="005F5F60" w:rsidRPr="00D306AF">
        <w:t xml:space="preserve"> d</w:t>
      </w:r>
      <w:r w:rsidR="0048050A" w:rsidRPr="00D306AF">
        <w:t>el pozo</w:t>
      </w:r>
      <w:r w:rsidR="005C33DB" w:rsidRPr="00D306AF">
        <w:t xml:space="preserve"> </w:t>
      </w:r>
      <w:r w:rsidR="005C33DB" w:rsidRPr="00D306AF">
        <w:fldChar w:fldCharType="begin"/>
      </w:r>
      <w:r w:rsidR="00CB0CE4" w:rsidRPr="00D306AF">
        <w:instrText xml:space="preserve"> ADDIN ZOTERO_ITEM CSL_CITATION {"citationID":"l7UVaY8x","properties":{"unsorted":false,"formattedCitation":"(Fink, 2021)","plainCitation":"(Fink, 2021)","noteIndex":0},"citationItems":[{"id":7,"uris":["http://zotero.org/users/local/fvn0idRM/items/9PUNSID2"],"itemData":{"id":7,"type":"book","abstract":"Petroleum Engineer's Guide to Oil Field Chemicals and Fluids, Third Edition delivers all the necessary lists of chemicals by use, their basic components, benefits and environmental implications. Instead of searching through various sources, this updated reference presents a one-stop, non-commercialized approach by organizing products by function, matching the chemical to the process for practical problem-solving, and extending coverage with additional resources and supportive materials. Updates include shale specific fluids and organic additives, including swellable polymers and multi-walled carbon nanotubes. Covering the full spectrum, including fluid loss additives and oil spill treating agents, this book is ideal for every oil and gas operation with its options for lower costs, sustainable use and enhanced production. - Helps readers effectively locate and utilize the right chemical application specific to their oil and gas operation - Includes updated sections on shale specific fluids, defoamers and organic additives, including biodegradable waste and swellable polymers - Covers environmental factors and risks for oil field chemicals, along with the pluses and minuses of each application","ISBN":"978-0-323-85813-7","language":"en","number-of-pages":"1080","publisher":"Gulf Professional Publishing","source":"Google Books","title":"Petroleum Engineer's Guide to Oil Field Chemicals and Fluids","author":[{"family":"Fink","given":"Johannes"}],"issued":{"date-parts":[["2021",3,14]]}}}],"schema":"https://github.com/citation-style-language/schema/raw/master/csl-citation.json"} </w:instrText>
      </w:r>
      <w:r w:rsidR="005C33DB" w:rsidRPr="00D306AF">
        <w:fldChar w:fldCharType="separate"/>
      </w:r>
      <w:r w:rsidR="00CB0CE4" w:rsidRPr="00D306AF">
        <w:t>(Fink, 2021)</w:t>
      </w:r>
      <w:r w:rsidR="005C33DB" w:rsidRPr="00D306AF">
        <w:fldChar w:fldCharType="end"/>
      </w:r>
      <w:r w:rsidR="00765D7F" w:rsidRPr="00D306AF">
        <w:t>.</w:t>
      </w:r>
      <w:r w:rsidR="005F5F60" w:rsidRPr="00D306AF">
        <w:t xml:space="preserve"> </w:t>
      </w:r>
      <w:r w:rsidR="00025511" w:rsidRPr="00D306AF">
        <w:rPr>
          <w:shd w:val="clear" w:color="auto" w:fill="FFFFFF"/>
        </w:rPr>
        <w:t xml:space="preserve">Los lodos de perforación </w:t>
      </w:r>
      <w:r w:rsidR="00524F7D" w:rsidRPr="00D306AF">
        <w:rPr>
          <w:shd w:val="clear" w:color="auto" w:fill="FFFFFF"/>
        </w:rPr>
        <w:t>se componen generalmente de agua, arcillas y coloides orgánicos</w:t>
      </w:r>
      <w:r w:rsidR="00922F83" w:rsidRPr="00D306AF">
        <w:rPr>
          <w:shd w:val="clear" w:color="auto" w:fill="FFFFFF"/>
        </w:rPr>
        <w:t xml:space="preserve"> para proporcionar</w:t>
      </w:r>
      <w:r w:rsidR="00524F7D" w:rsidRPr="00D306AF">
        <w:rPr>
          <w:shd w:val="clear" w:color="auto" w:fill="FFFFFF"/>
        </w:rPr>
        <w:t xml:space="preserve"> </w:t>
      </w:r>
      <w:r w:rsidR="00922F83" w:rsidRPr="00D306AF">
        <w:rPr>
          <w:shd w:val="clear" w:color="auto" w:fill="FFFFFF"/>
        </w:rPr>
        <w:t>viscosidad</w:t>
      </w:r>
      <w:r w:rsidR="00524F7D" w:rsidRPr="00D306AF">
        <w:rPr>
          <w:shd w:val="clear" w:color="auto" w:fill="FFFFFF"/>
        </w:rPr>
        <w:t xml:space="preserve">, entre </w:t>
      </w:r>
      <w:r w:rsidR="004C2376" w:rsidRPr="00D306AF">
        <w:rPr>
          <w:shd w:val="clear" w:color="auto" w:fill="FFFFFF"/>
        </w:rPr>
        <w:t>sus</w:t>
      </w:r>
      <w:r w:rsidR="00524F7D" w:rsidRPr="00D306AF">
        <w:rPr>
          <w:shd w:val="clear" w:color="auto" w:fill="FFFFFF"/>
        </w:rPr>
        <w:t xml:space="preserve"> comp</w:t>
      </w:r>
      <w:r w:rsidR="004C2376" w:rsidRPr="00D306AF">
        <w:rPr>
          <w:shd w:val="clear" w:color="auto" w:fill="FFFFFF"/>
        </w:rPr>
        <w:t>onente</w:t>
      </w:r>
      <w:r w:rsidR="00524F7D" w:rsidRPr="00D306AF">
        <w:rPr>
          <w:shd w:val="clear" w:color="auto" w:fill="FFFFFF"/>
        </w:rPr>
        <w:t>s se encuentra la barita</w:t>
      </w:r>
      <w:r w:rsidR="0039226F" w:rsidRPr="00D306AF">
        <w:rPr>
          <w:shd w:val="clear" w:color="auto" w:fill="FFFFFF"/>
        </w:rPr>
        <w:t xml:space="preserve"> </w:t>
      </w:r>
      <w:r w:rsidR="0039226F" w:rsidRPr="00D306AF">
        <w:t>(BaSO</w:t>
      </w:r>
      <w:r w:rsidR="0039226F" w:rsidRPr="00D306AF">
        <w:rPr>
          <w:vertAlign w:val="subscript"/>
        </w:rPr>
        <w:t>4</w:t>
      </w:r>
      <w:r w:rsidR="0039226F" w:rsidRPr="00D306AF">
        <w:t>)</w:t>
      </w:r>
      <w:r w:rsidR="004C2376" w:rsidRPr="00D306AF">
        <w:t>, utilizada para</w:t>
      </w:r>
      <w:r w:rsidR="004C2376" w:rsidRPr="00D306AF">
        <w:rPr>
          <w:shd w:val="clear" w:color="auto" w:fill="FFFFFF"/>
        </w:rPr>
        <w:t xml:space="preserve"> </w:t>
      </w:r>
      <w:r w:rsidR="00524F7D" w:rsidRPr="00D306AF">
        <w:rPr>
          <w:shd w:val="clear" w:color="auto" w:fill="FFFFFF"/>
        </w:rPr>
        <w:t>aumenta</w:t>
      </w:r>
      <w:r w:rsidR="004C2376" w:rsidRPr="00D306AF">
        <w:rPr>
          <w:shd w:val="clear" w:color="auto" w:fill="FFFFFF"/>
        </w:rPr>
        <w:t>r</w:t>
      </w:r>
      <w:r w:rsidR="00524F7D" w:rsidRPr="00D306AF">
        <w:rPr>
          <w:shd w:val="clear" w:color="auto" w:fill="FFFFFF"/>
        </w:rPr>
        <w:t xml:space="preserve"> la densida</w:t>
      </w:r>
      <w:r w:rsidR="00922F83" w:rsidRPr="00D306AF">
        <w:rPr>
          <w:shd w:val="clear" w:color="auto" w:fill="FFFFFF"/>
        </w:rPr>
        <w:t xml:space="preserve">d del fluido cuando es necesario </w:t>
      </w:r>
      <w:r w:rsidR="00F96275" w:rsidRPr="00D306AF">
        <w:rPr>
          <w:shd w:val="clear" w:color="auto" w:fill="FFFFFF"/>
        </w:rPr>
        <w:fldChar w:fldCharType="begin"/>
      </w:r>
      <w:r w:rsidR="00CB0CE4" w:rsidRPr="00D306AF">
        <w:rPr>
          <w:shd w:val="clear" w:color="auto" w:fill="FFFFFF"/>
        </w:rPr>
        <w:instrText xml:space="preserve"> ADDIN ZOTERO_ITEM CSL_CITATION {"citationID":"LeIasUWd","properties":{"unsorted":false,"formattedCitation":"(Costa et\\uc0\\u160{}al., 2023)","plainCitation":"(Costa et al., 2023)","noteIndex":0},"citationItems":[{"id":5,"uris":["http://zotero.org/users/local/fvn0idRM/items/8KI69EYH"],"itemData":{"id":5,"type":"article-journal","abstract":"Drill cuttings comprise a mixture of rocks generated during drilling activities of exploration and production of oil and gas. These residues' properties are variable, depending on several drilling parameters and drilled rock composition. Many scientific studies have been published regarding the characterization of these residues. Articles summarizing these residues' characteristics and toxicity data are poorly explored in the literature. This work reviews the principal methods used to characterize drill cuttings and data about these residues' properties. Some authors have reported the large content of Zn in drill cuttings. These cuttings can be associated with base fluids (as olefins, varying from C11 to C18), and some time crude oil (high range of TPH, unresolved complex mixtures, and PAH compounds). Acute and chronic toxicity tests have shown negative impacts of different types of fluids, the components of these fluids, and cuttings on other marine organisms.","container-title":"Marine Pollution Bulletin","DOI":"10.1016/j.marpolbul.2023.115342","ISSN":"0025-326X","journalAbbreviation":"Marine Pollution Bulletin","page":"115342","source":"ScienceDirect","title":"Physical and chemical characterization of drill cuttings: A review","title-short":"Physical and chemical characterization of drill cuttings","volume":"194","author":[{"family":"Costa","given":"L. C."},{"family":"Carvalho","given":"C. F."},{"family":"Soares","given":"A. S. F."},{"family":"Souza","given":"A. C. P."},{"family":"Bastos","given":"E. F. T."},{"family":"Guimarães","given":"E. C. B. T."},{"family":"Santos","given":"J. C."},{"family":"Carvalho","given":"T."},{"family":"Calderari","given":"V. H."},{"family":"Marinho","given":"L. S."},{"family":"Marques","given":"M. R. C."}],"issued":{"date-parts":[["2023",9,1]]}}}],"schema":"https://github.com/citation-style-language/schema/raw/master/csl-citation.json"} </w:instrText>
      </w:r>
      <w:r w:rsidR="00F96275" w:rsidRPr="00D306AF">
        <w:rPr>
          <w:shd w:val="clear" w:color="auto" w:fill="FFFFFF"/>
        </w:rPr>
        <w:fldChar w:fldCharType="separate"/>
      </w:r>
      <w:r w:rsidR="00CB0CE4" w:rsidRPr="00D306AF">
        <w:t>(Costa et al., 2023)</w:t>
      </w:r>
      <w:r w:rsidR="00F96275" w:rsidRPr="00D306AF">
        <w:rPr>
          <w:shd w:val="clear" w:color="auto" w:fill="FFFFFF"/>
        </w:rPr>
        <w:fldChar w:fldCharType="end"/>
      </w:r>
      <w:r w:rsidR="00765D7F" w:rsidRPr="00D306AF">
        <w:rPr>
          <w:shd w:val="clear" w:color="auto" w:fill="FFFFFF"/>
        </w:rPr>
        <w:t>.</w:t>
      </w:r>
      <w:r w:rsidR="00524F7D" w:rsidRPr="00D306AF">
        <w:rPr>
          <w:shd w:val="clear" w:color="auto" w:fill="FFFFFF"/>
        </w:rPr>
        <w:t xml:space="preserve"> </w:t>
      </w:r>
      <w:r w:rsidR="00FD5AB5" w:rsidRPr="00D306AF">
        <w:rPr>
          <w:shd w:val="clear" w:color="auto" w:fill="FFFFFF"/>
        </w:rPr>
        <w:t>E</w:t>
      </w:r>
      <w:r w:rsidR="00920986" w:rsidRPr="00D306AF">
        <w:rPr>
          <w:shd w:val="clear" w:color="auto" w:fill="FFFFFF"/>
        </w:rPr>
        <w:t xml:space="preserve">l </w:t>
      </w:r>
      <w:proofErr w:type="spellStart"/>
      <w:r w:rsidR="00920986" w:rsidRPr="00D306AF">
        <w:rPr>
          <w:i/>
          <w:shd w:val="clear" w:color="auto" w:fill="FFFFFF"/>
        </w:rPr>
        <w:t>cutting</w:t>
      </w:r>
      <w:proofErr w:type="spellEnd"/>
      <w:r w:rsidR="0048050A" w:rsidRPr="00D306AF">
        <w:rPr>
          <w:i/>
          <w:shd w:val="clear" w:color="auto" w:fill="FFFFFF"/>
        </w:rPr>
        <w:t xml:space="preserve"> </w:t>
      </w:r>
      <w:r w:rsidR="00922F83" w:rsidRPr="00D306AF">
        <w:rPr>
          <w:shd w:val="clear" w:color="auto" w:fill="FFFFFF"/>
        </w:rPr>
        <w:t>se transporta</w:t>
      </w:r>
      <w:r w:rsidR="00241F47" w:rsidRPr="00D306AF">
        <w:rPr>
          <w:shd w:val="clear" w:color="auto" w:fill="FFFFFF"/>
        </w:rPr>
        <w:t xml:space="preserve"> a repositorios</w:t>
      </w:r>
      <w:r w:rsidR="00922F83" w:rsidRPr="00D306AF">
        <w:rPr>
          <w:shd w:val="clear" w:color="auto" w:fill="FFFFFF"/>
        </w:rPr>
        <w:t xml:space="preserve"> para s</w:t>
      </w:r>
      <w:r w:rsidR="00713607" w:rsidRPr="00D306AF">
        <w:rPr>
          <w:shd w:val="clear" w:color="auto" w:fill="FFFFFF"/>
        </w:rPr>
        <w:t xml:space="preserve">u tratamiento </w:t>
      </w:r>
      <w:r w:rsidR="00922F83" w:rsidRPr="00D306AF">
        <w:rPr>
          <w:shd w:val="clear" w:color="auto" w:fill="FFFFFF"/>
        </w:rPr>
        <w:t xml:space="preserve">como </w:t>
      </w:r>
      <w:r w:rsidR="00B93E92" w:rsidRPr="00D306AF">
        <w:rPr>
          <w:shd w:val="clear" w:color="auto" w:fill="FFFFFF"/>
        </w:rPr>
        <w:t>residuo peligroso, debido a</w:t>
      </w:r>
      <w:r w:rsidR="00713607" w:rsidRPr="00D306AF">
        <w:rPr>
          <w:shd w:val="clear" w:color="auto" w:fill="FFFFFF"/>
        </w:rPr>
        <w:t xml:space="preserve"> la </w:t>
      </w:r>
      <w:r w:rsidR="00B93E92" w:rsidRPr="00D306AF">
        <w:rPr>
          <w:shd w:val="clear" w:color="auto" w:fill="FFFFFF"/>
        </w:rPr>
        <w:t>presen</w:t>
      </w:r>
      <w:r w:rsidR="00713607" w:rsidRPr="00D306AF">
        <w:rPr>
          <w:shd w:val="clear" w:color="auto" w:fill="FFFFFF"/>
        </w:rPr>
        <w:t>cia</w:t>
      </w:r>
      <w:r w:rsidR="009A1410" w:rsidRPr="00D306AF">
        <w:rPr>
          <w:shd w:val="clear" w:color="auto" w:fill="FFFFFF"/>
        </w:rPr>
        <w:t xml:space="preserve"> de</w:t>
      </w:r>
      <w:r w:rsidR="00B93E92" w:rsidRPr="00D306AF">
        <w:rPr>
          <w:shd w:val="clear" w:color="auto" w:fill="FFFFFF"/>
        </w:rPr>
        <w:t xml:space="preserve"> hidrocarburos totales de </w:t>
      </w:r>
      <w:r w:rsidR="008142C7" w:rsidRPr="00D306AF">
        <w:rPr>
          <w:shd w:val="clear" w:color="auto" w:fill="FFFFFF"/>
        </w:rPr>
        <w:t>petróleo</w:t>
      </w:r>
      <w:r w:rsidR="00FA2BCA" w:rsidRPr="00D306AF">
        <w:rPr>
          <w:shd w:val="clear" w:color="auto" w:fill="FFFFFF"/>
        </w:rPr>
        <w:t xml:space="preserve"> </w:t>
      </w:r>
      <w:r w:rsidR="00B93E92" w:rsidRPr="00D306AF">
        <w:rPr>
          <w:shd w:val="clear" w:color="auto" w:fill="FFFFFF"/>
        </w:rPr>
        <w:t>(</w:t>
      </w:r>
      <w:r w:rsidR="00397755" w:rsidRPr="00D306AF">
        <w:rPr>
          <w:shd w:val="clear" w:color="auto" w:fill="FFFFFF"/>
        </w:rPr>
        <w:t>HTP</w:t>
      </w:r>
      <w:r w:rsidR="00B93E92" w:rsidRPr="00D306AF">
        <w:rPr>
          <w:shd w:val="clear" w:color="auto" w:fill="FFFFFF"/>
        </w:rPr>
        <w:t>) y metales pesados</w:t>
      </w:r>
      <w:r w:rsidR="002E5F33" w:rsidRPr="00D306AF">
        <w:rPr>
          <w:shd w:val="clear" w:color="auto" w:fill="FFFFFF"/>
        </w:rPr>
        <w:t xml:space="preserve">. </w:t>
      </w:r>
      <w:r w:rsidR="00241F47" w:rsidRPr="00D306AF">
        <w:rPr>
          <w:shd w:val="clear" w:color="auto" w:fill="FFFFFF"/>
        </w:rPr>
        <w:t xml:space="preserve">Habitualmente, el </w:t>
      </w:r>
      <w:proofErr w:type="spellStart"/>
      <w:r w:rsidR="00241F47" w:rsidRPr="00D306AF">
        <w:rPr>
          <w:i/>
          <w:shd w:val="clear" w:color="auto" w:fill="FFFFFF"/>
        </w:rPr>
        <w:t>cutting</w:t>
      </w:r>
      <w:proofErr w:type="spellEnd"/>
      <w:r w:rsidR="00241F47" w:rsidRPr="00D306AF">
        <w:rPr>
          <w:shd w:val="clear" w:color="auto" w:fill="FFFFFF"/>
        </w:rPr>
        <w:t xml:space="preserve"> </w:t>
      </w:r>
      <w:r w:rsidR="00A55CA5" w:rsidRPr="00D306AF">
        <w:rPr>
          <w:shd w:val="clear" w:color="auto" w:fill="FFFFFF"/>
        </w:rPr>
        <w:t>se ha eliminado por enterramiento en vertederos,</w:t>
      </w:r>
      <w:r w:rsidR="002E5F33" w:rsidRPr="00D306AF">
        <w:rPr>
          <w:shd w:val="clear" w:color="auto" w:fill="FFFFFF"/>
        </w:rPr>
        <w:t xml:space="preserve"> </w:t>
      </w:r>
      <w:r w:rsidR="008F6014" w:rsidRPr="00D306AF">
        <w:rPr>
          <w:shd w:val="clear" w:color="auto" w:fill="FFFFFF"/>
        </w:rPr>
        <w:t xml:space="preserve">reinyección, estabilización/solidificación y tratamientos térmicos como incineración o desorción térmica </w:t>
      </w:r>
      <w:r w:rsidR="00876C22" w:rsidRPr="00D306AF">
        <w:rPr>
          <w:shd w:val="clear" w:color="auto" w:fill="FFFFFF"/>
        </w:rPr>
        <w:fldChar w:fldCharType="begin"/>
      </w:r>
      <w:r w:rsidR="00CB0CE4" w:rsidRPr="00D306AF">
        <w:rPr>
          <w:shd w:val="clear" w:color="auto" w:fill="FFFFFF"/>
        </w:rPr>
        <w:instrText xml:space="preserve"> ADDIN ZOTERO_ITEM CSL_CITATION {"citationID":"SiTF9z3j","properties":{"unsorted":false,"formattedCitation":"(Kazamias y Zorpas, 2021; Pereira et\\uc0\\u160{}al., 2022)","plainCitation":"(Kazamias y Zorpas, 2021; Pereira et al., 2022)","noteIndex":0},"citationItems":[{"id":9,"uris":["http://zotero.org/users/local/fvn0idRM/items/GR7IV9QI"],"itemData":{"id":9,"type":"article-journal","abstract":"Worldwide Oil &amp; Gas exploitation industry has a vital and dynamic role to play in the global energy matrix. In any Oil &amp; Gas exploitation mission, dri…","container-title":"Journal of Cleaner Production","DOI":"10.1016/j.jclepro.2021.129098","ISSN":"0959-6526","language":"en-US","page":"129098","publisher":"Elsevier","source":"www.sciencedirect.com","title":"Drill cuttings waste management from oil &amp; gas exploitation industries through end-of-waste criteria in the framework of circular economy strategy","volume":"322","author":[{"family":"Kazamias","given":"George"},{"family":"Zorpas","given":"Antonis A."}],"issued":{"date-parts":[["2021",11,1]]}}},{"id":3,"uris":["http://zotero.org/users/local/fvn0idRM/items/6HQN75FN"],"itemData":{"id":3,"type":"article-journal","abstract":"The oil Exploration &amp; Production (E&amp;P) industry provides an important energy source for the world. However, there is a worldwide concern about the environmental impacts of E&amp;P activities. Spent drilling fluid is one of the drilling wastes generated by the oil and gas industry’s activities. Drilling fluid and drill cuttings together form the second-largest volume of residues generated by the E&amp;P industry. Drilling fluids are responsible for many important functions in the well drilling process. They are recirculated between the well and the platform several times during the drilling of an oil well. When the drilling reaches the reservoir phase, spent drilling fluid return to the surface contaminated with oil. The resulting residue has several compounds containing potential pollutants, which if incorrectly disposed of can pose several risks to terrestrial, aquatic, and aerial environments, including reducing soil fertility, affecting negatively the flora and fauna and causing health problems due to the volatilization of hazardous oil components such as benzene, toluene, ethylbenzene and xylene into the atmosphere. In this sense, regulators have established that the disposal of non-water based and water-based drilling fluid containing free oil is not allowed above 1% in volume. Therefore, the treatment of oily residues generated in E&amp;P activities is an essential task. Studies around the world presented a variety of physical, chemical, and biological methods to treat drilling waste: bioremediation, thermal, physicochemical, supercritical fluid, electrokinetic and stabilization/solidification treatment. All these methods showed promising results while presenting a series of advantages and limitations. It is also important to note that most treatment methods can recover and/or recycle oil, the main contaminant of the wastes generated. In choosing the best method, some relevant factors need to be considered, such as the drilling waste’s characteristics and the costs to implement the process on a large scale. It was observed that only bioremediation and stabilization/solidification proved to be easy to apply on a large scale. However, the bioremediation treatment process is of long duration, and high biodegradation efficiency is difficult to be achieved in uncontrolled environments. In the stabilization/solidification treatment, in turn, encapsulating all contaminants from the waste is difficult. Therefore, the development of new physicochemical methods for the large-scale treatment of drilling waste have been proposed, as the physicochemical treatment presented the highest treatment efficiency when compared with other methods, while also enabling the recovery and reuse of all separated phases.","container-title":"Fuel","DOI":"10.1016/j.fuel.2021.122301","ISSN":"0016-2361","journalAbbreviation":"Fuel","page":"122301","source":"ScienceDirect","title":"Environmental impacts related to drilling fluid waste and treatment methods: A critical review","title-short":"Environmental impacts related to drilling fluid waste and treatment methods","volume":"310","author":[{"family":"Pereira","given":"Laine B."},{"family":"Sad","given":"Cristina M. S."},{"family":"Castro","given":"Eustáquio V. R."},{"family":"Filgueiras","given":"Paulo R."},{"family":"Lacerda","given":"Valdemar"}],"issued":{"date-parts":[["2022",2,15]]}}}],"schema":"https://github.com/citation-style-language/schema/raw/master/csl-citation.json"} </w:instrText>
      </w:r>
      <w:r w:rsidR="00876C22" w:rsidRPr="00D306AF">
        <w:rPr>
          <w:shd w:val="clear" w:color="auto" w:fill="FFFFFF"/>
        </w:rPr>
        <w:fldChar w:fldCharType="separate"/>
      </w:r>
      <w:r w:rsidR="00CB0CE4" w:rsidRPr="00D306AF">
        <w:t>(Kazamias y Zorpas, 2021; Pereira et al., 2022)</w:t>
      </w:r>
      <w:r w:rsidR="00876C22" w:rsidRPr="00D306AF">
        <w:rPr>
          <w:shd w:val="clear" w:color="auto" w:fill="FFFFFF"/>
        </w:rPr>
        <w:fldChar w:fldCharType="end"/>
      </w:r>
      <w:r w:rsidR="008F6014" w:rsidRPr="00D306AF">
        <w:rPr>
          <w:shd w:val="clear" w:color="auto" w:fill="FFFFFF"/>
        </w:rPr>
        <w:t xml:space="preserve">. Sin embargo, la biorremediación ha </w:t>
      </w:r>
      <w:r w:rsidR="00713607" w:rsidRPr="00D306AF">
        <w:rPr>
          <w:shd w:val="clear" w:color="auto" w:fill="FFFFFF"/>
        </w:rPr>
        <w:t xml:space="preserve">demostrado ser una alternativa eficaz para </w:t>
      </w:r>
      <w:r w:rsidR="008F6014" w:rsidRPr="00D306AF">
        <w:rPr>
          <w:shd w:val="clear" w:color="auto" w:fill="FFFFFF"/>
        </w:rPr>
        <w:t>este tipo de residuos</w:t>
      </w:r>
      <w:r w:rsidR="00BC42E4" w:rsidRPr="00D306AF">
        <w:rPr>
          <w:shd w:val="clear" w:color="auto" w:fill="FFFFFF"/>
        </w:rPr>
        <w:t xml:space="preserve"> </w:t>
      </w:r>
      <w:r w:rsidR="00BC42E4" w:rsidRPr="00D306AF">
        <w:rPr>
          <w:shd w:val="clear" w:color="auto" w:fill="FFFFFF"/>
        </w:rPr>
        <w:fldChar w:fldCharType="begin"/>
      </w:r>
      <w:r w:rsidR="00CB0CE4" w:rsidRPr="00D306AF">
        <w:rPr>
          <w:shd w:val="clear" w:color="auto" w:fill="FFFFFF"/>
        </w:rPr>
        <w:instrText xml:space="preserve"> ADDIN ZOTERO_ITEM CSL_CITATION {"citationID":"A9YsmfI0","properties":{"unsorted":false,"formattedCitation":"(Kazamias y Zorpas, 2021)","plainCitation":"(Kazamias y Zorpas, 2021)","noteIndex":0},"citationItems":[{"id":9,"uris":["http://zotero.org/users/local/fvn0idRM/items/GR7IV9QI"],"itemData":{"id":9,"type":"article-journal","abstract":"Worldwide Oil &amp; Gas exploitation industry has a vital and dynamic role to play in the global energy matrix. In any Oil &amp; Gas exploitation mission, dri…","container-title":"Journal of Cleaner Production","DOI":"10.1016/j.jclepro.2021.129098","ISSN":"0959-6526","language":"en-US","page":"129098","publisher":"Elsevier","source":"www.sciencedirect.com","title":"Drill cuttings waste management from oil &amp; gas exploitation industries through end-of-waste criteria in the framework of circular economy strategy","volume":"322","author":[{"family":"Kazamias","given":"George"},{"family":"Zorpas","given":"Antonis A."}],"issued":{"date-parts":[["2021",11,1]]}}}],"schema":"https://github.com/citation-style-language/schema/raw/master/csl-citation.json"} </w:instrText>
      </w:r>
      <w:r w:rsidR="00BC42E4" w:rsidRPr="00D306AF">
        <w:rPr>
          <w:shd w:val="clear" w:color="auto" w:fill="FFFFFF"/>
        </w:rPr>
        <w:fldChar w:fldCharType="separate"/>
      </w:r>
      <w:r w:rsidR="00CB0CE4" w:rsidRPr="00D306AF">
        <w:t>(Kazamias y Zorpas, 2021)</w:t>
      </w:r>
      <w:r w:rsidR="00BC42E4" w:rsidRPr="00D306AF">
        <w:rPr>
          <w:shd w:val="clear" w:color="auto" w:fill="FFFFFF"/>
        </w:rPr>
        <w:fldChar w:fldCharType="end"/>
      </w:r>
      <w:r w:rsidR="008F6014" w:rsidRPr="00D306AF">
        <w:rPr>
          <w:shd w:val="clear" w:color="auto" w:fill="FFFFFF"/>
        </w:rPr>
        <w:t xml:space="preserve">. </w:t>
      </w:r>
      <w:r w:rsidR="008E412A" w:rsidRPr="00D306AF">
        <w:rPr>
          <w:shd w:val="clear" w:color="auto" w:fill="FFFFFF"/>
        </w:rPr>
        <w:t xml:space="preserve"> </w:t>
      </w:r>
      <w:r w:rsidR="00B74101" w:rsidRPr="00D306AF">
        <w:rPr>
          <w:shd w:val="clear" w:color="auto" w:fill="FFFFFF"/>
        </w:rPr>
        <w:t>L</w:t>
      </w:r>
      <w:r w:rsidR="0059591C" w:rsidRPr="00D306AF">
        <w:rPr>
          <w:shd w:val="clear" w:color="auto" w:fill="FFFFFF"/>
        </w:rPr>
        <w:t>a</w:t>
      </w:r>
      <w:r w:rsidR="00B74101" w:rsidRPr="00D306AF">
        <w:rPr>
          <w:shd w:val="clear" w:color="auto" w:fill="FFFFFF"/>
        </w:rPr>
        <w:t xml:space="preserve"> eficiencia en la</w:t>
      </w:r>
      <w:r w:rsidR="0059591C" w:rsidRPr="00D306AF">
        <w:rPr>
          <w:shd w:val="clear" w:color="auto" w:fill="FFFFFF"/>
        </w:rPr>
        <w:t xml:space="preserve"> biodegradación de hidrocarburos </w:t>
      </w:r>
      <w:r w:rsidR="00B74101" w:rsidRPr="00D306AF">
        <w:rPr>
          <w:shd w:val="clear" w:color="auto" w:fill="FFFFFF"/>
        </w:rPr>
        <w:t xml:space="preserve">está influenciada por diversos factores, </w:t>
      </w:r>
      <w:r w:rsidR="00713607" w:rsidRPr="00D306AF">
        <w:rPr>
          <w:shd w:val="clear" w:color="auto" w:fill="FFFFFF"/>
        </w:rPr>
        <w:t>entre ellos</w:t>
      </w:r>
      <w:r w:rsidR="0059591C" w:rsidRPr="00D306AF">
        <w:rPr>
          <w:shd w:val="clear" w:color="auto" w:fill="FFFFFF"/>
        </w:rPr>
        <w:t xml:space="preserve"> la temperatura, la concentración de oxígeno y de nutrientes, el pH, la biodisponibilidad</w:t>
      </w:r>
      <w:r w:rsidR="00B74101" w:rsidRPr="00D306AF">
        <w:rPr>
          <w:shd w:val="clear" w:color="auto" w:fill="FFFFFF"/>
        </w:rPr>
        <w:t xml:space="preserve"> y composición</w:t>
      </w:r>
      <w:r w:rsidR="0059591C" w:rsidRPr="00D306AF">
        <w:rPr>
          <w:shd w:val="clear" w:color="auto" w:fill="FFFFFF"/>
        </w:rPr>
        <w:t xml:space="preserve"> del contaminante, </w:t>
      </w:r>
      <w:r w:rsidR="00B74101" w:rsidRPr="00D306AF">
        <w:rPr>
          <w:shd w:val="clear" w:color="auto" w:fill="FFFFFF"/>
        </w:rPr>
        <w:t xml:space="preserve">y </w:t>
      </w:r>
      <w:r w:rsidR="0059591C" w:rsidRPr="00D306AF">
        <w:rPr>
          <w:shd w:val="clear" w:color="auto" w:fill="FFFFFF"/>
        </w:rPr>
        <w:t>la comunidad microbiana con capacidad para</w:t>
      </w:r>
      <w:r w:rsidR="00B74101" w:rsidRPr="00D306AF">
        <w:rPr>
          <w:shd w:val="clear" w:color="auto" w:fill="FFFFFF"/>
        </w:rPr>
        <w:t xml:space="preserve"> catabolizarlo</w:t>
      </w:r>
      <w:r w:rsidR="0083117A" w:rsidRPr="00D306AF">
        <w:rPr>
          <w:shd w:val="clear" w:color="auto" w:fill="FFFFFF"/>
        </w:rPr>
        <w:t>.</w:t>
      </w:r>
      <w:r w:rsidR="00B74101" w:rsidRPr="00D306AF">
        <w:rPr>
          <w:shd w:val="clear" w:color="auto" w:fill="FFFFFF"/>
        </w:rPr>
        <w:t xml:space="preserve"> </w:t>
      </w:r>
      <w:r w:rsidR="00C81C2E" w:rsidRPr="00D306AF">
        <w:rPr>
          <w:shd w:val="clear" w:color="auto" w:fill="FFFFFF"/>
        </w:rPr>
        <w:t xml:space="preserve">El control de estos factores favorece </w:t>
      </w:r>
      <w:r w:rsidR="00713607" w:rsidRPr="00D306AF">
        <w:rPr>
          <w:shd w:val="clear" w:color="auto" w:fill="FFFFFF"/>
        </w:rPr>
        <w:t>l</w:t>
      </w:r>
      <w:r w:rsidR="00C81C2E" w:rsidRPr="00D306AF">
        <w:rPr>
          <w:shd w:val="clear" w:color="auto" w:fill="FFFFFF"/>
        </w:rPr>
        <w:t>a</w:t>
      </w:r>
      <w:r w:rsidR="00713607" w:rsidRPr="00D306AF">
        <w:rPr>
          <w:shd w:val="clear" w:color="auto" w:fill="FFFFFF"/>
        </w:rPr>
        <w:t xml:space="preserve"> actividad microbiana y</w:t>
      </w:r>
      <w:r w:rsidR="00C81C2E" w:rsidRPr="00D306AF">
        <w:rPr>
          <w:shd w:val="clear" w:color="auto" w:fill="FFFFFF"/>
        </w:rPr>
        <w:t xml:space="preserve"> permit</w:t>
      </w:r>
      <w:r w:rsidR="00713607" w:rsidRPr="00D306AF">
        <w:rPr>
          <w:shd w:val="clear" w:color="auto" w:fill="FFFFFF"/>
        </w:rPr>
        <w:t>e</w:t>
      </w:r>
      <w:r w:rsidR="00C81C2E" w:rsidRPr="00D306AF">
        <w:rPr>
          <w:shd w:val="clear" w:color="auto" w:fill="FFFFFF"/>
        </w:rPr>
        <w:t xml:space="preserve"> alcanzar niveles</w:t>
      </w:r>
      <w:r w:rsidR="00713607" w:rsidRPr="00D306AF">
        <w:rPr>
          <w:shd w:val="clear" w:color="auto" w:fill="FFFFFF"/>
        </w:rPr>
        <w:t xml:space="preserve"> adecuados</w:t>
      </w:r>
      <w:r w:rsidR="00C81C2E" w:rsidRPr="00D306AF">
        <w:rPr>
          <w:shd w:val="clear" w:color="auto" w:fill="FFFFFF"/>
        </w:rPr>
        <w:t xml:space="preserve"> de biodegradación de los hidrocarburos</w:t>
      </w:r>
      <w:r w:rsidR="00713607" w:rsidRPr="00D306AF">
        <w:rPr>
          <w:shd w:val="clear" w:color="auto" w:fill="FFFFFF"/>
        </w:rPr>
        <w:t xml:space="preserve"> </w:t>
      </w:r>
      <w:r w:rsidR="00BC42E4" w:rsidRPr="00D306AF">
        <w:rPr>
          <w:shd w:val="clear" w:color="auto" w:fill="FFFFFF"/>
        </w:rPr>
        <w:fldChar w:fldCharType="begin"/>
      </w:r>
      <w:r w:rsidR="00CB0CE4" w:rsidRPr="00D306AF">
        <w:rPr>
          <w:shd w:val="clear" w:color="auto" w:fill="FFFFFF"/>
        </w:rPr>
        <w:instrText xml:space="preserve"> ADDIN ZOTERO_ITEM CSL_CITATION {"citationID":"zGGVeHvB","properties":{"unsorted":false,"formattedCitation":"(Al-Hawash et\\uc0\\u160{}al., 2018; Aziz et\\uc0\\u160{}al., 2024)","plainCitation":"(Al-Hawash et al., 2018; Aziz et al., 2024)","noteIndex":0},"citationItems":[{"id":11,"uris":["http://zotero.org/users/local/fvn0idRM/items/WS4HPBBF"],"itemData":{"id":11,"type":"article-journal","abstract":"Petroleum hydrocarbons (PHs) are a big group of chemicals that have caused a major concern because of their widespread distribution into the environment, bioaccumulation potential, harmful effects and biodegradation resistance. Soil and water pollution is mainly attributed to hydrocarbons from oil refineries, petrochemical industries, human activities and other sources. The mechanisms and factors that affect biodegradation should be further understood because the choice of bioremediation technique depends on them. This review described fungal PHs degradation, emphasized the relevant physicochemical and biological factors, and discussed the enzymatic systems influencing PHs biodegradation.","container-title":"Egyptian Journal of Aquatic Research","DOI":"10.1016/j.ejar.2018.06.001","ISSN":"1687-4285","issue":"2","journalAbbreviation":"Egyptian Journal of Aquatic Research","page":"71-76","source":"ScienceDirect","title":"Principles of microbial degradation of petroleum hydrocarbons in the environment","volume":"44","author":[{"family":"Al-Hawash","given":"Adnan B."},{"family":"Dragh","given":"Maytham A."},{"family":"Li","given":"Shue"},{"family":"Alhujaily","given":"Ahmad"},{"family":"Abbood","given":"Hayder A."},{"family":"Zhang","given":"Xiaoyu"},{"family":"Ma","given":"Fuying"}],"issued":{"date-parts":[["2018",6,1]]}}},{"id":14,"uris":["http://zotero.org/users/local/fvn0idRM/items/PFMZ8SUX"],"itemData":{"id":14,"type":"article-journal","abstract":"Petroleum hydrocarbon-induced environmental degradation has escalated, necessitating immediate remediation due to the ongoing growth of communities and modernization of civilization. Both carbon and energy can be obtained from hydrocarbons of petroleum, which are decomposed by a wide variety of microorganisms found in nature. Many times, remediation of places damaged by oil using biological means is accomplished by using bacteria that have such characteristics. Hence, this review attempt to highlight on the oil contaminated soil, source of oil pollution, the composition of oil, the impact of oil contamination on the living organisms additionally, the destiny of oil in the environment, how bacteria distributed in the soil and the most common degradable bacteria and their role in oil biodegradation with some attention on the impact of their enzymes. Also, considering the mechanism of biodegradation of aliphatic and aromatic oil hydrocarbon compounds, how bacteria taking up oil hydrocarbons and the influence of several elements on the processes of oil biodegradation. Furthermore, it; reducing pollution contributes to achieving sustainable development goals.","container-title":"Results in Engineering","DOI":"10.1016/j.rineng.2024.102083","ISSN":"2590-1230","journalAbbreviation":"Results in Engineering","page":"102083","source":"ScienceDirect","title":"Bacterial biodegradation of oil-contaminated soil for pollutant abatement contributing to achieve sustainable development goals: A comprehensive review","title-short":"Bacterial biodegradation of oil-contaminated soil for pollutant abatement contributing to achieve sustainable development goals","volume":"22","author":[{"family":"Aziz","given":"Zahid S."},{"family":"Jazza","given":"Salih H."},{"family":"Dageem","given":"Hiba N."},{"family":"Banoon","given":"Shaima R."},{"family":"Balboul","given":"Basma A."},{"family":"Abdelzaher","given":"M. A."}],"issued":{"date-parts":[["2024",6,1]]}}}],"schema":"https://github.com/citation-style-language/schema/raw/master/csl-citation.json"} </w:instrText>
      </w:r>
      <w:r w:rsidR="00BC42E4" w:rsidRPr="00D306AF">
        <w:rPr>
          <w:shd w:val="clear" w:color="auto" w:fill="FFFFFF"/>
        </w:rPr>
        <w:fldChar w:fldCharType="separate"/>
      </w:r>
      <w:r w:rsidR="00CB0CE4" w:rsidRPr="00D306AF">
        <w:t>(Al-Hawash et al., 2018; Aziz et al., 2024)</w:t>
      </w:r>
      <w:r w:rsidR="00BC42E4" w:rsidRPr="00D306AF">
        <w:rPr>
          <w:shd w:val="clear" w:color="auto" w:fill="FFFFFF"/>
        </w:rPr>
        <w:fldChar w:fldCharType="end"/>
      </w:r>
      <w:r w:rsidR="00BC42E4" w:rsidRPr="00D306AF">
        <w:rPr>
          <w:shd w:val="clear" w:color="auto" w:fill="FFFFFF"/>
        </w:rPr>
        <w:t>.</w:t>
      </w:r>
    </w:p>
    <w:p w14:paraId="45D04C81" w14:textId="2D65E8B7" w:rsidR="00F20BF4" w:rsidRPr="00D306AF" w:rsidRDefault="009D787D" w:rsidP="00CE2DC0">
      <w:pPr>
        <w:spacing w:line="480" w:lineRule="auto"/>
        <w:jc w:val="both"/>
      </w:pPr>
      <w:r w:rsidRPr="00D306AF">
        <w:rPr>
          <w:lang w:val="es-ES"/>
        </w:rPr>
        <w:lastRenderedPageBreak/>
        <w:t xml:space="preserve">El </w:t>
      </w:r>
      <w:proofErr w:type="spellStart"/>
      <w:r w:rsidRPr="00D306AF">
        <w:rPr>
          <w:i/>
          <w:lang w:val="es-ES"/>
        </w:rPr>
        <w:t>cutting</w:t>
      </w:r>
      <w:proofErr w:type="spellEnd"/>
      <w:r w:rsidRPr="00D306AF">
        <w:rPr>
          <w:i/>
          <w:lang w:val="es-ES"/>
        </w:rPr>
        <w:t xml:space="preserve"> </w:t>
      </w:r>
      <w:r w:rsidRPr="00D306AF">
        <w:rPr>
          <w:lang w:val="es-ES"/>
        </w:rPr>
        <w:t xml:space="preserve">constituye </w:t>
      </w:r>
      <w:r w:rsidR="00FE63D4" w:rsidRPr="00D306AF">
        <w:rPr>
          <w:lang w:val="es-ES"/>
        </w:rPr>
        <w:t xml:space="preserve">una matriz </w:t>
      </w:r>
      <w:r w:rsidRPr="00D306AF">
        <w:rPr>
          <w:lang w:val="es-ES"/>
        </w:rPr>
        <w:t>compleja</w:t>
      </w:r>
      <w:r w:rsidR="00FE63D4" w:rsidRPr="00D306AF">
        <w:rPr>
          <w:lang w:val="es-ES"/>
        </w:rPr>
        <w:t xml:space="preserve"> </w:t>
      </w:r>
      <w:r w:rsidRPr="00D306AF">
        <w:rPr>
          <w:lang w:val="es-ES"/>
        </w:rPr>
        <w:t xml:space="preserve">debido a la presencia </w:t>
      </w:r>
      <w:r w:rsidR="00D177E4" w:rsidRPr="00D306AF">
        <w:rPr>
          <w:lang w:val="es-ES"/>
        </w:rPr>
        <w:t xml:space="preserve">de </w:t>
      </w:r>
      <w:r w:rsidRPr="00D306AF">
        <w:rPr>
          <w:lang w:val="es-ES"/>
        </w:rPr>
        <w:t>metales pesados</w:t>
      </w:r>
      <w:r w:rsidR="00D177E4" w:rsidRPr="00D306AF">
        <w:rPr>
          <w:lang w:val="es-ES"/>
        </w:rPr>
        <w:t xml:space="preserve"> e hidrocarburos</w:t>
      </w:r>
      <w:r w:rsidR="00FE63D4" w:rsidRPr="00D306AF">
        <w:rPr>
          <w:lang w:val="es-ES"/>
        </w:rPr>
        <w:t>,</w:t>
      </w:r>
      <w:r w:rsidRPr="00D306AF">
        <w:rPr>
          <w:lang w:val="es-ES"/>
        </w:rPr>
        <w:t xml:space="preserve"> </w:t>
      </w:r>
      <w:r w:rsidR="00D177E4" w:rsidRPr="00D306AF">
        <w:rPr>
          <w:lang w:val="es-ES"/>
        </w:rPr>
        <w:t xml:space="preserve">entre ellos la fracción </w:t>
      </w:r>
      <w:r w:rsidR="007A3A7E" w:rsidRPr="00D306AF">
        <w:rPr>
          <w:lang w:val="es-ES"/>
        </w:rPr>
        <w:t>de los hidrocarburos</w:t>
      </w:r>
      <w:r w:rsidR="0048050A" w:rsidRPr="00D306AF">
        <w:rPr>
          <w:lang w:val="es-ES"/>
        </w:rPr>
        <w:t xml:space="preserve"> aromáticos policíclicos (</w:t>
      </w:r>
      <w:r w:rsidR="008611E1" w:rsidRPr="00D306AF">
        <w:rPr>
          <w:lang w:val="es-ES"/>
        </w:rPr>
        <w:t>HAP</w:t>
      </w:r>
      <w:r w:rsidRPr="00D306AF">
        <w:rPr>
          <w:lang w:val="es-ES"/>
        </w:rPr>
        <w:t xml:space="preserve">). Los </w:t>
      </w:r>
      <w:r w:rsidR="008611E1" w:rsidRPr="00D306AF">
        <w:rPr>
          <w:lang w:val="es-ES"/>
        </w:rPr>
        <w:t>HAP</w:t>
      </w:r>
      <w:r w:rsidR="00F824B7" w:rsidRPr="00D306AF">
        <w:t xml:space="preserve"> </w:t>
      </w:r>
      <w:r w:rsidR="00F824B7" w:rsidRPr="00D306AF">
        <w:rPr>
          <w:lang w:val="es-ES"/>
        </w:rPr>
        <w:t>se clasifican como contaminantes ambientales prioritarios debido a su persistencia y naturaleza recalcitrante,</w:t>
      </w:r>
      <w:r w:rsidR="001A7223" w:rsidRPr="00D306AF">
        <w:rPr>
          <w:lang w:val="es-ES"/>
        </w:rPr>
        <w:t xml:space="preserve"> </w:t>
      </w:r>
      <w:r w:rsidR="00FE63D4" w:rsidRPr="00D306AF">
        <w:rPr>
          <w:lang w:val="es-ES"/>
        </w:rPr>
        <w:t>lo</w:t>
      </w:r>
      <w:r w:rsidR="00D410AB" w:rsidRPr="00D306AF">
        <w:rPr>
          <w:lang w:val="es-ES"/>
        </w:rPr>
        <w:t xml:space="preserve"> que</w:t>
      </w:r>
      <w:r w:rsidR="00FE63D4" w:rsidRPr="00D306AF">
        <w:rPr>
          <w:lang w:val="es-ES"/>
        </w:rPr>
        <w:t xml:space="preserve"> favorece su permanencia e</w:t>
      </w:r>
      <w:r w:rsidR="00F824B7" w:rsidRPr="00D306AF">
        <w:rPr>
          <w:lang w:val="es-ES"/>
        </w:rPr>
        <w:t xml:space="preserve">n el ambiente y </w:t>
      </w:r>
      <w:r w:rsidR="00FE63D4" w:rsidRPr="00D306AF">
        <w:rPr>
          <w:lang w:val="es-ES"/>
        </w:rPr>
        <w:t xml:space="preserve">dificulta su degradación </w:t>
      </w:r>
      <w:r w:rsidR="00BC42E4" w:rsidRPr="00D306AF">
        <w:rPr>
          <w:lang w:val="es-ES"/>
        </w:rPr>
        <w:fldChar w:fldCharType="begin"/>
      </w:r>
      <w:r w:rsidR="00CB0CE4" w:rsidRPr="00D306AF">
        <w:rPr>
          <w:lang w:val="es-ES"/>
        </w:rPr>
        <w:instrText xml:space="preserve"> ADDIN ZOTERO_ITEM CSL_CITATION {"citationID":"RdtL48Wq","properties":{"unsorted":false,"formattedCitation":"(Ossai et\\uc0\\u160{}al., 2020)","plainCitation":"(Ossai et al., 2020)","noteIndex":0},"citationItems":[{"id":1,"uris":["http://zotero.org/users/local/fvn0idRM/items/MYQYTRSC"],"itemData":{"id":1,"type":"article-journal","abstract":"The global use of petroleum hydrocarbons for energy and raw materials in various applications has increased with extensive release of a wide variety of contaminants into the environment, affecting soil, surface water and groundwater. The effect results to numerous health, ecological and environmental issues. However, treatment of contamination and pollution caused by petroleum hydrocarbons is a huge and laborious work. It involves several in situ or ex situ treatments comprising containment, separation and destruction which include biological, chemical, physico-chemical, thermal and heat, electric and electromagnetic, acoustic and ultrasonic treatment methods. These treatment methods involve several other techniques and strategies as listed in this review. The health risks pose by petroleum hydrocarbon pollution have driven scientists to research, develop and implement risk-based remediation strategies for restoration and reclamation of affected environments. To select the best treatment option for remediation, it is important to comprehend the nature, composition, properties, sources of pollution, type of environment, fate, transport and distribution of the pollutants, mechanism of degradation, interaction and relationships with microorganisms, the intrinsic and extrinsic factors affecting remediation. It helps to evaluate and predict the chemical behaviour of the pollutants with the short and long-term effects and mitigate the effects of pollution and limit exposure to the pollutants. Despite the available remediation options for petroleum hydrocarbon management and removal, sufficient and complete remediation can be implemented by adoption of proper approach derived from risk-based management procedure that can be practical, scientifically defensible, widely adapted, sustainable, non-invasive, eco-friendly and cost-efficient. This paper provides an overview of the various remediation and treatment technologies derived from risk-based approaches that are used for isolation, containment, separation, restoration reclamation and remediation of soil, sediments, surface water and groundwater contaminated by petroleum hydrocarbons and organic compounds.","container-title":"Environmental Technology &amp; Innovation","DOI":"10.1016/j.eti.2019.100526","ISSN":"2352-1864","journalAbbreviation":"Environmental Technology &amp; Innovation","page":"100526","source":"ScienceDirect","title":"Remediation of soil and water contaminated with petroleum hydrocarbon: A review","title-short":"Remediation of soil and water contaminated with petroleum hydrocarbon","volume":"17","author":[{"family":"Ossai","given":"Innocent Chukwunonso"},{"family":"Ahmed","given":"Aziz"},{"family":"Hassan","given":"Auwalu"},{"family":"Hamid","given":"Fauziah Shahul"}],"issued":{"date-parts":[["2020",2,1]]}}}],"schema":"https://github.com/citation-style-language/schema/raw/master/csl-citation.json"} </w:instrText>
      </w:r>
      <w:r w:rsidR="00BC42E4" w:rsidRPr="00D306AF">
        <w:rPr>
          <w:lang w:val="es-ES"/>
        </w:rPr>
        <w:fldChar w:fldCharType="separate"/>
      </w:r>
      <w:r w:rsidR="00CB0CE4" w:rsidRPr="00D306AF">
        <w:t>(Ossai et al., 2020)</w:t>
      </w:r>
      <w:r w:rsidR="00BC42E4" w:rsidRPr="00D306AF">
        <w:rPr>
          <w:lang w:val="es-ES"/>
        </w:rPr>
        <w:fldChar w:fldCharType="end"/>
      </w:r>
      <w:r w:rsidR="00BC42E4" w:rsidRPr="00D306AF">
        <w:rPr>
          <w:lang w:val="es-ES"/>
        </w:rPr>
        <w:t>.</w:t>
      </w:r>
      <w:r w:rsidR="004C4CF1" w:rsidRPr="00D306AF">
        <w:rPr>
          <w:lang w:val="es-ES"/>
        </w:rPr>
        <w:t xml:space="preserve"> </w:t>
      </w:r>
      <w:r w:rsidR="005B55B3" w:rsidRPr="00D306AF">
        <w:rPr>
          <w:lang w:val="es-ES"/>
        </w:rPr>
        <w:t>R</w:t>
      </w:r>
      <w:r w:rsidR="006B32EA" w:rsidRPr="00D306AF">
        <w:rPr>
          <w:lang w:val="es-ES"/>
        </w:rPr>
        <w:t>epresentan un amplio</w:t>
      </w:r>
      <w:r w:rsidR="00FE63D4" w:rsidRPr="00D306AF">
        <w:rPr>
          <w:lang w:val="es-ES"/>
        </w:rPr>
        <w:t xml:space="preserve"> grupo</w:t>
      </w:r>
      <w:r w:rsidR="006B32EA" w:rsidRPr="00D306AF">
        <w:rPr>
          <w:lang w:val="es-ES"/>
        </w:rPr>
        <w:t xml:space="preserve"> </w:t>
      </w:r>
      <w:r w:rsidR="004C4CF1" w:rsidRPr="00D306AF">
        <w:rPr>
          <w:lang w:val="es-ES"/>
        </w:rPr>
        <w:t xml:space="preserve">de moléculas </w:t>
      </w:r>
      <w:r w:rsidR="006B32EA" w:rsidRPr="00D306AF">
        <w:rPr>
          <w:lang w:val="es-ES"/>
        </w:rPr>
        <w:t>orgánicas</w:t>
      </w:r>
      <w:r w:rsidR="004C4CF1" w:rsidRPr="00D306AF">
        <w:rPr>
          <w:lang w:val="es-ES"/>
        </w:rPr>
        <w:t xml:space="preserve"> </w:t>
      </w:r>
      <w:r w:rsidR="006B32EA" w:rsidRPr="00D306AF">
        <w:rPr>
          <w:lang w:val="es-ES"/>
        </w:rPr>
        <w:t>formadas por dos o más anillos aromáticos fusionados</w:t>
      </w:r>
      <w:r w:rsidR="006B32EA" w:rsidRPr="00D306AF">
        <w:t xml:space="preserve"> </w:t>
      </w:r>
      <w:r w:rsidR="00EE1213" w:rsidRPr="00D306AF">
        <w:fldChar w:fldCharType="begin"/>
      </w:r>
      <w:r w:rsidR="00CB0CE4" w:rsidRPr="00D306AF">
        <w:instrText xml:space="preserve"> ADDIN ZOTERO_ITEM CSL_CITATION {"citationID":"g8Lp0b8M","properties":{"unsorted":false,"formattedCitation":"(Kariyawasam et\\uc0\\u160{}al., 2022; Li et\\uc0\\u160{}al., 2020)","plainCitation":"(Kariyawasam et al., 2022; Li et al., 2020)","noteIndex":0},"citationItems":[{"id":21,"uris":["http://zotero.org/users/local/fvn0idRM/items/DSNMTMUG"],"itemData":{"id":21,"type":"article-journal","abstract":"Polycyclic aromatic hydrocarbons (PAHs) are carcinogenic environmental pollutants that are extremely hydrophobic in nature and resistant to biological degradation. Extraction of PAHs from environmental matrices is the first and most crucial step in PAH quantification. Extraction followed by quantification is essential to understand the extent of contamination prior to the application of remediation approaches. Due to their non-polar structures, PAHs can be adsorbed tightly to the organic matter in soils and sediments, making them more difficult to be extracted. Extraction of PAHs can be achieved by a variety of methods. Techniques such as supercritical and subcritical fluid extraction, microwave-assisted solvent extraction, plant oil-assisted extraction and some microextraction techniques provide faster PAH extraction using less organic solvents, while providing a more environmentally friendly and safer process with minimum matrix interferences. More recently, more environmentally friendly methods for soil and sediment remediation have been explored. This often involves using natural chemicals, such as biosurfactants, to solubilize PAHs in contaminated soils and sediments to allow subsequent microbial degradation. Vermiremediation and microbial enzyme-mediated remediation are emerging approaches, which require further development. The following summarises the existing literature on traditional PAH extraction and bioremediation methods and contrasts them to newer, more environmentally friendly ways.","container-title":"Chemosphere","DOI":"10.1016/j.chemosphere.2021.132981","ISSN":"0045-6535","journalAbbreviation":"Chemosphere","page":"132981","source":"ScienceDirect","title":"Polycyclic aromatic hydrocarbon contamination in soils and sediments: Sustainable approaches for extraction and remediation","title-short":"Polycyclic aromatic hydrocarbon contamination in soils and sediments","volume":"291","author":[{"family":"Kariyawasam","given":"Thiloka"},{"family":"Doran","given":"Gregory S."},{"family":"Howitt","given":"Julia A."},{"family":"Prenzler","given":"Paul D."}],"issued":{"date-parts":[["2022",3,1]]}}},{"id":19,"uris":["http://zotero.org/users/local/fvn0idRM/items/LM6FG3U4"],"itemData":{"id":19,"type":"article-journal","abstract":"This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schema":"https://github.com/citation-style-language/schema/raw/master/csl-citation.json"} </w:instrText>
      </w:r>
      <w:r w:rsidR="00EE1213" w:rsidRPr="00D306AF">
        <w:fldChar w:fldCharType="separate"/>
      </w:r>
      <w:r w:rsidR="00CB0CE4" w:rsidRPr="00D306AF">
        <w:t>(</w:t>
      </w:r>
      <w:r w:rsidR="007A3204" w:rsidRPr="00D306AF">
        <w:t xml:space="preserve">Li et al., 2020; </w:t>
      </w:r>
      <w:r w:rsidR="00CB0CE4" w:rsidRPr="00D306AF">
        <w:t>Kariyawasam et al., 2022)</w:t>
      </w:r>
      <w:r w:rsidR="00EE1213" w:rsidRPr="00D306AF">
        <w:fldChar w:fldCharType="end"/>
      </w:r>
      <w:r w:rsidR="00FE63D4" w:rsidRPr="00D306AF">
        <w:t xml:space="preserve">, </w:t>
      </w:r>
      <w:r w:rsidR="003075B1" w:rsidRPr="00D306AF">
        <w:t>característica</w:t>
      </w:r>
      <w:r w:rsidR="0042503D" w:rsidRPr="00D306AF">
        <w:t xml:space="preserve"> </w:t>
      </w:r>
      <w:r w:rsidR="00A14040" w:rsidRPr="00D306AF">
        <w:t xml:space="preserve">que </w:t>
      </w:r>
      <w:r w:rsidR="00CE6817" w:rsidRPr="00D306AF">
        <w:t xml:space="preserve">les confiere estabilidad electroquímica y térmica debido a su energía de resonancia negativa y </w:t>
      </w:r>
      <w:r w:rsidR="00FE63D4" w:rsidRPr="00D306AF">
        <w:t xml:space="preserve">a </w:t>
      </w:r>
      <w:r w:rsidR="00CE6817" w:rsidRPr="00D306AF">
        <w:t>su</w:t>
      </w:r>
      <w:r w:rsidR="00FE63D4" w:rsidRPr="00D306AF">
        <w:t xml:space="preserve"> naturaleza </w:t>
      </w:r>
      <w:r w:rsidR="00CE6817" w:rsidRPr="00D306AF">
        <w:t>hidrófoba</w:t>
      </w:r>
      <w:r w:rsidR="00F25FDD" w:rsidRPr="00D306AF">
        <w:t xml:space="preserve"> </w:t>
      </w:r>
      <w:r w:rsidR="00F25FDD" w:rsidRPr="00D306AF">
        <w:fldChar w:fldCharType="begin"/>
      </w:r>
      <w:r w:rsidR="00CB0CE4" w:rsidRPr="00D306AF">
        <w:instrText xml:space="preserve"> ADDIN ZOTERO_ITEM CSL_CITATION {"citationID":"VhLK3SNy","properties":{"unsorted":false,"formattedCitation":"(Zainal et\\uc0\\u160{}al., 2022)","plainCitation":"(Zainal et al., 2022)","noteIndex":0},"citationItems":[{"id":82,"uris":["http://zotero.org/users/local/fvn0idRM/items/WC7QT3CI"],"itemData":{"id":82,"type":"article-journal","abstract":"The past several decades have seen increasing concern regarding the wide distribution of polycyclic aromatic hydrocarbons (PAHs) in environmental matrices. Primary toxicological data show PAHs’ persistent characteristics and possible toxicity effects. Because of this pressing global issue, electroanalytical methods have been introduced. These methods are effective for PAH determination in environmental waters, even outclassing sophisticated analytical techniques such as chromatography, conventional spectrophotometry, fluorescence, and capillary electrophoresis. Herein, the literature published on PAHs is reviewed and discussed with special regard to PAH occurrence. Moreover, the recent developments in electrochemical sensors for PAH determination and the challenges and future outlooks in this field, are also presented.","container-title":"Critical Reviews in Analytical Chemistry","DOI":"10.1080/10408347.2020.1839736","ISSN":"1040-8347","issue":"4","note":"_eprint: https://doi.org/10.1080/10408347.2020.1839736","page":"878-896","PMID":"33155481","publisher":"Taylor &amp; Francis","source":"Taylor and Francis+NEJM","title":"Polycyclic Aromatic Hydrocarbons: Occurrence, Electroanalysis, Challenges, and Future Outlooks","title-short":"Polycyclic Aromatic Hydrocarbons","volume":"52","author":[{"family":"Zainal","given":"Putri Nur Syafieqah"},{"family":"Alang Ahmad","given":"Shahrul Ainliah"},{"family":"Abdul Aziz","given":"Siti Fatimah Nur"},{"family":"Rosly","given":"Nor Zida"}],"issued":{"date-parts":[["2022",5,19]]}}}],"schema":"https://github.com/citation-style-language/schema/raw/master/csl-citation.json"} </w:instrText>
      </w:r>
      <w:r w:rsidR="00F25FDD" w:rsidRPr="00D306AF">
        <w:fldChar w:fldCharType="separate"/>
      </w:r>
      <w:r w:rsidR="00CB0CE4" w:rsidRPr="00D306AF">
        <w:t>(Zainal et al., 2022)</w:t>
      </w:r>
      <w:r w:rsidR="00F25FDD" w:rsidRPr="00D306AF">
        <w:fldChar w:fldCharType="end"/>
      </w:r>
      <w:r w:rsidR="00F25FDD" w:rsidRPr="00D306AF">
        <w:t>.</w:t>
      </w:r>
      <w:r w:rsidR="005D14F8" w:rsidRPr="00D306AF">
        <w:t xml:space="preserve"> </w:t>
      </w:r>
      <w:r w:rsidR="00CE6817" w:rsidRPr="00D306AF">
        <w:t xml:space="preserve">Los HAP </w:t>
      </w:r>
      <w:r w:rsidR="0042503D" w:rsidRPr="00D306AF">
        <w:t>presentan</w:t>
      </w:r>
      <w:r w:rsidR="00CE6817" w:rsidRPr="00D306AF">
        <w:t xml:space="preserve"> baja solubilidad en agua y son </w:t>
      </w:r>
      <w:r w:rsidR="00B800E7" w:rsidRPr="00D306AF">
        <w:t>altamente lipofí</w:t>
      </w:r>
      <w:r w:rsidR="00CE6817" w:rsidRPr="00D306AF">
        <w:t>licos, lo que les permite atravesar fácilmente las membranas lipídicas y bioacumularse en los organismos</w:t>
      </w:r>
      <w:r w:rsidR="00231D4A" w:rsidRPr="00D306AF">
        <w:t xml:space="preserve"> </w:t>
      </w:r>
      <w:r w:rsidR="00231D4A" w:rsidRPr="00D306AF">
        <w:fldChar w:fldCharType="begin"/>
      </w:r>
      <w:r w:rsidR="00CB0CE4" w:rsidRPr="00D306AF">
        <w:instrText xml:space="preserve"> ADDIN ZOTERO_ITEM CSL_CITATION {"citationID":"0u4CdrO2","properties":{"unsorted":false,"formattedCitation":"(Kariyawasam et\\uc0\\u160{}al., 2022; Sam et\\uc0\\u160{}al., 2023)","plainCitation":"(Kariyawasam et al., 2022; Sam et al., 2023)","noteIndex":0},"citationItems":[{"id":21,"uris":["http://zotero.org/users/local/fvn0idRM/items/DSNMTMUG"],"itemData":{"id":21,"type":"article-journal","abstract":"Polycyclic aromatic hydrocarbons (PAHs) are carcinogenic environmental pollutants that are extremely hydrophobic in nature and resistant to biological degradation. Extraction of PAHs from environmental matrices is the first and most crucial step in PAH quantification. Extraction followed by quantification is essential to understand the extent of contamination prior to the application of remediation approaches. Due to their non-polar structures, PAHs can be adsorbed tightly to the organic matter in soils and sediments, making them more difficult to be extracted. Extraction of PAHs can be achieved by a variety of methods. Techniques such as supercritical and subcritical fluid extraction, microwave-assisted solvent extraction, plant oil-assisted extraction and some microextraction techniques provide faster PAH extraction using less organic solvents, while providing a more environmentally friendly and safer process with minimum matrix interferences. More recently, more environmentally friendly methods for soil and sediment remediation have been explored. This often involves using natural chemicals, such as biosurfactants, to solubilize PAHs in contaminated soils and sediments to allow subsequent microbial degradation. Vermiremediation and microbial enzyme-mediated remediation are emerging approaches, which require further development. The following summarises the existing literature on traditional PAH extraction and bioremediation methods and contrasts them to newer, more environmentally friendly ways.","container-title":"Chemosphere","DOI":"10.1016/j.chemosphere.2021.132981","ISSN":"0045-6535","journalAbbreviation":"Chemosphere","page":"132981","source":"ScienceDirect","title":"Polycyclic aromatic hydrocarbon contamination in soils and sediments: Sustainable approaches for extraction and remediation","title-short":"Polycyclic aromatic hydrocarbon contamination in soils and sediments","volume":"291","author":[{"family":"Kariyawasam","given":"Thiloka"},{"family":"Doran","given":"Gregory S."},{"family":"Howitt","given":"Julia A."},{"family":"Prenzler","given":"Paul D."}],"issued":{"date-parts":[["2022",3,1]]}}},{"id":51,"uris":["http://zotero.org/users/local/fvn0idRM/items/5D5VGI58"],"itemData":{"id":51,"type":"article-journal","abstract":"Remediation of polluted environmental media is critical to realization of the goals of the United Nations Decade on Ecosystem Restoration (UNDER) project. Many natural-resource dependent economies in Africa are characterized by numerous contaminated sites resulting from conventional and artisanal natural-resource mining. Alongside these extractive activities, there are refining, processing, and power plant operations, agriculture, urban, and infrastructure developments that contribute to increased discharges of toxins into the environment, particularly polycyclic aromatic hydrocarbons (PAHs), which are carcinogenic in nature. As a result, human and environmental receptors (i.e., air, water, soil, and biota) face increasing risk of exposure to higher concentrations of PAH. Evidence exists of widespread PAH contamination and in some instances where corrective action has been taken, residual contaminant levels exceeding regulatory thresholds remain in the environment due to the use of inappropriate and unsustainable remedial methods. Considering the long-term harmful effects of PAH on human and ecosystem health, land use, and the complexity of Africa’s environmental deterioration, it is essential to explore remediation strategies that benefit both the environment and the economy. This review examined the status, opportunities, and challenges related to the application of emerging green technologies to remediate PAH-contaminated sites in five African countries (South Africa, Nigeria, Angola, Egypt, and Kenya). This paper concludes that bioremediation presents a sustainable option, considering its low net emissions and environmental footprints, and its low economic cost to Africa’s poor communities and overburdened economy. However, an integration of biological and physico-chemical approaches could address various compounds and concentrations of PAH contamination.","container-title":"Environmental Science and Pollution Research","DOI":"10.1007/s11356-023-25833-9","ISSN":"1614-7499","issue":"14","journalAbbreviation":"Environ Sci Pollut Res","language":"en","page":"39451-39473","source":"Springer Link","title":"Prospects of emerging PAH sources and remediation technologies: insights from Africa","title-short":"Prospects of emerging PAH sources and remediation technologies","volume":"30","author":[{"family":"Sam","given":"Kabari"},{"family":"Onyena","given":"Amarachi P."},{"family":"Zabbey","given":"Nenibarini"},{"family":"Odoh","given":"Chuks K."},{"family":"Nwipie","given":"Goodluck N."},{"family":"Nkeeh","given":"Dumbari K."},{"family":"Osuji","given":"Leo C."},{"family":"Little","given":"David I."}],"issued":{"date-parts":[["2023",3,1]]}}}],"schema":"https://github.com/citation-style-language/schema/raw/master/csl-citation.json"} </w:instrText>
      </w:r>
      <w:r w:rsidR="00231D4A" w:rsidRPr="00D306AF">
        <w:fldChar w:fldCharType="separate"/>
      </w:r>
      <w:r w:rsidR="00CB0CE4" w:rsidRPr="00D306AF">
        <w:t>(Kariyawasam et al., 2022; Sam et al., 2023)</w:t>
      </w:r>
      <w:r w:rsidR="00231D4A" w:rsidRPr="00D306AF">
        <w:fldChar w:fldCharType="end"/>
      </w:r>
      <w:r w:rsidR="00F25FDD" w:rsidRPr="00D306AF">
        <w:t>.</w:t>
      </w:r>
      <w:r w:rsidR="00CE6817" w:rsidRPr="00D306AF">
        <w:t xml:space="preserve"> </w:t>
      </w:r>
      <w:r w:rsidR="00C15324" w:rsidRPr="00D306AF">
        <w:t xml:space="preserve">Debido a sus propiedades cancerígenas, </w:t>
      </w:r>
      <w:proofErr w:type="spellStart"/>
      <w:r w:rsidR="00C15324" w:rsidRPr="00D306AF">
        <w:t>mutágenas</w:t>
      </w:r>
      <w:proofErr w:type="spellEnd"/>
      <w:r w:rsidR="00C15324" w:rsidRPr="00D306AF">
        <w:t xml:space="preserve"> y teratogénicas, la Agencia de Protección Ambiental de los Estados Unidos</w:t>
      </w:r>
      <w:r w:rsidR="00B1308F" w:rsidRPr="00D306AF">
        <w:t xml:space="preserve"> (US EPA)</w:t>
      </w:r>
      <w:r w:rsidR="00C15324" w:rsidRPr="00D306AF">
        <w:t xml:space="preserve"> ha clasificado 16 HAP como sustancias peligrosas prioritarias</w:t>
      </w:r>
      <w:r w:rsidR="00D00C5F" w:rsidRPr="00D306AF">
        <w:t xml:space="preserve"> </w:t>
      </w:r>
      <w:r w:rsidR="00D00C5F" w:rsidRPr="00D306AF">
        <w:fldChar w:fldCharType="begin"/>
      </w:r>
      <w:r w:rsidR="00CB0CE4" w:rsidRPr="00D306AF">
        <w:instrText xml:space="preserve"> ADDIN ZOTERO_ITEM CSL_CITATION {"citationID":"M5kRCagD","properties":{"unsorted":false,"formattedCitation":"(Yu et\\uc0\\u160{}al., 2021)","plainCitation":"(Yu et al., 2021)","noteIndex":0},"citationItems":[{"id":26,"uris":["http://zotero.org/users/local/fvn0idRM/items/S4EB7UBF"],"itemData":{"id":26,"type":"article-journal","abstract":"In this study, we report long-term measurements of Polycyclic Aromatic Hydrocarbons (PAHs) collected from the surface waters of seven river basins across China. The spatial distribution, source apportionment, and potential risk assessment of 16 USEPA designated PAHs were reviewed. Water samples were collected from the Songhua River Basin (SRB), Yangtze River Basin (YtRB), Yellow River Basin (YRB), Pearl River Basin (PRB), Huai River Basin (HuRB), Liao River Basin (LRB), and Hai River Basin (HRB). Our results show that the total PAH concentration in the surface waters from primary river basins ranged from 99.60 to 3805.00 ng/L in the dry season with a geometric mean value of 797.96 ng/L, and from 235.84 to 11,812.20 ng/L in the wet season with a geometric mean value of 820.75 ng/L. In the river basins examined, the geometric concentration of Σ16PAHs ranged from 215.50 ng/L to 1969.91 ng/L, with a median value of 837.73 ng/L. In the decreasing order across seven river basins, the geometric mean Σ16PAHs content varied as: SRB (1969.91 ng/L) &gt; LRB (1155.87 ng/L) &gt; YRB (884.06 ng/L) &gt; PRB (837.73 ng/L) &gt; HuRB (559.10 ng/L) &gt; HRB (261.84 ng/L) &gt; YtRB (215.50 ng/L). Moreover, the total PAH concentration was slightly lower in the dry season than in the wet season. The pollution level of PAHs in North China was higher than in South China. No discernible temporal trend was observed in Σ16PAHs observed in China during the past decade. Overall, PAHs designated for priority control measures were Nap, Phe, and Flu; as 2- and 3-ring PAHs were the dominant compounds in the river basins, accounting for 33.7% and 36.9% of the total PAHs, respectively. Source analysis revealed that coal and biomass combustion were the main contributors to PAHs in the river basins, accounting for about 40% of the total. The geometric mean concentrations of individual PAH, including BaP, BaA, BbF, BkF, Ind, and DaA in some water samples exceeded the environmental quality standards of both China and the United States. According to metrics describing eco-toxicity from water contamination, the river basin was at moderate risk in YtRB, YRB, PRB, HuRB, and HRB, but at high risk in SRB and LRB, suggesting that targeted control measures or remedial actions should be undertaken to decrease PAH contamination in China.","container-title":"Science of The Total Environment","DOI":"10.1016/j.scitotenv.2020.141764","ISSN":"0048-9697","journalAbbreviation":"Science of The Total Environment","page":"141764","source":"ScienceDirect","title":"Polycyclic aromatic hydrocarbons in surface waters from the seven main river basins of China: Spatial distribution, source apportionment, and potential risk assessment","title-short":"Polycyclic aromatic hydrocarbons in surface waters from the seven main river basins of China","volume":"752","author":[{"family":"Yu","given":"Haiyan"},{"family":"Liu","given":"Yongfeng"},{"family":"Han","given":"Changxu"},{"family":"Fang","given":"Han"},{"family":"Weng","given":"Junhe"},{"family":"Shu","given":"Xingquan"},{"family":"Pan","given":"Yuwei"},{"family":"Ma","given":"Limin"}],"issued":{"date-parts":[["2021",1,15]]}}}],"schema":"https://github.com/citation-style-language/schema/raw/master/csl-citation.json"} </w:instrText>
      </w:r>
      <w:r w:rsidR="00D00C5F" w:rsidRPr="00D306AF">
        <w:fldChar w:fldCharType="separate"/>
      </w:r>
      <w:r w:rsidR="00CB0CE4" w:rsidRPr="00D306AF">
        <w:t>(Yu et al., 2021)</w:t>
      </w:r>
      <w:r w:rsidR="00D00C5F" w:rsidRPr="00D306AF">
        <w:fldChar w:fldCharType="end"/>
      </w:r>
      <w:r w:rsidR="00B96861" w:rsidRPr="00D306AF">
        <w:t xml:space="preserve">. </w:t>
      </w:r>
      <w:r w:rsidR="00F44256" w:rsidRPr="00D306AF">
        <w:t>A</w:t>
      </w:r>
      <w:r w:rsidR="00FE63D4" w:rsidRPr="00D306AF">
        <w:t xml:space="preserve">simismo, </w:t>
      </w:r>
      <w:r w:rsidR="00F44256" w:rsidRPr="00D306AF">
        <w:t>l</w:t>
      </w:r>
      <w:r w:rsidR="00C26758" w:rsidRPr="00D306AF">
        <w:t xml:space="preserve">a presencia de metales pesados en </w:t>
      </w:r>
      <w:r w:rsidR="00F44256" w:rsidRPr="00D306AF">
        <w:t xml:space="preserve">el ambiente </w:t>
      </w:r>
      <w:r w:rsidR="000E6D21" w:rsidRPr="00D306AF">
        <w:t>genera</w:t>
      </w:r>
      <w:r w:rsidR="00C26758" w:rsidRPr="00D306AF">
        <w:t xml:space="preserve"> preocupación debido a su prevalencia, toxicidad y persistencia, lo que los convierte en contaminantes de control prioritario </w:t>
      </w:r>
      <w:r w:rsidR="00F25FDD" w:rsidRPr="00D306AF">
        <w:fldChar w:fldCharType="begin"/>
      </w:r>
      <w:r w:rsidR="00CB0CE4" w:rsidRPr="00D306AF">
        <w:instrText xml:space="preserve"> ADDIN ZOTERO_ITEM CSL_CITATION {"citationID":"BC30G62O","properties":{"unsorted":false,"formattedCitation":"(Haque et\\uc0\\u160{}al., 2022; Yu et\\uc0\\u160{}al., 2021)","plainCitation":"(Haque et al., 2022; Yu et al., 2021)","noteIndex":0},"citationItems":[{"id":83,"uris":["http://zotero.org/users/local/fvn0idRM/items/PP9L4QH7"],"itemData":{"id":83,"type":"article-journal","abstract":"Petroleum hydrocarbons and heavy metals are the two major soil contaminants that are released into the environment in the forms of industrial effluents. These contaminants exert serious impacts on human health and the sustainability of the environment. In this context, remediation of these pollutants via a biological approach can be effective, low-cost, and eco-friendly approach. The implementation of microorganisms and metagenomics are regarded as the advanced solution for remediating such pollutants. Further, microbiomes can overcome this issue via adopting specific structural, functional and metabolic pathways involved in the microbial community to degrade these pollutants. Genomic sequencing and library can effectively channelize the degradation of these pollutants via microbiomes. Nevertheless, more advanced technology and reliable strategies are required to develop. The present review provides insights into the role of microbiomes to effectively remediate/degrade petroleum hydrocarbons and heavy metals in contaminated soil. The possible degradation mechanisms of these pollutants have also been discussed in detail along with their existing limitations. Finally, prospects of the bioremediation strategies using microbiomes are discussed.","container-title":"Science of The Total Environment","DOI":"10.1016/j.scitotenv.2022.155222","ISSN":"0048-9697","journalAbbreviation":"Science of The Total Environment","page":"155222","source":"ScienceDirect","title":"Functional microbiome strategies for the bioremediation of petroleum-hydrocarbon and heavy metal contaminated soils: A review","title-short":"Functional microbiome strategies for the bioremediation of petroleum-hydrocarbon and heavy metal contaminated soils","volume":"833","author":[{"family":"Haque","given":"Shafiul"},{"family":"Srivastava","given":"Neha"},{"family":"Pal","given":"Dan Bahadur"},{"family":"Alkhanani","given":"Mustfa F."},{"family":"Almalki","given":"Atiah H."},{"family":"Areeshi","given":"Mohammed Y."},{"family":"Naidu","given":"Ravi"},{"family":"Gupta","given":"Vijai Kumar"}],"issued":{"date-parts":[["2022",8,10]]}}},{"id":26,"uris":["http://zotero.org/users/local/fvn0idRM/items/S4EB7UBF"],"itemData":{"id":26,"type":"article-journal","abstract":"In this study, we report long-term measurements of Polycyclic Aromatic Hydrocarbons (PAHs) collected from the surface waters of seven river basins across China. The spatial distribution, source apportionment, and potential risk assessment of 16 USEPA designated PAHs were reviewed. Water samples were collected from the Songhua River Basin (SRB), Yangtze River Basin (YtRB), Yellow River Basin (YRB), Pearl River Basin (PRB), Huai River Basin (HuRB), Liao River Basin (LRB), and Hai River Basin (HRB). Our results show that the total PAH concentration in the surface waters from primary river basins ranged from 99.60 to 3805.00 ng/L in the dry season with a geometric mean value of 797.96 ng/L, and from 235.84 to 11,812.20 ng/L in the wet season with a geometric mean value of 820.75 ng/L. In the river basins examined, the geometric concentration of Σ16PAHs ranged from 215.50 ng/L to 1969.91 ng/L, with a median value of 837.73 ng/L. In the decreasing order across seven river basins, the geometric mean Σ16PAHs content varied as: SRB (1969.91 ng/L) &gt; LRB (1155.87 ng/L) &gt; YRB (884.06 ng/L) &gt; PRB (837.73 ng/L) &gt; HuRB (559.10 ng/L) &gt; HRB (261.84 ng/L) &gt; YtRB (215.50 ng/L). Moreover, the total PAH concentration was slightly lower in the dry season than in the wet season. The pollution level of PAHs in North China was higher than in South China. No discernible temporal trend was observed in Σ16PAHs observed in China during the past decade. Overall, PAHs designated for priority control measures were Nap, Phe, and Flu; as 2- and 3-ring PAHs were the dominant compounds in the river basins, accounting for 33.7% and 36.9% of the total PAHs, respectively. Source analysis revealed that coal and biomass combustion were the main contributors to PAHs in the river basins, accounting for about 40% of the total. The geometric mean concentrations of individual PAH, including BaP, BaA, BbF, BkF, Ind, and DaA in some water samples exceeded the environmental quality standards of both China and the United States. According to metrics describing eco-toxicity from water contamination, the river basin was at moderate risk in YtRB, YRB, PRB, HuRB, and HRB, but at high risk in SRB and LRB, suggesting that targeted control measures or remedial actions should be undertaken to decrease PAH contamination in China.","container-title":"Science of The Total Environment","DOI":"10.1016/j.scitotenv.2020.141764","ISSN":"0048-9697","journalAbbreviation":"Science of The Total Environment","page":"141764","source":"ScienceDirect","title":"Polycyclic aromatic hydrocarbons in surface waters from the seven main river basins of China: Spatial distribution, source apportionment, and potential risk assessment","title-short":"Polycyclic aromatic hydrocarbons in surface waters from the seven main river basins of China","volume":"752","author":[{"family":"Yu","given":"Haiyan"},{"family":"Liu","given":"Yongfeng"},{"family":"Han","given":"Changxu"},{"family":"Fang","given":"Han"},{"family":"Weng","given":"Junhe"},{"family":"Shu","given":"Xingquan"},{"family":"Pan","given":"Yuwei"},{"family":"Ma","given":"Limin"}],"issued":{"date-parts":[["2021",1,15]]}}}],"schema":"https://github.com/citation-style-language/schema/raw/master/csl-citation.json"} </w:instrText>
      </w:r>
      <w:r w:rsidR="00F25FDD" w:rsidRPr="00D306AF">
        <w:fldChar w:fldCharType="separate"/>
      </w:r>
      <w:r w:rsidR="00CB0CE4" w:rsidRPr="00D306AF">
        <w:t>(</w:t>
      </w:r>
      <w:r w:rsidR="007A3204" w:rsidRPr="00D306AF">
        <w:t xml:space="preserve">Yu et al., 2021; </w:t>
      </w:r>
      <w:r w:rsidR="00CB0CE4" w:rsidRPr="00D306AF">
        <w:t>Haque et al., 2022)</w:t>
      </w:r>
      <w:r w:rsidR="00F25FDD" w:rsidRPr="00D306AF">
        <w:fldChar w:fldCharType="end"/>
      </w:r>
      <w:r w:rsidR="00C26758" w:rsidRPr="00D306AF">
        <w:t>.</w:t>
      </w:r>
    </w:p>
    <w:p w14:paraId="1E12C758" w14:textId="45A8C1CD" w:rsidR="00843F88" w:rsidRPr="00D306AF" w:rsidRDefault="003075B1" w:rsidP="00CE2DC0">
      <w:pPr>
        <w:spacing w:line="480" w:lineRule="auto"/>
        <w:jc w:val="both"/>
        <w:rPr>
          <w:lang w:val="es-ES"/>
        </w:rPr>
      </w:pPr>
      <w:r w:rsidRPr="00D306AF">
        <w:t>La presencia de contaminantes persistentes representa</w:t>
      </w:r>
      <w:r w:rsidR="00843F88" w:rsidRPr="00D306AF">
        <w:t xml:space="preserve"> un desafío en la búsqueda de tecnologías eficientes para su eliminación</w:t>
      </w:r>
      <w:r w:rsidR="000E6D21" w:rsidRPr="00D306AF">
        <w:t>.</w:t>
      </w:r>
      <w:r w:rsidR="00843F88" w:rsidRPr="00D306AF">
        <w:t xml:space="preserve"> </w:t>
      </w:r>
      <w:r w:rsidR="00CF2809" w:rsidRPr="00D306AF">
        <w:t>Las tecnologías h</w:t>
      </w:r>
      <w:r w:rsidR="0083117A" w:rsidRPr="00D306AF">
        <w:t>í</w:t>
      </w:r>
      <w:r w:rsidR="00CF2809" w:rsidRPr="00D306AF">
        <w:t xml:space="preserve">bridas, como la EB, se presentan como </w:t>
      </w:r>
      <w:r w:rsidR="000E6D21" w:rsidRPr="00D306AF">
        <w:t xml:space="preserve">alternativas prometedoras </w:t>
      </w:r>
      <w:r w:rsidR="00CF2809" w:rsidRPr="00D306AF">
        <w:t>para la degradación de contaminantes orgánicos</w:t>
      </w:r>
      <w:r w:rsidR="00924539" w:rsidRPr="00D306AF">
        <w:t xml:space="preserve"> hidrofóbicos</w:t>
      </w:r>
      <w:r w:rsidR="009F4A3A" w:rsidRPr="00D306AF">
        <w:t xml:space="preserve"> </w:t>
      </w:r>
      <w:r w:rsidR="0076796F" w:rsidRPr="00D306AF">
        <w:fldChar w:fldCharType="begin"/>
      </w:r>
      <w:r w:rsidR="00BD43BF" w:rsidRPr="00D306AF">
        <w:instrText xml:space="preserve"> ADDIN ZOTERO_ITEM CSL_CITATION {"citationID":"EAeNBkot","properties":{"unsorted":false,"formattedCitation":"(Cameselle y Reddy, 2022; Li et\\uc0\\u160{}al., 2020)","plainCitation":"(Cameselle y Reddy, 2022; Li et al., 2020)","noteIndex":0},"citationItems":[{"id":29,"uris":["http://zotero.org/users/local/fvn0idRM/items/DL2MSIMK"],"itemData":{"id":29,"type":"article-journal","container-title":"Indian Geotechnical Journal","page":"1205-1225","title":"Electrobioremediation: Combined Electrokinetics and Bioremediation Technology for Contaminated Site Remediation","volume":"52","author":[{"family":"Cameselle","given":"Claudio"},{"family":"Reddy","given":"Krishna R."}],"issued":{"date-parts":[["2022"]]}}},{"id":19,"uris":["http://zotero.org/users/local/fvn0idRM/items/LM6FG3U4"],"itemData":{"id":19,"type":"article-journal","abstract":"This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schema":"https://github.com/citation-style-language/schema/raw/master/csl-citation.json"} </w:instrText>
      </w:r>
      <w:r w:rsidR="0076796F" w:rsidRPr="00D306AF">
        <w:fldChar w:fldCharType="separate"/>
      </w:r>
      <w:r w:rsidR="00CB0CE4" w:rsidRPr="00D306AF">
        <w:t>(</w:t>
      </w:r>
      <w:r w:rsidR="007A3204" w:rsidRPr="00D306AF">
        <w:t xml:space="preserve">Li et al., 2020; </w:t>
      </w:r>
      <w:r w:rsidR="00CB0CE4" w:rsidRPr="00D306AF">
        <w:t>Cameselle y Reddy, 2022)</w:t>
      </w:r>
      <w:r w:rsidR="0076796F" w:rsidRPr="00D306AF">
        <w:fldChar w:fldCharType="end"/>
      </w:r>
      <w:r w:rsidR="00804385" w:rsidRPr="00D306AF">
        <w:rPr>
          <w:lang w:val="es-ES"/>
        </w:rPr>
        <w:t xml:space="preserve">. </w:t>
      </w:r>
      <w:r w:rsidR="00355783" w:rsidRPr="00D306AF">
        <w:rPr>
          <w:lang w:val="es-ES"/>
        </w:rPr>
        <w:t xml:space="preserve">Esta </w:t>
      </w:r>
      <w:r w:rsidR="00005F74" w:rsidRPr="00D306AF">
        <w:rPr>
          <w:lang w:val="es-ES"/>
        </w:rPr>
        <w:t>tecnología</w:t>
      </w:r>
      <w:r w:rsidR="004A648A" w:rsidRPr="00D306AF">
        <w:rPr>
          <w:lang w:val="es-ES"/>
        </w:rPr>
        <w:t xml:space="preserve"> consiste en </w:t>
      </w:r>
      <w:r w:rsidR="000E6D21" w:rsidRPr="00D306AF">
        <w:rPr>
          <w:lang w:val="es-ES"/>
        </w:rPr>
        <w:t xml:space="preserve">la </w:t>
      </w:r>
      <w:r w:rsidR="004A648A" w:rsidRPr="00D306AF">
        <w:rPr>
          <w:lang w:val="es-ES"/>
        </w:rPr>
        <w:t>aplica</w:t>
      </w:r>
      <w:r w:rsidR="000E6D21" w:rsidRPr="00D306AF">
        <w:rPr>
          <w:lang w:val="es-ES"/>
        </w:rPr>
        <w:t>ción de</w:t>
      </w:r>
      <w:r w:rsidR="004A648A" w:rsidRPr="00D306AF">
        <w:rPr>
          <w:lang w:val="es-ES"/>
        </w:rPr>
        <w:t xml:space="preserve"> un campo eléctrico </w:t>
      </w:r>
      <w:r w:rsidR="008B3889" w:rsidRPr="00D306AF">
        <w:rPr>
          <w:lang w:val="es-ES"/>
        </w:rPr>
        <w:t xml:space="preserve">al suelo para potenciar </w:t>
      </w:r>
      <w:r w:rsidR="004A648A" w:rsidRPr="00D306AF">
        <w:rPr>
          <w:lang w:val="es-ES"/>
        </w:rPr>
        <w:t xml:space="preserve">fenómenos </w:t>
      </w:r>
      <w:proofErr w:type="spellStart"/>
      <w:r w:rsidR="004A648A" w:rsidRPr="00D306AF">
        <w:rPr>
          <w:lang w:val="es-ES"/>
        </w:rPr>
        <w:t>electrocinéticos</w:t>
      </w:r>
      <w:proofErr w:type="spellEnd"/>
      <w:r w:rsidR="004A648A" w:rsidRPr="00D306AF">
        <w:rPr>
          <w:lang w:val="es-ES"/>
        </w:rPr>
        <w:t xml:space="preserve"> que favorecen la biodegradación</w:t>
      </w:r>
      <w:r w:rsidR="009F4A3A" w:rsidRPr="00D306AF">
        <w:rPr>
          <w:lang w:val="es-ES"/>
        </w:rPr>
        <w:t xml:space="preserve"> </w:t>
      </w:r>
      <w:r w:rsidR="00221507" w:rsidRPr="00D306AF">
        <w:rPr>
          <w:lang w:val="es-ES"/>
        </w:rPr>
        <w:fldChar w:fldCharType="begin"/>
      </w:r>
      <w:r w:rsidR="00CB0CE4" w:rsidRPr="00D306AF">
        <w:rPr>
          <w:lang w:val="es-ES"/>
        </w:rPr>
        <w:instrText xml:space="preserve"> ADDIN ZOTERO_ITEM CSL_CITATION {"citationID":"XnUHlHin","properties":{"unsorted":false,"formattedCitation":"(Li et\\uc0\\u160{}al., 2020; Saxena et\\uc0\\u160{}al., 2020)","plainCitation":"(Li et al., 2020; Saxena et al., 2020)","noteIndex":0},"citationItems":[{"id":19,"uris":["http://zotero.org/users/local/fvn0idRM/items/LM6FG3U4"],"itemData":{"id":19,"type":"article-journal","abstract":"This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id":86,"uris":["http://zotero.org/users/local/fvn0idRM/items/96ZERXE3"],"itemData":{"id":86,"type":"chapter","abstract":"Environmental pollution has become a serious concern in the current world, and therefore, its mitigation is urgent to safeguard the environment and public health. Bioremediation is identified as an eco-friendly and sustainable remediation technology to minimize and control environmental pollution. It uses an array of microbes/plants to degrade and detoxify environmental contaminants from contaminated matrix for environmental safety. However, its applicability gets limited by several drawbacks: the bioavailability of contaminants and its bioavailability to microbes, quick adaptation of the indigenous microorganisms for biodegradation of a particular contaminant and mass transfer of electron acceptors and nutrients to microorganisms responsible for biodegradation. These limitations can be overcome by coupling bioremediation with electrokinetics (EK), i.e. electrobioremediation technology where direct current is applied within subsurface porous media to induce specific transport phenomena. Electrobioremediation involves electrokinetic phenomena for the acceleration and orientation of transport of environmental pollutants and microbes for pollutant bioremediation. It has been identified as an emerging bioremediation technology; however, its applicability to contaminated sites is currently being under investigation. This chapter focuses on the general introduction and mechanism of electrobioremediation technology, electrobioremediation of contaminants, advantages and disadvantages and future prospects and challenges.","container-title":"Combined Application of Physico-Chemical &amp; Microbiological Processes for Industrial Effluent Treatment Plant","DOI":"10.1007/978-981-15-0497-6_14","ISBN":"978-981-15-0497-6","language":"en","page":"291-313","publisher":"Springer","publisher-place":"Singapore","source":"Springer Link","title":"Electrobioremediation of Contaminants: Concepts, Mechanisms, Applications and Challenges","title-short":"Electrobioremediation of Contaminants","URL":"https://doi.org/10.1007/978-981-15-0497-6_14","author":[{"family":"Saxena","given":"Gaurav"},{"family":"Thakur","given":"Indu Shekhar"},{"family":"Kumar","given":"Vineet"},{"family":"Shah","given":"Maulin P."}],"editor":[{"family":"Shah","given":"Maulin"},{"family":"Banerjee","given":"Aditi"}],"accessed":{"date-parts":[["2026",2,18]]},"issued":{"date-parts":[["2020"]]}}}],"schema":"https://github.com/citation-style-language/schema/raw/master/csl-citation.json"} </w:instrText>
      </w:r>
      <w:r w:rsidR="00221507" w:rsidRPr="00D306AF">
        <w:rPr>
          <w:lang w:val="es-ES"/>
        </w:rPr>
        <w:fldChar w:fldCharType="separate"/>
      </w:r>
      <w:r w:rsidR="00CB0CE4" w:rsidRPr="00D306AF">
        <w:t>(Li et al., 2020; Saxena et al., 2020)</w:t>
      </w:r>
      <w:r w:rsidR="00221507" w:rsidRPr="00D306AF">
        <w:rPr>
          <w:lang w:val="es-ES"/>
        </w:rPr>
        <w:fldChar w:fldCharType="end"/>
      </w:r>
      <w:r w:rsidR="00221507" w:rsidRPr="00D306AF">
        <w:rPr>
          <w:lang w:val="es-ES"/>
        </w:rPr>
        <w:t>.</w:t>
      </w:r>
      <w:r w:rsidR="004A648A" w:rsidRPr="00D306AF">
        <w:rPr>
          <w:lang w:val="es-ES"/>
        </w:rPr>
        <w:t xml:space="preserve"> </w:t>
      </w:r>
      <w:r w:rsidR="000E6D21" w:rsidRPr="00D306AF">
        <w:rPr>
          <w:lang w:val="es-ES"/>
        </w:rPr>
        <w:t xml:space="preserve">Dichos </w:t>
      </w:r>
      <w:r w:rsidR="0042503D" w:rsidRPr="00D306AF">
        <w:rPr>
          <w:lang w:val="es-ES"/>
        </w:rPr>
        <w:t>fenómenos pueden estimular l</w:t>
      </w:r>
      <w:r w:rsidR="008C44A5" w:rsidRPr="00D306AF">
        <w:rPr>
          <w:lang w:val="es-ES"/>
        </w:rPr>
        <w:t xml:space="preserve">a </w:t>
      </w:r>
      <w:r w:rsidR="008B3889" w:rsidRPr="00D306AF">
        <w:rPr>
          <w:lang w:val="es-ES"/>
        </w:rPr>
        <w:t xml:space="preserve">biodegradación </w:t>
      </w:r>
      <w:r w:rsidR="0042503D" w:rsidRPr="00D306AF">
        <w:rPr>
          <w:lang w:val="es-ES"/>
        </w:rPr>
        <w:t xml:space="preserve">al </w:t>
      </w:r>
      <w:r w:rsidR="008C44A5" w:rsidRPr="00D306AF">
        <w:rPr>
          <w:lang w:val="es-ES"/>
        </w:rPr>
        <w:t xml:space="preserve">modificar la morfología de las células microbianas, mejorar </w:t>
      </w:r>
      <w:r w:rsidR="008C44A5" w:rsidRPr="00D306AF">
        <w:rPr>
          <w:lang w:val="es-ES"/>
        </w:rPr>
        <w:lastRenderedPageBreak/>
        <w:t>la hidrofobicidad de la superficie celular, aumentar la biodisponibilidad de</w:t>
      </w:r>
      <w:r w:rsidR="000E6D21" w:rsidRPr="00D306AF">
        <w:rPr>
          <w:lang w:val="es-ES"/>
        </w:rPr>
        <w:t xml:space="preserve"> los hidrocarburos</w:t>
      </w:r>
      <w:r w:rsidR="008C44A5" w:rsidRPr="00D306AF">
        <w:rPr>
          <w:lang w:val="es-ES"/>
        </w:rPr>
        <w:t xml:space="preserve"> e </w:t>
      </w:r>
      <w:r w:rsidR="00BE6BAD" w:rsidRPr="00D306AF">
        <w:rPr>
          <w:lang w:val="es-ES"/>
        </w:rPr>
        <w:t>incrementar el contacto entre</w:t>
      </w:r>
      <w:r w:rsidR="008C44A5" w:rsidRPr="00D306AF">
        <w:rPr>
          <w:lang w:val="es-ES"/>
        </w:rPr>
        <w:t xml:space="preserve"> microorganismos y sustratos contaminados</w:t>
      </w:r>
      <w:r w:rsidR="00797804" w:rsidRPr="00D306AF">
        <w:rPr>
          <w:lang w:val="es-ES"/>
        </w:rPr>
        <w:t xml:space="preserve"> </w:t>
      </w:r>
      <w:r w:rsidR="00797804" w:rsidRPr="00D306AF">
        <w:rPr>
          <w:lang w:val="es-ES"/>
        </w:rPr>
        <w:fldChar w:fldCharType="begin"/>
      </w:r>
      <w:r w:rsidR="00CB0CE4" w:rsidRPr="00D306AF">
        <w:rPr>
          <w:lang w:val="es-ES"/>
        </w:rPr>
        <w:instrText xml:space="preserve"> ADDIN ZOTERO_ITEM CSL_CITATION {"citationID":"55NVKX0E","properties":{"unsorted":false,"formattedCitation":"(Wang y Guo, 2023)","plainCitation":"(Wang y Guo, 2023)","noteIndex":0},"citationItems":[{"id":31,"uris":["http://zotero.org/users/local/fvn0idRM/items/B8JS2FTU"],"itemData":{"id":31,"type":"article-journal","abstract":"Soil organic carbon (SOC) potentially interacts with microbial metabolism and may affect the degradation of petroleum-derived carbon (PDC) in the electro-bioremediation of petroleum-contaminated soil. This study evaluated the interactions among organic carbon, soil properties, and microbial communities to explore the role of SOC during the electro-bioremediation process. The results showed that petroleum degradation exerted superposition and synergistic electrokinetic and bioremediation effects, as exemplified by the EB and EB-PR tests, owing to the maintenance and enhancement of SOC utilization (P/S value), respectively. The highest P/S value (2.0–2.4) was found in the electrochemical oxidation zone due to low SOC consumption. In the biological oxidation zones, electric stimulation enhanced the degradation of PDC and SOC, with higher average P/S values than those of the Bio test. Soil pH, Eh, inorganic ions, and bioavailable petroleum fractions were the main factors reshaping the microbial communities. SOC metabolism effectively buffered the stress of environmental factors and pollutants while maintaining functional bacterial abundance, microbial alpha diversity, and community similarity, thus saving the weakened PDC biodegradation efficiency in the EB and EB-PR tests. The study of the effect of SOC metabolism on petroleum biodegradation contributes to the development of sustainable low-carbon electro-bioremediation technology.","container-title":"Journal of Hazardous Materials","DOI":"10.1016/j.jhazmat.2023.132180","ISSN":"0304-3894","journalAbbreviation":"Journal of Hazardous Materials","page":"132180","source":"ScienceDirect","title":"Effects of soil organic carbon metabolism on electro-bioremediation of petroleum-contaminated soil","volume":"459","author":[{"family":"Wang","given":"Sa"},{"family":"Guo","given":"Shuhai"}],"issued":{"date-parts":[["2023",10,5]]}}}],"schema":"https://github.com/citation-style-language/schema/raw/master/csl-citation.json"} </w:instrText>
      </w:r>
      <w:r w:rsidR="00797804" w:rsidRPr="00D306AF">
        <w:rPr>
          <w:lang w:val="es-ES"/>
        </w:rPr>
        <w:fldChar w:fldCharType="separate"/>
      </w:r>
      <w:r w:rsidR="00CB0CE4" w:rsidRPr="00D306AF">
        <w:t>(Wang y Guo, 2023)</w:t>
      </w:r>
      <w:r w:rsidR="00797804" w:rsidRPr="00D306AF">
        <w:rPr>
          <w:lang w:val="es-ES"/>
        </w:rPr>
        <w:fldChar w:fldCharType="end"/>
      </w:r>
      <w:r w:rsidR="00797804" w:rsidRPr="00D306AF">
        <w:rPr>
          <w:lang w:val="es-ES"/>
        </w:rPr>
        <w:t>.</w:t>
      </w:r>
      <w:r w:rsidR="008C44A5" w:rsidRPr="00D306AF">
        <w:rPr>
          <w:lang w:val="es-ES"/>
        </w:rPr>
        <w:t xml:space="preserve"> </w:t>
      </w:r>
      <w:r w:rsidR="0042503D" w:rsidRPr="00D306AF">
        <w:rPr>
          <w:lang w:val="es-ES"/>
        </w:rPr>
        <w:t>Sin embargo, aún existe información limitada respecto a la interacción simultánea entre la aplicación de campo eléctrico, la adición de nutrientes y la presencia de metales pesados sobre la comunidad bacteriana autóctona durante la degradación de HAP en matrices complejas</w:t>
      </w:r>
      <w:r w:rsidR="003B541D">
        <w:rPr>
          <w:lang w:val="es-ES"/>
        </w:rPr>
        <w:t xml:space="preserve"> como</w:t>
      </w:r>
      <w:r w:rsidR="0042503D" w:rsidRPr="00D306AF">
        <w:rPr>
          <w:lang w:val="es-ES"/>
        </w:rPr>
        <w:t xml:space="preserve"> el </w:t>
      </w:r>
      <w:proofErr w:type="spellStart"/>
      <w:r w:rsidR="0042503D" w:rsidRPr="00D306AF">
        <w:rPr>
          <w:i/>
          <w:lang w:val="es-ES"/>
        </w:rPr>
        <w:t>cutting</w:t>
      </w:r>
      <w:proofErr w:type="spellEnd"/>
      <w:r w:rsidR="0042503D" w:rsidRPr="00D306AF">
        <w:rPr>
          <w:i/>
          <w:lang w:val="es-ES"/>
        </w:rPr>
        <w:t>.</w:t>
      </w:r>
    </w:p>
    <w:p w14:paraId="382E0A75" w14:textId="087086B1" w:rsidR="0082024B" w:rsidRPr="00D306AF" w:rsidRDefault="00B84F5E" w:rsidP="00054360">
      <w:pPr>
        <w:spacing w:after="240" w:line="480" w:lineRule="auto"/>
        <w:jc w:val="both"/>
        <w:rPr>
          <w:lang w:val="es-ES"/>
        </w:rPr>
      </w:pPr>
      <w:r w:rsidRPr="00D306AF">
        <w:rPr>
          <w:lang w:val="es-ES"/>
        </w:rPr>
        <w:t xml:space="preserve">El </w:t>
      </w:r>
      <w:r w:rsidR="00FC4B7D" w:rsidRPr="00D306AF">
        <w:rPr>
          <w:lang w:val="es-ES"/>
        </w:rPr>
        <w:t>objetivo de este</w:t>
      </w:r>
      <w:r w:rsidR="0048050A" w:rsidRPr="00D306AF">
        <w:rPr>
          <w:lang w:val="es-ES"/>
        </w:rPr>
        <w:t xml:space="preserve"> tr</w:t>
      </w:r>
      <w:r w:rsidR="008941CD" w:rsidRPr="00D306AF">
        <w:rPr>
          <w:lang w:val="es-ES"/>
        </w:rPr>
        <w:t>a</w:t>
      </w:r>
      <w:r w:rsidR="0048050A" w:rsidRPr="00D306AF">
        <w:rPr>
          <w:lang w:val="es-ES"/>
        </w:rPr>
        <w:t>b</w:t>
      </w:r>
      <w:r w:rsidR="008941CD" w:rsidRPr="00D306AF">
        <w:rPr>
          <w:lang w:val="es-ES"/>
        </w:rPr>
        <w:t>a</w:t>
      </w:r>
      <w:r w:rsidR="0048050A" w:rsidRPr="00D306AF">
        <w:rPr>
          <w:lang w:val="es-ES"/>
        </w:rPr>
        <w:t>jo</w:t>
      </w:r>
      <w:r w:rsidR="00FC4B7D" w:rsidRPr="00D306AF">
        <w:rPr>
          <w:lang w:val="es-ES"/>
        </w:rPr>
        <w:t xml:space="preserve"> fue</w:t>
      </w:r>
      <w:r w:rsidR="007C47B5" w:rsidRPr="00D306AF">
        <w:rPr>
          <w:lang w:val="es-ES"/>
        </w:rPr>
        <w:t xml:space="preserve"> evaluar la biodegradación de </w:t>
      </w:r>
      <w:r w:rsidR="000472E3" w:rsidRPr="00D306AF">
        <w:rPr>
          <w:lang w:val="es-ES"/>
        </w:rPr>
        <w:t xml:space="preserve">los </w:t>
      </w:r>
      <w:r w:rsidR="00EB7772" w:rsidRPr="00D306AF">
        <w:rPr>
          <w:lang w:val="es-ES"/>
        </w:rPr>
        <w:t>HAP por EB</w:t>
      </w:r>
      <w:r w:rsidR="000E6D21" w:rsidRPr="00D306AF">
        <w:rPr>
          <w:lang w:val="es-ES"/>
        </w:rPr>
        <w:t>,</w:t>
      </w:r>
      <w:r w:rsidR="00EB7772" w:rsidRPr="00D306AF">
        <w:rPr>
          <w:lang w:val="es-ES"/>
        </w:rPr>
        <w:t xml:space="preserve"> determinando el efecto de la adición de nutrientes y la posible influencia de los metales pesados sobre la comunidad bacteriana autóctona.</w:t>
      </w:r>
    </w:p>
    <w:p w14:paraId="4B87F274" w14:textId="442279AD" w:rsidR="008941CD" w:rsidRPr="00D306AF" w:rsidRDefault="00330820" w:rsidP="00171EEA">
      <w:pPr>
        <w:spacing w:after="240" w:line="480" w:lineRule="auto"/>
        <w:rPr>
          <w:b/>
        </w:rPr>
      </w:pPr>
      <w:r w:rsidRPr="00D306AF">
        <w:rPr>
          <w:b/>
        </w:rPr>
        <w:t>MATERIALES Y MÉTODOS</w:t>
      </w:r>
    </w:p>
    <w:p w14:paraId="5FC58431" w14:textId="3D8B5324" w:rsidR="008941CD" w:rsidRPr="00D306AF" w:rsidRDefault="00330820" w:rsidP="00CE2DC0">
      <w:pPr>
        <w:pStyle w:val="NormalWeb"/>
        <w:spacing w:line="480" w:lineRule="auto"/>
        <w:jc w:val="both"/>
        <w:rPr>
          <w:b/>
        </w:rPr>
      </w:pPr>
      <w:r w:rsidRPr="00D306AF">
        <w:rPr>
          <w:b/>
        </w:rPr>
        <w:t>M</w:t>
      </w:r>
      <w:r w:rsidR="007F3E82" w:rsidRPr="00D306AF">
        <w:rPr>
          <w:b/>
        </w:rPr>
        <w:t>uestras de suelo contaminado</w:t>
      </w:r>
    </w:p>
    <w:p w14:paraId="650D6562" w14:textId="28C9F5EB" w:rsidR="007101E8" w:rsidRPr="00D306AF" w:rsidRDefault="007101E8" w:rsidP="00CE2DC0">
      <w:pPr>
        <w:pStyle w:val="NormalWeb"/>
        <w:spacing w:line="480" w:lineRule="auto"/>
        <w:jc w:val="both"/>
      </w:pPr>
      <w:r w:rsidRPr="00D306AF">
        <w:t xml:space="preserve">Las muestras de </w:t>
      </w:r>
      <w:proofErr w:type="spellStart"/>
      <w:r w:rsidR="00B94225" w:rsidRPr="00D306AF">
        <w:rPr>
          <w:i/>
        </w:rPr>
        <w:t>cutting</w:t>
      </w:r>
      <w:proofErr w:type="spellEnd"/>
      <w:r w:rsidR="00B94225" w:rsidRPr="00D306AF">
        <w:t xml:space="preserve"> </w:t>
      </w:r>
      <w:r w:rsidRPr="00D306AF">
        <w:t xml:space="preserve">utilizadas fueron </w:t>
      </w:r>
      <w:r w:rsidR="004E653A" w:rsidRPr="00D306AF">
        <w:t>recolectadas</w:t>
      </w:r>
      <w:r w:rsidRPr="00D306AF">
        <w:t xml:space="preserve"> a profundidades de entre 10 y 30 cm de una </w:t>
      </w:r>
      <w:proofErr w:type="spellStart"/>
      <w:r w:rsidRPr="00D306AF">
        <w:t>cuttinera</w:t>
      </w:r>
      <w:proofErr w:type="spellEnd"/>
      <w:r w:rsidRPr="00D306AF">
        <w:t xml:space="preserve"> perteneciente a una empresa petrolera que opera en la Cuenca Neuquina </w:t>
      </w:r>
      <w:r w:rsidR="004E653A" w:rsidRPr="00D306AF">
        <w:t>(</w:t>
      </w:r>
      <w:r w:rsidRPr="00D306AF">
        <w:t>Región Patagónica</w:t>
      </w:r>
      <w:r w:rsidR="00D35D10" w:rsidRPr="00D306AF">
        <w:t>, Argentina</w:t>
      </w:r>
      <w:r w:rsidR="004E653A" w:rsidRPr="00D306AF">
        <w:t>)</w:t>
      </w:r>
      <w:r w:rsidRPr="00D306AF">
        <w:t>.</w:t>
      </w:r>
      <w:r w:rsidR="00146E81" w:rsidRPr="00D306AF">
        <w:t xml:space="preserve"> Se recolectaron submuestras en distintos puntos del sitio, las cuales fueron homogeneizadas para conformar una muestra compuesta representativa. Todas las submuestras fueron obtenidas durante una única campaña de muestreo.</w:t>
      </w:r>
    </w:p>
    <w:p w14:paraId="60BC4A61" w14:textId="06074DFF" w:rsidR="007101E8" w:rsidRPr="00D306AF" w:rsidRDefault="00330820" w:rsidP="00CE2DC0">
      <w:pPr>
        <w:pStyle w:val="NormalWeb"/>
        <w:spacing w:line="480" w:lineRule="auto"/>
        <w:jc w:val="both"/>
        <w:rPr>
          <w:b/>
        </w:rPr>
      </w:pPr>
      <w:r w:rsidRPr="00D306AF">
        <w:rPr>
          <w:b/>
        </w:rPr>
        <w:t>S</w:t>
      </w:r>
      <w:r w:rsidR="007F3E82" w:rsidRPr="00D306AF">
        <w:rPr>
          <w:b/>
        </w:rPr>
        <w:t>istemas experimentales de biodegradación</w:t>
      </w:r>
    </w:p>
    <w:p w14:paraId="059D704C" w14:textId="07EC3F18" w:rsidR="0003486E" w:rsidRDefault="0003486E" w:rsidP="00CE2DC0">
      <w:pPr>
        <w:pStyle w:val="NormalWeb"/>
        <w:spacing w:line="480" w:lineRule="auto"/>
        <w:jc w:val="both"/>
      </w:pPr>
      <w:r w:rsidRPr="00D306AF">
        <w:t xml:space="preserve">El proceso de biodegradación se llevó a cabo mediante EB en cubas electrocinéticas. Una cuba contenía </w:t>
      </w:r>
      <w:proofErr w:type="spellStart"/>
      <w:r w:rsidRPr="00D306AF">
        <w:rPr>
          <w:i/>
        </w:rPr>
        <w:t>cutting</w:t>
      </w:r>
      <w:proofErr w:type="spellEnd"/>
      <w:r w:rsidRPr="00D306AF">
        <w:t xml:space="preserve"> con nutrientes </w:t>
      </w:r>
      <w:r w:rsidR="00B800E7" w:rsidRPr="00D306AF">
        <w:t xml:space="preserve">sintéticos </w:t>
      </w:r>
      <w:r w:rsidRPr="00D306AF">
        <w:t>((NH</w:t>
      </w:r>
      <w:r w:rsidRPr="00D306AF">
        <w:rPr>
          <w:vertAlign w:val="subscript"/>
        </w:rPr>
        <w:t>4</w:t>
      </w:r>
      <w:r w:rsidRPr="00D306AF">
        <w:t>)</w:t>
      </w:r>
      <w:r w:rsidRPr="00D306AF">
        <w:rPr>
          <w:vertAlign w:val="subscript"/>
        </w:rPr>
        <w:t>2</w:t>
      </w:r>
      <w:r w:rsidRPr="00D306AF">
        <w:t>SO</w:t>
      </w:r>
      <w:r w:rsidRPr="00D306AF">
        <w:rPr>
          <w:vertAlign w:val="subscript"/>
        </w:rPr>
        <w:t>4</w:t>
      </w:r>
      <w:r w:rsidRPr="00D306AF">
        <w:t>;</w:t>
      </w:r>
      <w:r w:rsidRPr="00D306AF">
        <w:rPr>
          <w:rFonts w:eastAsia="Calibri"/>
          <w:lang w:eastAsia="en-US"/>
        </w:rPr>
        <w:t xml:space="preserve"> K</w:t>
      </w:r>
      <w:r w:rsidRPr="00D306AF">
        <w:rPr>
          <w:rFonts w:eastAsia="Calibri"/>
          <w:vertAlign w:val="subscript"/>
          <w:lang w:eastAsia="en-US"/>
        </w:rPr>
        <w:t>2</w:t>
      </w:r>
      <w:r w:rsidRPr="00D306AF">
        <w:rPr>
          <w:rFonts w:eastAsia="Calibri"/>
          <w:lang w:eastAsia="en-US"/>
        </w:rPr>
        <w:t>HPO</w:t>
      </w:r>
      <w:r w:rsidRPr="00D306AF">
        <w:rPr>
          <w:rFonts w:eastAsia="Calibri"/>
          <w:vertAlign w:val="subscript"/>
          <w:lang w:eastAsia="en-US"/>
        </w:rPr>
        <w:t>4</w:t>
      </w:r>
      <w:r w:rsidRPr="00D306AF">
        <w:rPr>
          <w:rFonts w:eastAsia="Calibri"/>
          <w:lang w:eastAsia="en-US"/>
        </w:rPr>
        <w:t>)</w:t>
      </w:r>
      <w:r w:rsidRPr="00D306AF">
        <w:t xml:space="preserve"> en una </w:t>
      </w:r>
      <w:r w:rsidR="00B800E7" w:rsidRPr="00D306AF">
        <w:t>relación</w:t>
      </w:r>
      <w:r w:rsidRPr="00D306AF">
        <w:t xml:space="preserve"> </w:t>
      </w:r>
      <w:proofErr w:type="gramStart"/>
      <w:r w:rsidRPr="00D306AF">
        <w:t>C:N</w:t>
      </w:r>
      <w:proofErr w:type="gramEnd"/>
      <w:r w:rsidRPr="00D306AF">
        <w:t>:P de 100:1:0,1</w:t>
      </w:r>
      <w:r w:rsidR="004E653A" w:rsidRPr="00D306AF">
        <w:t xml:space="preserve"> </w:t>
      </w:r>
      <w:r w:rsidRPr="00D306AF">
        <w:t>(Cuba B)</w:t>
      </w:r>
      <w:r w:rsidR="00D35348" w:rsidRPr="00D306AF">
        <w:t xml:space="preserve">. Esta relación fue definida en base a antecedentes de </w:t>
      </w:r>
      <w:proofErr w:type="spellStart"/>
      <w:r w:rsidR="00D35348" w:rsidRPr="00D306AF">
        <w:t>bioestimulación</w:t>
      </w:r>
      <w:proofErr w:type="spellEnd"/>
      <w:r w:rsidR="00D35348" w:rsidRPr="00D306AF">
        <w:t xml:space="preserve"> </w:t>
      </w:r>
      <w:r w:rsidR="00D35348" w:rsidRPr="00D306AF">
        <w:lastRenderedPageBreak/>
        <w:t>en suelos contaminados con hidrocarburos</w:t>
      </w:r>
      <w:r w:rsidR="00BC42E4" w:rsidRPr="00D306AF">
        <w:t xml:space="preserve"> </w:t>
      </w:r>
      <w:r w:rsidR="00BC42E4" w:rsidRPr="00D306AF">
        <w:fldChar w:fldCharType="begin"/>
      </w:r>
      <w:r w:rsidR="00397214" w:rsidRPr="00D306AF">
        <w:instrText xml:space="preserve"> ADDIN ZOTERO_ITEM CSL_CITATION {"citationID":"jho6j0Z4","properties":{"unsorted":false,"formattedCitation":"(Acu\\uc0\\u241{}a et\\uc0\\u160{}al., 2007, 2012)","plainCitation":"(Acuña et al., 2007, 2012)","noteIndex":0},"citationItems":[{"id":90,"uris":["http://zotero.org/users/local/fvn0idRM/items/4EB89SXH"],"itemData":{"id":90,"type":"article-journal","container-title":"Ingeniería Sanitaria y Ambiental","language":"es","page":"82-86","source":"Zotero","title":"Biodegradación de hidrocarburos. Influencia de la fertilización en el proceso de biorremediación","volume":"84","author":[{"family":"Acuña","given":"Adrián J"},{"family":"Krenek","given":"Julia F Pérez"},{"family":"Pucci","given":"Oscar Héctor"},{"family":"Pucci","given":"Graciela Natalia"}],"issued":{"date-parts":[["2007"]]}}},{"id":87,"uris":["http://zotero.org/users/local/fvn0idRM/items/837FZA2H"],"itemData":{"id":87,"type":"article-journal","container-title":"Ingeniería, investigación y tecnología","ISSN":"1405-7743","issue":"1","page":"105-112","source":"www.scielo.org.mx","title":"Optimización de un sistema de biorremediación de hidrocarburos a escala de laboratorio","title-short":"http","volume":"13","author":[{"family":"Acuña","given":"A. J."},{"family":"Tonín","given":"N. L."},{"family":"Díaz","given":"V."},{"family":"Pucci","given":"G. N."},{"family":"Pucci","given":"O. H."}],"issued":{"date-parts":[["2012",3]]}}}],"schema":"https://github.com/citation-style-language/schema/raw/master/csl-citation.json"} </w:instrText>
      </w:r>
      <w:r w:rsidR="00BC42E4" w:rsidRPr="00D306AF">
        <w:fldChar w:fldCharType="separate"/>
      </w:r>
      <w:r w:rsidR="00CB0CE4" w:rsidRPr="00D306AF">
        <w:t>(Acuña et al., 2007, 2012)</w:t>
      </w:r>
      <w:r w:rsidR="00BC42E4" w:rsidRPr="00D306AF">
        <w:fldChar w:fldCharType="end"/>
      </w:r>
      <w:r w:rsidR="00D35348" w:rsidRPr="00D306AF">
        <w:t xml:space="preserve"> y estudios de EB </w:t>
      </w:r>
      <w:r w:rsidR="004E28EE" w:rsidRPr="00D306AF">
        <w:fldChar w:fldCharType="begin"/>
      </w:r>
      <w:r w:rsidR="00CB0CE4" w:rsidRPr="00D306AF">
        <w:instrText xml:space="preserve"> ADDIN ZOTERO_ITEM CSL_CITATION {"citationID":"1qtgxT5C","properties":{"unsorted":false,"formattedCitation":"(Baztan et\\uc0\\u160{}al., 2015)","plainCitation":"(Baztan et al., 2015)","noteIndex":0},"citationItems":[{"id":91,"uris":["http://zotero.org/users/local/fvn0idRM/items/NBSHIAWB"],"itemData":{"id":91,"type":"article-journal","container-title":"Acta Biológica Colombiana","DOI":"10.15446/abc.v20n2.4525","ISSN":"0120-548X","issue":"2","language":"en","page":"145-152","source":"SciELO","title":"Electrobiorremediation of a Soil with an Old Hydrocarbon Contamination","volume":"20","author":[{"family":"Baztan","given":"Maite Soledad"},{"family":"Pucci","given":"Oscar Héctor"},{"family":"Pucci","given":"Graciela Natalia"}],"issued":{"date-parts":[["2015",5]]}}}],"schema":"https://github.com/citation-style-language/schema/raw/master/csl-citation.json"} </w:instrText>
      </w:r>
      <w:r w:rsidR="004E28EE" w:rsidRPr="00D306AF">
        <w:fldChar w:fldCharType="separate"/>
      </w:r>
      <w:r w:rsidR="00CB0CE4" w:rsidRPr="00D306AF">
        <w:t>(Baztan et al., 2015)</w:t>
      </w:r>
      <w:r w:rsidR="004E28EE" w:rsidRPr="00D306AF">
        <w:fldChar w:fldCharType="end"/>
      </w:r>
      <w:r w:rsidR="00D35348" w:rsidRPr="00D306AF">
        <w:t>, donde dicha proporción mostró resultados favorables en la degradación de compuestos alifáticos y aromáticos.</w:t>
      </w:r>
      <w:r w:rsidR="00295D1A" w:rsidRPr="00D306AF">
        <w:t xml:space="preserve"> </w:t>
      </w:r>
      <w:r w:rsidR="00D35348" w:rsidRPr="00D306AF">
        <w:t xml:space="preserve">Por su parte, a la </w:t>
      </w:r>
      <w:r w:rsidRPr="00D306AF">
        <w:t xml:space="preserve">otra cuba </w:t>
      </w:r>
      <w:r w:rsidR="00D35348" w:rsidRPr="00D306AF">
        <w:t xml:space="preserve">no </w:t>
      </w:r>
      <w:r w:rsidR="00295D1A" w:rsidRPr="00D306AF">
        <w:t xml:space="preserve">recibió </w:t>
      </w:r>
      <w:r w:rsidR="00D35348" w:rsidRPr="00D306AF">
        <w:t>adici</w:t>
      </w:r>
      <w:r w:rsidR="00295D1A" w:rsidRPr="00D306AF">
        <w:t>ó</w:t>
      </w:r>
      <w:r w:rsidR="00D35348" w:rsidRPr="00D306AF">
        <w:t>n</w:t>
      </w:r>
      <w:r w:rsidR="00295D1A" w:rsidRPr="00D306AF">
        <w:t xml:space="preserve"> de</w:t>
      </w:r>
      <w:r w:rsidR="00D35348" w:rsidRPr="00D306AF">
        <w:t xml:space="preserve"> </w:t>
      </w:r>
      <w:r w:rsidRPr="00D306AF">
        <w:t xml:space="preserve">nutrientes (Cuba A). Además, se incluyeron tres controles sin aplicación de electricidad: sin aditivos (SS), con humedad (SH) y con nutrientes (SN). </w:t>
      </w:r>
      <w:r w:rsidR="005061BD" w:rsidRPr="00D306AF">
        <w:t xml:space="preserve">Cada tratamiento y control se realizó por triplicado. </w:t>
      </w:r>
      <w:r w:rsidRPr="00D306AF">
        <w:t xml:space="preserve">Las cubas de vidrio (27×15×15 cm) </w:t>
      </w:r>
      <w:r w:rsidR="00295D1A" w:rsidRPr="00D306AF">
        <w:t xml:space="preserve">contaban con </w:t>
      </w:r>
      <w:r w:rsidRPr="00D306AF">
        <w:t xml:space="preserve">un compartimento central </w:t>
      </w:r>
      <w:r w:rsidR="00295D1A" w:rsidRPr="00D306AF">
        <w:t xml:space="preserve">que </w:t>
      </w:r>
      <w:r w:rsidRPr="00D306AF">
        <w:t>con</w:t>
      </w:r>
      <w:r w:rsidR="00295D1A" w:rsidRPr="00D306AF">
        <w:t>tenía</w:t>
      </w:r>
      <w:r w:rsidRPr="00D306AF">
        <w:t xml:space="preserve"> el </w:t>
      </w:r>
      <w:proofErr w:type="spellStart"/>
      <w:r w:rsidRPr="00D306AF">
        <w:rPr>
          <w:i/>
        </w:rPr>
        <w:t>cutting</w:t>
      </w:r>
      <w:proofErr w:type="spellEnd"/>
      <w:r w:rsidRPr="00D306AF">
        <w:t xml:space="preserve"> y electrodos de platino conectados a un buffer de fosfato sólido</w:t>
      </w:r>
      <w:r w:rsidR="00200B70" w:rsidRPr="00D306AF">
        <w:t xml:space="preserve"> </w:t>
      </w:r>
      <w:r w:rsidRPr="00D306AF">
        <w:t>(KH</w:t>
      </w:r>
      <w:r w:rsidRPr="00D306AF">
        <w:rPr>
          <w:vertAlign w:val="subscript"/>
        </w:rPr>
        <w:t>2</w:t>
      </w:r>
      <w:r w:rsidRPr="00D306AF">
        <w:t>PO</w:t>
      </w:r>
      <w:r w:rsidRPr="00D306AF">
        <w:rPr>
          <w:vertAlign w:val="subscript"/>
        </w:rPr>
        <w:t>4</w:t>
      </w:r>
      <w:r w:rsidRPr="00D306AF">
        <w:t>) en contacto con el suelo. Se aplicó un campo eléctrico constante de 0,5 V</w:t>
      </w:r>
      <w:r w:rsidR="00A962C9" w:rsidRPr="00D306AF">
        <w:t>/</w:t>
      </w:r>
      <w:r w:rsidRPr="00D306AF">
        <w:t>cm</w:t>
      </w:r>
      <w:r w:rsidRPr="00D306AF">
        <w:rPr>
          <w:vertAlign w:val="superscript"/>
        </w:rPr>
        <w:t>-1</w:t>
      </w:r>
      <w:r w:rsidRPr="00D306AF">
        <w:t xml:space="preserve"> con rotación de polaridad</w:t>
      </w:r>
      <w:r w:rsidR="00C63147" w:rsidRPr="00D306AF">
        <w:t xml:space="preserve"> cada cuatro días</w:t>
      </w:r>
      <w:r w:rsidR="008D6540" w:rsidRPr="00D306AF">
        <w:t>. El voltaje aplicado al suelo fue seleccionado en base a antecedentes de EB, que indican que intensidades dentro del rango 0,5</w:t>
      </w:r>
      <w:r w:rsidR="0078668C" w:rsidRPr="00D306AF">
        <w:t xml:space="preserve"> </w:t>
      </w:r>
      <w:r w:rsidR="002D084E" w:rsidRPr="00D306AF">
        <w:t xml:space="preserve">a </w:t>
      </w:r>
      <w:r w:rsidR="008D6540" w:rsidRPr="00D306AF">
        <w:t>2 V</w:t>
      </w:r>
      <w:r w:rsidR="002D084E" w:rsidRPr="00D306AF">
        <w:t>/</w:t>
      </w:r>
      <w:r w:rsidR="008D6540" w:rsidRPr="00D306AF">
        <w:t>cm</w:t>
      </w:r>
      <w:r w:rsidR="008D6540" w:rsidRPr="00D306AF">
        <w:rPr>
          <w:vertAlign w:val="superscript"/>
        </w:rPr>
        <w:t>-1</w:t>
      </w:r>
      <w:r w:rsidR="008D6540" w:rsidRPr="00D306AF">
        <w:t xml:space="preserve"> no generan efectos adversos significativos sobre la comunidad microbiana </w:t>
      </w:r>
      <w:r w:rsidR="004E28EE" w:rsidRPr="00D306AF">
        <w:fldChar w:fldCharType="begin"/>
      </w:r>
      <w:r w:rsidR="00BD43BF" w:rsidRPr="00D306AF">
        <w:instrText xml:space="preserve"> ADDIN ZOTERO_ITEM CSL_CITATION {"citationID":"2jkwM2W3","properties":{"unsorted":false,"formattedCitation":"(Bellagamba et\\uc0\\u160{}al., 2017; Cameselle y Reddy, 2022)","plainCitation":"(Bellagamba et al., 2017; Cameselle y Reddy, 2022)","noteIndex":0},"citationItems":[{"id":93,"uris":["http://zotero.org/users/local/fvn0idRM/items/54KNSH3V"],"itemData":{"id":93,"type":"article-journal","abstract":"Bioremediation is an effective technology to tackle crude oil spill disasters, which takes advantage of the capacity of naturally occurring microorganisms to degrade petroleum hydrocarbons under a range of environmental conditions. The enzymatic process of breaking down oil is usually more rapid in the presence of oxygen. However, in contaminated sediments, oxygen levels are typically too low to sustain the rapid and complete biodegradation of buried hydrocarbons. Here, we explored the possibility to electrochemically manipulate the redox potential of a crude oil-contaminated marine sediment in order to establish, in situ, conditions that are conducive to contaminants biodegradation by autochthonous microbial communities. The proposed approach is based on the exploitation of low-voltage (2V) seawater electrolysis to drive oxygen generation (while minimizing chlorine evolution) on Dimensionally Stable Anodes (DSA) placed within the contaminated sediment. Results, based on a laboratory scale setup with chronically polluted sediments spiked with crude oil, showed an increased redox potential and a decreased pH in the vicinity of the anode of ‘electrified’ treatments, consistent with the occurrence of oxygen generation. Accordingly, hydrocarbons biodegradation was substantially accelerated (up to 3-times) compared to ‘non-electrified’ controls, while sulfate reduction was severely inhibited. Intermittent application of electrolysis proved to be an effective strategy to minimize the energy requirements of the process, without adversely affecting degradation performance. Taken as a whole, this study suggests that electrolysis-driven bioremediation could be a sustainable technology for the management of contaminated sediments.","collection-title":"EBC-VI: Recent Advances in Environmental Biotechnology","container-title":"New Biotechnology","DOI":"10.1016/j.nbt.2016.03.003","ISSN":"1871-6784","journalAbbreviation":"New Biotechnology","page":"84-90","source":"ScienceDirect","title":"Electrolysis-driven bioremediation of crude oil-contaminated marine sediments","volume":"38","author":[{"family":"Bellagamba","given":"Marco"},{"family":"Cruz Viggi","given":"Carolina"},{"family":"Ademollo","given":"Nicoletta"},{"family":"Rossetti","given":"Simona"},{"family":"Aulenta","given":"Federico"}],"issued":{"date-parts":[["2017",9,25]]}}},{"id":29,"uris":["http://zotero.org/users/local/fvn0idRM/items/DL2MSIMK"],"itemData":{"id":29,"type":"article-journal","container-title":"Indian Geotechnical Journal","page":"1205-1225","title":"Electrobioremediation: Combined Electrokinetics and Bioremediation Technology for Contaminated Site Remediation","volume":"52","author":[{"family":"Cameselle","given":"Claudio"},{"family":"Reddy","given":"Krishna R."}],"issued":{"date-parts":[["2022"]]}}}],"schema":"https://github.com/citation-style-language/schema/raw/master/csl-citation.json"} </w:instrText>
      </w:r>
      <w:r w:rsidR="004E28EE" w:rsidRPr="00D306AF">
        <w:fldChar w:fldCharType="separate"/>
      </w:r>
      <w:r w:rsidR="00CB0CE4" w:rsidRPr="00D306AF">
        <w:t>(Bellagamba et al., 2017; Cameselle y Reddy, 2022)</w:t>
      </w:r>
      <w:r w:rsidR="004E28EE" w:rsidRPr="00D306AF">
        <w:fldChar w:fldCharType="end"/>
      </w:r>
      <w:r w:rsidR="004E28EE" w:rsidRPr="00D306AF">
        <w:t>.</w:t>
      </w:r>
      <w:r w:rsidR="008D6540" w:rsidRPr="00D306AF">
        <w:t xml:space="preserve"> L</w:t>
      </w:r>
      <w:r w:rsidRPr="00D306AF">
        <w:t xml:space="preserve">a humedad </w:t>
      </w:r>
      <w:r w:rsidR="008D6540" w:rsidRPr="00D306AF">
        <w:t xml:space="preserve">se mantuvo </w:t>
      </w:r>
      <w:r w:rsidRPr="00D306AF">
        <w:t>en</w:t>
      </w:r>
      <w:r w:rsidR="008D6540" w:rsidRPr="00D306AF">
        <w:t>tre</w:t>
      </w:r>
      <w:r w:rsidRPr="00D306AF">
        <w:t xml:space="preserve"> 12-1</w:t>
      </w:r>
      <w:r w:rsidR="00244F8C" w:rsidRPr="00D306AF">
        <w:t>7</w:t>
      </w:r>
      <w:r w:rsidRPr="00D306AF">
        <w:t xml:space="preserve"> %</w:t>
      </w:r>
      <w:r w:rsidR="00E60FBA" w:rsidRPr="00D306AF">
        <w:t xml:space="preserve"> en las cubas experimentales (A y B) y en los controles SH y SN. El control SS se mantuvo sin adición de agua </w:t>
      </w:r>
      <w:r w:rsidR="00295D1A" w:rsidRPr="00D306AF">
        <w:t xml:space="preserve">para </w:t>
      </w:r>
      <w:r w:rsidR="00E60FBA" w:rsidRPr="00D306AF">
        <w:t>simula</w:t>
      </w:r>
      <w:r w:rsidR="00295D1A" w:rsidRPr="00D306AF">
        <w:t>r</w:t>
      </w:r>
      <w:r w:rsidR="00E60FBA" w:rsidRPr="00D306AF">
        <w:t xml:space="preserve"> condiciones de atenuación </w:t>
      </w:r>
      <w:r w:rsidR="008D6540" w:rsidRPr="00D306AF">
        <w:t>natural.</w:t>
      </w:r>
      <w:r w:rsidRPr="00D306AF">
        <w:t xml:space="preserve"> </w:t>
      </w:r>
      <w:r w:rsidR="00CF1A29" w:rsidRPr="00D306AF">
        <w:t>Tras 60 días de tratamiento, se tomaron muestras en tres sectores de cada cuba: dos ubicados en los extremos, próximos a los electrodos, y uno en la zona central. En la cuba A, los puntos A1 y A3 correspondieron a los sectores cercanos a los electrodos, mientras que A2 representó el punto central. De manera análoga, en la cuba B, los puntos B1 y B3 se localizaron próximos a los electrodos y B2 en la región central. Asimismo, se recolectó una muestra única en cada uno de los sistemas</w:t>
      </w:r>
      <w:r w:rsidR="009A1410" w:rsidRPr="00D306AF">
        <w:t xml:space="preserve"> </w:t>
      </w:r>
      <w:r w:rsidR="00CF1A29" w:rsidRPr="00D306AF">
        <w:t xml:space="preserve">control. </w:t>
      </w:r>
      <w:r w:rsidR="002E732C" w:rsidRPr="00D306AF">
        <w:t>Todos los análisis fisicoquímicos y microbiológicos se realizaron por triplicado</w:t>
      </w:r>
      <w:r w:rsidR="0096142B" w:rsidRPr="00D306AF">
        <w:t xml:space="preserve"> al inicio</w:t>
      </w:r>
      <w:r w:rsidR="00890EB8" w:rsidRPr="00D306AF">
        <w:t xml:space="preserve"> (I)</w:t>
      </w:r>
      <w:r w:rsidR="0096142B" w:rsidRPr="00D306AF">
        <w:t xml:space="preserve"> y al final de tratamiento EB. </w:t>
      </w:r>
    </w:p>
    <w:p w14:paraId="0D3D412E" w14:textId="77777777" w:rsidR="00570047" w:rsidRPr="00D306AF" w:rsidRDefault="00570047" w:rsidP="00CE2DC0">
      <w:pPr>
        <w:pStyle w:val="NormalWeb"/>
        <w:spacing w:line="480" w:lineRule="auto"/>
        <w:jc w:val="both"/>
      </w:pPr>
    </w:p>
    <w:p w14:paraId="6908A79B" w14:textId="49F7BBF1" w:rsidR="0031122C" w:rsidRPr="00D306AF" w:rsidRDefault="00330820" w:rsidP="00CE2DC0">
      <w:pPr>
        <w:pStyle w:val="NormalWeb"/>
        <w:spacing w:line="480" w:lineRule="auto"/>
        <w:jc w:val="both"/>
        <w:rPr>
          <w:b/>
          <w:color w:val="FF0000"/>
        </w:rPr>
      </w:pPr>
      <w:r w:rsidRPr="00D306AF">
        <w:rPr>
          <w:b/>
        </w:rPr>
        <w:lastRenderedPageBreak/>
        <w:t>A</w:t>
      </w:r>
      <w:r w:rsidR="007F3E82" w:rsidRPr="00D306AF">
        <w:rPr>
          <w:b/>
        </w:rPr>
        <w:t xml:space="preserve">nálisis fisicoquímico del </w:t>
      </w:r>
      <w:proofErr w:type="spellStart"/>
      <w:r w:rsidR="007F3E82" w:rsidRPr="00D306AF">
        <w:rPr>
          <w:b/>
          <w:i/>
        </w:rPr>
        <w:t>cutting</w:t>
      </w:r>
      <w:proofErr w:type="spellEnd"/>
      <w:r w:rsidR="007F3E82" w:rsidRPr="00D306AF">
        <w:rPr>
          <w:b/>
          <w:i/>
        </w:rPr>
        <w:t xml:space="preserve"> </w:t>
      </w:r>
    </w:p>
    <w:p w14:paraId="391AD3E3" w14:textId="3252F005" w:rsidR="00F31455" w:rsidRPr="00D306AF" w:rsidRDefault="000B626A" w:rsidP="00CE2DC0">
      <w:pPr>
        <w:pStyle w:val="NormalWeb"/>
        <w:spacing w:line="480" w:lineRule="auto"/>
        <w:jc w:val="both"/>
        <w:rPr>
          <w:lang w:val="es-ES"/>
        </w:rPr>
      </w:pPr>
      <w:r w:rsidRPr="00D306AF">
        <w:rPr>
          <w:lang w:val="es-ES"/>
        </w:rPr>
        <w:t xml:space="preserve">Se analizaron aniones, cationes, pH y humedad </w:t>
      </w:r>
      <w:r w:rsidR="00F31455" w:rsidRPr="00D306AF">
        <w:rPr>
          <w:lang w:val="es-ES"/>
        </w:rPr>
        <w:t xml:space="preserve">a partir </w:t>
      </w:r>
      <w:r w:rsidRPr="00D306AF">
        <w:rPr>
          <w:lang w:val="es-ES"/>
        </w:rPr>
        <w:t xml:space="preserve">de un extracto de </w:t>
      </w:r>
      <w:r w:rsidR="00B321C5" w:rsidRPr="00D306AF">
        <w:rPr>
          <w:lang w:val="es-ES"/>
        </w:rPr>
        <w:t xml:space="preserve">la muestra de </w:t>
      </w:r>
      <w:proofErr w:type="spellStart"/>
      <w:r w:rsidRPr="00D306AF">
        <w:rPr>
          <w:i/>
          <w:lang w:val="es-ES"/>
        </w:rPr>
        <w:t>cutting</w:t>
      </w:r>
      <w:proofErr w:type="spellEnd"/>
      <w:r w:rsidRPr="00D306AF">
        <w:rPr>
          <w:i/>
          <w:lang w:val="es-ES"/>
        </w:rPr>
        <w:t xml:space="preserve"> </w:t>
      </w:r>
      <w:r w:rsidRPr="00D306AF">
        <w:rPr>
          <w:lang w:val="es-ES"/>
        </w:rPr>
        <w:t xml:space="preserve">(40 g en 100 </w:t>
      </w:r>
      <w:proofErr w:type="spellStart"/>
      <w:r w:rsidRPr="00D306AF">
        <w:rPr>
          <w:lang w:val="es-ES"/>
        </w:rPr>
        <w:t>mL</w:t>
      </w:r>
      <w:proofErr w:type="spellEnd"/>
      <w:r w:rsidRPr="00D306AF">
        <w:rPr>
          <w:lang w:val="es-ES"/>
        </w:rPr>
        <w:t xml:space="preserve"> de agua destilada)</w:t>
      </w:r>
      <w:r w:rsidR="00F31455" w:rsidRPr="00D306AF">
        <w:rPr>
          <w:lang w:val="es-ES"/>
        </w:rPr>
        <w:t xml:space="preserve">. El pH se midió con electrodo y </w:t>
      </w:r>
      <w:r w:rsidRPr="00D306AF">
        <w:rPr>
          <w:lang w:val="es-ES"/>
        </w:rPr>
        <w:t>la h</w:t>
      </w:r>
      <w:r w:rsidR="00F31455" w:rsidRPr="00D306AF">
        <w:rPr>
          <w:lang w:val="es-ES"/>
        </w:rPr>
        <w:t xml:space="preserve">umedad por desecación a 105 °C. Los aniones y cationes se determinaron utilizando métodos analíticos estándar: </w:t>
      </w:r>
      <w:r w:rsidR="0042503D" w:rsidRPr="00D306AF">
        <w:rPr>
          <w:lang w:val="es-ES"/>
        </w:rPr>
        <w:t>s</w:t>
      </w:r>
      <w:r w:rsidR="00F31455" w:rsidRPr="00D306AF">
        <w:rPr>
          <w:lang w:val="es-ES"/>
        </w:rPr>
        <w:t>ulfatos (SM 4500-E), calcio y magnesio (ASTM D-511), amonio (EPA 350.1), nitratos (EPA 352.1), nitritos (SM 4500 NO</w:t>
      </w:r>
      <w:r w:rsidR="00F31455" w:rsidRPr="00D306AF">
        <w:rPr>
          <w:vertAlign w:val="subscript"/>
          <w:lang w:val="es-ES"/>
        </w:rPr>
        <w:t>2</w:t>
      </w:r>
      <w:r w:rsidR="00F31455" w:rsidRPr="00D306AF">
        <w:rPr>
          <w:lang w:val="es-ES"/>
        </w:rPr>
        <w:t>), fosfatos (SM 4500-C), sodio y potasio (ASTM D 1428).</w:t>
      </w:r>
      <w:r w:rsidR="00494017" w:rsidRPr="00D306AF">
        <w:t xml:space="preserve"> </w:t>
      </w:r>
    </w:p>
    <w:p w14:paraId="2A8624C5" w14:textId="2FDEA177" w:rsidR="00F77A09" w:rsidRPr="00D306AF" w:rsidRDefault="00330820" w:rsidP="00CE2DC0">
      <w:pPr>
        <w:pStyle w:val="NormalWeb"/>
        <w:spacing w:line="480" w:lineRule="auto"/>
        <w:jc w:val="both"/>
        <w:rPr>
          <w:b/>
        </w:rPr>
      </w:pPr>
      <w:r w:rsidRPr="00D306AF">
        <w:rPr>
          <w:b/>
        </w:rPr>
        <w:t>A</w:t>
      </w:r>
      <w:r w:rsidR="007F3E82" w:rsidRPr="00D306AF">
        <w:rPr>
          <w:b/>
        </w:rPr>
        <w:t>nálisis microbiológico e identificación bacteriana</w:t>
      </w:r>
    </w:p>
    <w:p w14:paraId="1389064C" w14:textId="1C82F157" w:rsidR="00B800E7" w:rsidRPr="00D306AF" w:rsidRDefault="00B800E7" w:rsidP="008A29F1">
      <w:pPr>
        <w:pStyle w:val="NormalWeb"/>
        <w:spacing w:line="480" w:lineRule="auto"/>
        <w:jc w:val="both"/>
        <w:rPr>
          <w:b/>
        </w:rPr>
      </w:pPr>
      <w:r w:rsidRPr="00D306AF">
        <w:t xml:space="preserve">El recuento de microorganismos se realizó mediante el método </w:t>
      </w:r>
      <w:r w:rsidR="00D13EA5" w:rsidRPr="00D306AF">
        <w:t>estándar</w:t>
      </w:r>
      <w:r w:rsidRPr="00D306AF">
        <w:t xml:space="preserve"> de recuento en placa, expresando los resultados en UFC/g. Para bacterias degradadoras de hidrocarburos (BDH) </w:t>
      </w:r>
      <w:r w:rsidR="00CD1D10" w:rsidRPr="00D306AF">
        <w:t xml:space="preserve">se utilizó medio mineral </w:t>
      </w:r>
      <w:r w:rsidR="007B6D4C" w:rsidRPr="00D306AF">
        <w:t>(0,5 g de NaCl, 1 g de K</w:t>
      </w:r>
      <w:r w:rsidR="007B6D4C" w:rsidRPr="00D306AF">
        <w:rPr>
          <w:vertAlign w:val="subscript"/>
        </w:rPr>
        <w:t>2</w:t>
      </w:r>
      <w:r w:rsidR="007B6D4C" w:rsidRPr="00D306AF">
        <w:t>HPO</w:t>
      </w:r>
      <w:r w:rsidR="007B6D4C" w:rsidRPr="00D306AF">
        <w:rPr>
          <w:vertAlign w:val="subscript"/>
        </w:rPr>
        <w:t>4</w:t>
      </w:r>
      <w:r w:rsidR="007B6D4C" w:rsidRPr="00D306AF">
        <w:t>, 1 g de KH</w:t>
      </w:r>
      <w:r w:rsidR="007B6D4C" w:rsidRPr="00D306AF">
        <w:rPr>
          <w:vertAlign w:val="subscript"/>
        </w:rPr>
        <w:t>2</w:t>
      </w:r>
      <w:r w:rsidR="007B6D4C" w:rsidRPr="00D306AF">
        <w:t>PO</w:t>
      </w:r>
      <w:r w:rsidR="007B6D4C" w:rsidRPr="00D306AF">
        <w:rPr>
          <w:vertAlign w:val="subscript"/>
        </w:rPr>
        <w:t>4</w:t>
      </w:r>
      <w:r w:rsidR="007B6D4C" w:rsidRPr="00D306AF">
        <w:t>, 1 g de (NH</w:t>
      </w:r>
      <w:r w:rsidR="007B6D4C" w:rsidRPr="00D306AF">
        <w:rPr>
          <w:vertAlign w:val="subscript"/>
        </w:rPr>
        <w:t>4</w:t>
      </w:r>
      <w:r w:rsidR="007B6D4C" w:rsidRPr="00D306AF">
        <w:t>)</w:t>
      </w:r>
      <w:r w:rsidR="007B6D4C" w:rsidRPr="00D306AF">
        <w:rPr>
          <w:vertAlign w:val="subscript"/>
        </w:rPr>
        <w:t>2</w:t>
      </w:r>
      <w:r w:rsidR="007B6D4C" w:rsidRPr="00D306AF">
        <w:t>SO</w:t>
      </w:r>
      <w:r w:rsidR="007B6D4C" w:rsidRPr="00D306AF">
        <w:rPr>
          <w:vertAlign w:val="subscript"/>
        </w:rPr>
        <w:t>4</w:t>
      </w:r>
      <w:r w:rsidR="007B6D4C" w:rsidRPr="00D306AF">
        <w:t>, 0,2 g de MgSO</w:t>
      </w:r>
      <w:r w:rsidR="007B6D4C" w:rsidRPr="00D306AF">
        <w:rPr>
          <w:vertAlign w:val="subscript"/>
        </w:rPr>
        <w:t>4</w:t>
      </w:r>
      <w:r w:rsidR="007B6D4C" w:rsidRPr="00D306AF">
        <w:t>, 3 g de KNO</w:t>
      </w:r>
      <w:r w:rsidR="007B6D4C" w:rsidRPr="00D306AF">
        <w:rPr>
          <w:vertAlign w:val="subscript"/>
        </w:rPr>
        <w:t>3</w:t>
      </w:r>
      <w:r w:rsidR="007B6D4C" w:rsidRPr="00D306AF">
        <w:t xml:space="preserve">, 0,02 g de extracto de levadura,15 g de agar, 1000 </w:t>
      </w:r>
      <w:proofErr w:type="spellStart"/>
      <w:r w:rsidR="007B6D4C" w:rsidRPr="00D306AF">
        <w:t>mL</w:t>
      </w:r>
      <w:proofErr w:type="spellEnd"/>
      <w:r w:rsidR="007B6D4C" w:rsidRPr="00D306AF">
        <w:t xml:space="preserve"> de agua destilada, pH 7,5) </w:t>
      </w:r>
      <w:r w:rsidR="004360E4" w:rsidRPr="00D306AF">
        <w:t>suplement</w:t>
      </w:r>
      <w:r w:rsidR="00CD1D10" w:rsidRPr="00D306AF">
        <w:t xml:space="preserve">ado con 30 </w:t>
      </w:r>
      <w:proofErr w:type="spellStart"/>
      <w:r w:rsidR="00CD1D10" w:rsidRPr="00D306AF">
        <w:t>μL</w:t>
      </w:r>
      <w:proofErr w:type="spellEnd"/>
      <w:r w:rsidR="00CD1D10" w:rsidRPr="00D306AF">
        <w:t xml:space="preserve"> de una mezcla de petróleo y gasoil (1:1)</w:t>
      </w:r>
      <w:r w:rsidR="004360E4" w:rsidRPr="00D306AF">
        <w:t>,</w:t>
      </w:r>
      <w:r w:rsidR="00CD1D10" w:rsidRPr="00D306AF">
        <w:t xml:space="preserve"> denominado MM-PGO </w:t>
      </w:r>
      <w:r w:rsidR="004E28EE" w:rsidRPr="00D306AF">
        <w:fldChar w:fldCharType="begin"/>
      </w:r>
      <w:r w:rsidR="00CB0CE4" w:rsidRPr="00D306AF">
        <w:instrText xml:space="preserve"> ADDIN ZOTERO_ITEM CSL_CITATION {"citationID":"St4geXMT","properties":{"unsorted":false,"formattedCitation":"(Pucci y Pucci, 2003)","plainCitation":"(Pucci y Pucci, 2003)","noteIndex":0},"citationItems":[{"id":97,"uris":["http://zotero.org/users/local/fvn0idRM/items/EJQLUT85"],"itemData":{"id":97,"type":"article-journal","container-title":"Rev. argent. microbiol","language":"es","page":"62-68","source":"pesquisa.bvsalud.org","title":"Biodegradabilidad de componentes de mezclas naturales de hidrocarburos previamente sometidas a landfarming","author":[{"family":"Pucci","given":"G. N."},{"family":"Pucci","given":"O. H."}],"issued":{"date-parts":[["2003"]]}}}],"schema":"https://github.com/citation-style-language/schema/raw/master/csl-citation.json"} </w:instrText>
      </w:r>
      <w:r w:rsidR="004E28EE" w:rsidRPr="00D306AF">
        <w:fldChar w:fldCharType="separate"/>
      </w:r>
      <w:r w:rsidR="00CB0CE4" w:rsidRPr="00D306AF">
        <w:t>(Pucci y Pucci, 2003)</w:t>
      </w:r>
      <w:r w:rsidR="004E28EE" w:rsidRPr="00D306AF">
        <w:fldChar w:fldCharType="end"/>
      </w:r>
      <w:r w:rsidR="004360E4" w:rsidRPr="00D306AF">
        <w:t>. P</w:t>
      </w:r>
      <w:r w:rsidRPr="00D306AF">
        <w:t>ara bacterias aerobias totales (BAT)</w:t>
      </w:r>
      <w:r w:rsidR="001C4D8E" w:rsidRPr="00D306AF">
        <w:t xml:space="preserve"> se utilizó</w:t>
      </w:r>
      <w:r w:rsidRPr="00D306AF">
        <w:t xml:space="preserve"> el medio R2A</w:t>
      </w:r>
      <w:r w:rsidR="000B626A" w:rsidRPr="00D306AF">
        <w:t xml:space="preserve"> </w:t>
      </w:r>
      <w:r w:rsidR="003A6D12" w:rsidRPr="00D306AF">
        <w:fldChar w:fldCharType="begin"/>
      </w:r>
      <w:r w:rsidR="00CB0CE4" w:rsidRPr="00D306AF">
        <w:instrText xml:space="preserve"> ADDIN ZOTERO_ITEM CSL_CITATION {"citationID":"MkKDATuC","properties":{"unsorted":false,"formattedCitation":"(Reasoner y Geldreich, 1985)","plainCitation":"(Reasoner y Geldreich, 1985)","noteIndex":0},"citationItems":[{"id":95,"uris":["http://zotero.org/users/local/fvn0idRM/items/XVKDU6J6"],"itemData":{"id":95,"type":"article-journal","abstract":"Plate count agar is presently the recommended medium for the standard bacterial plate count (35 degrees C, 48-h incubation) of water and wastewater. However, plate count agar does not permit the growth of many bacteria that may be present in treated potable water supplies. A new medium was developed for use in heterotrophic plate count analyses and for subculture of bacteria isolated from potable water samples. The new medium, designated R2A, contains 0.5 g of yeast extract, 0.5 g of Difco Proteose Peptone no. 3 (Difco Laboratories), 0.5 g of Casamino Acids (Difco), 0.5 g of glucose, 0.5 g of soluble starch, 0.3 g of K2HPO4, 0.05 g of MgSO4 X 7H2O, 0.3 g of sodium pyruvate, and 15 g of agar per liter of laboratory quality water. Adjust the pH to 7.2 with crystalline K2HPO4 or KH2PO4 and sterilize at 121 degrees C for 15 min. Results from parallel studies with spread, membrane filter, and pour plate procedures showed that R2A medium yielded significantly higher bacterial counts than did plate count agar. Studies of the effect of incubation temperature showed that the magnitude of the count was inversely proportional to the incubation temperature. Longer incubation time, up to 14 days, yielded higher counts and increased detection of pigmented bacteria. Maximal bacterial counts were obtained after incubation at 20 degrees C for 14 days. As a tool to monitor heterotrophic bacterial populations in water treatment processes and in treated distribution water, R2A spread or membrane filter plates incubated at 28 degrees C for 5 to 7 days is recommended.(ABSTRACT TRUNCATED AT 250 WORDS)","container-title":"Applied and Environmental Microbiology","DOI":"10.1128/aem.49.1.1-7.1985","issue":"1","page":"1-7","publisher":"American Society for Microbiology","source":"journals.asm.org (Atypon)","title":"A new medium for the enumeration and subculture of bacteria from potable water","volume":"49","author":[{"family":"Reasoner","given":"D J"},{"family":"Geldreich","given":"E E"}],"issued":{"date-parts":[["1985",1]]}}}],"schema":"https://github.com/citation-style-language/schema/raw/master/csl-citation.json"} </w:instrText>
      </w:r>
      <w:r w:rsidR="003A6D12" w:rsidRPr="00D306AF">
        <w:fldChar w:fldCharType="separate"/>
      </w:r>
      <w:r w:rsidR="00CB0CE4" w:rsidRPr="00D306AF">
        <w:t>(Reasoner y Geldreich, 1985)</w:t>
      </w:r>
      <w:r w:rsidR="003A6D12" w:rsidRPr="00D306AF">
        <w:fldChar w:fldCharType="end"/>
      </w:r>
      <w:r w:rsidR="00707D12" w:rsidRPr="00D306AF">
        <w:t>.</w:t>
      </w:r>
      <w:r w:rsidRPr="00D306AF">
        <w:t xml:space="preserve"> Los microorganismos aislados se identificaron mediante el sistema MIDI (Sherlock 6.0), analizando ácidos grasos de membrana por cromatografía gaseosa. </w:t>
      </w:r>
      <w:r w:rsidR="000B626A" w:rsidRPr="00D306AF">
        <w:t xml:space="preserve">La extracción de ácidos grasos se realizó sobre 40 mg de bacterias e </w:t>
      </w:r>
      <w:r w:rsidRPr="00D306AF">
        <w:t>incluyó saponificación, metil</w:t>
      </w:r>
      <w:r w:rsidR="000B626A" w:rsidRPr="00D306AF">
        <w:t xml:space="preserve">ación, extracción y lavado de acuerdo con el procedimiento del sistema de identificación (MIDI Newark, Del., USA </w:t>
      </w:r>
      <w:hyperlink r:id="rId20" w:history="1">
        <w:r w:rsidR="00781FCA" w:rsidRPr="00D306AF">
          <w:rPr>
            <w:rStyle w:val="Hipervnculo"/>
          </w:rPr>
          <w:t>www.midi-inc.com</w:t>
        </w:r>
      </w:hyperlink>
      <w:r w:rsidR="000B626A" w:rsidRPr="00D306AF">
        <w:t>).</w:t>
      </w:r>
      <w:r w:rsidR="00781FCA" w:rsidRPr="00D306AF">
        <w:t xml:space="preserve"> </w:t>
      </w:r>
      <w:r w:rsidRPr="00D306AF">
        <w:t>Los ácidos grasos metilados se analizaro</w:t>
      </w:r>
      <w:r w:rsidR="000B626A" w:rsidRPr="00D306AF">
        <w:t xml:space="preserve">n con un cromatógrafo HP 6890 series II GC (inyección </w:t>
      </w:r>
      <w:proofErr w:type="spellStart"/>
      <w:r w:rsidR="000B626A" w:rsidRPr="00D306AF">
        <w:t>splitless</w:t>
      </w:r>
      <w:proofErr w:type="spellEnd"/>
      <w:r w:rsidR="000B626A" w:rsidRPr="00D306AF">
        <w:t xml:space="preserve">; presión inicial 10 psi; programa de temperatura: </w:t>
      </w:r>
      <w:r w:rsidR="00161C9A" w:rsidRPr="00D306AF">
        <w:t xml:space="preserve">de </w:t>
      </w:r>
      <w:r w:rsidR="000B626A" w:rsidRPr="00D306AF">
        <w:t>170</w:t>
      </w:r>
      <w:r w:rsidR="00161C9A" w:rsidRPr="00D306AF">
        <w:t xml:space="preserve"> a </w:t>
      </w:r>
      <w:r w:rsidR="000B626A" w:rsidRPr="00D306AF">
        <w:t xml:space="preserve">288 °C a 28 °C/min, </w:t>
      </w:r>
      <w:r w:rsidR="00AE60FF" w:rsidRPr="00D306AF">
        <w:t xml:space="preserve">de </w:t>
      </w:r>
      <w:r w:rsidR="000B626A" w:rsidRPr="00D306AF">
        <w:t>288</w:t>
      </w:r>
      <w:r w:rsidR="00A5352C" w:rsidRPr="00D306AF">
        <w:t xml:space="preserve"> a</w:t>
      </w:r>
      <w:r w:rsidR="000B626A" w:rsidRPr="00D306AF">
        <w:t xml:space="preserve"> 310 </w:t>
      </w:r>
      <w:r w:rsidR="000B626A" w:rsidRPr="00D306AF">
        <w:lastRenderedPageBreak/>
        <w:t xml:space="preserve">°C </w:t>
      </w:r>
      <w:r w:rsidR="000817CE" w:rsidRPr="00D306AF">
        <w:t xml:space="preserve">a </w:t>
      </w:r>
      <w:r w:rsidR="000B626A" w:rsidRPr="00D306AF">
        <w:t>60 °C/min, 1,5 min</w:t>
      </w:r>
      <w:r w:rsidR="00AE60FF" w:rsidRPr="00D306AF">
        <w:t>utos</w:t>
      </w:r>
      <w:r w:rsidR="000B626A" w:rsidRPr="00D306AF">
        <w:t xml:space="preserve"> de permanencia a 310 °C</w:t>
      </w:r>
      <w:r w:rsidR="00AE60FF" w:rsidRPr="00D306AF">
        <w:t>;</w:t>
      </w:r>
      <w:r w:rsidR="000B626A" w:rsidRPr="00D306AF">
        <w:t xml:space="preserve"> detector por ionización de llama) </w:t>
      </w:r>
      <w:r w:rsidRPr="00D306AF">
        <w:t>u</w:t>
      </w:r>
      <w:r w:rsidR="004360E4" w:rsidRPr="00D306AF">
        <w:t>tilizando</w:t>
      </w:r>
      <w:r w:rsidRPr="00D306AF">
        <w:t xml:space="preserve"> una columna Ultra 2</w:t>
      </w:r>
      <w:r w:rsidR="000B626A" w:rsidRPr="00D306AF">
        <w:t xml:space="preserve"> </w:t>
      </w:r>
      <w:r w:rsidR="004360E4" w:rsidRPr="00D306AF">
        <w:t>(</w:t>
      </w:r>
      <w:r w:rsidR="000B626A" w:rsidRPr="00D306AF">
        <w:t>25 m</w:t>
      </w:r>
      <w:r w:rsidR="004360E4" w:rsidRPr="00D306AF">
        <w:t xml:space="preserve"> x </w:t>
      </w:r>
      <w:r w:rsidR="000B626A" w:rsidRPr="00D306AF">
        <w:t>0,2 mm</w:t>
      </w:r>
      <w:r w:rsidR="004360E4" w:rsidRPr="00D306AF">
        <w:t>)</w:t>
      </w:r>
      <w:r w:rsidRPr="00D306AF">
        <w:t xml:space="preserve">. Los picos se integraron con HP </w:t>
      </w:r>
      <w:proofErr w:type="spellStart"/>
      <w:r w:rsidRPr="00D306AF">
        <w:t>Chem</w:t>
      </w:r>
      <w:proofErr w:type="spellEnd"/>
      <w:r w:rsidRPr="00D306AF">
        <w:t xml:space="preserve"> </w:t>
      </w:r>
      <w:proofErr w:type="spellStart"/>
      <w:r w:rsidRPr="00D306AF">
        <w:t>Station</w:t>
      </w:r>
      <w:proofErr w:type="spellEnd"/>
      <w:r w:rsidRPr="00D306AF">
        <w:t xml:space="preserve"> y se identificaron usando Sherlock</w:t>
      </w:r>
      <w:r w:rsidR="000B626A" w:rsidRPr="00D306AF">
        <w:t xml:space="preserve"> (versión 6.0)</w:t>
      </w:r>
      <w:r w:rsidRPr="00D306AF">
        <w:t>, expresando la composición como porcentaje del área de pico</w:t>
      </w:r>
      <w:r w:rsidRPr="00D306AF">
        <w:rPr>
          <w:b/>
        </w:rPr>
        <w:t>.</w:t>
      </w:r>
    </w:p>
    <w:p w14:paraId="12445CF3" w14:textId="7917981B" w:rsidR="00F77A09" w:rsidRPr="00D306AF" w:rsidRDefault="00330820" w:rsidP="00CE2DC0">
      <w:pPr>
        <w:pStyle w:val="NormalWeb"/>
        <w:spacing w:line="480" w:lineRule="auto"/>
        <w:jc w:val="both"/>
        <w:rPr>
          <w:b/>
        </w:rPr>
      </w:pPr>
      <w:r w:rsidRPr="00D306AF">
        <w:rPr>
          <w:b/>
        </w:rPr>
        <w:t>D</w:t>
      </w:r>
      <w:r w:rsidR="007F3E82" w:rsidRPr="00D306AF">
        <w:rPr>
          <w:b/>
        </w:rPr>
        <w:t xml:space="preserve">eterminación de HAP </w:t>
      </w:r>
    </w:p>
    <w:p w14:paraId="44F3164A" w14:textId="58738532" w:rsidR="00F31455" w:rsidRPr="00D306AF" w:rsidRDefault="00F31455" w:rsidP="00CE2DC0">
      <w:pPr>
        <w:pStyle w:val="NormalWeb"/>
        <w:spacing w:line="480" w:lineRule="auto"/>
        <w:jc w:val="both"/>
      </w:pPr>
      <w:r w:rsidRPr="00D306AF">
        <w:t xml:space="preserve">El desempeño de las cubas y controles se evaluó </w:t>
      </w:r>
      <w:r w:rsidR="004360E4" w:rsidRPr="00D306AF">
        <w:t xml:space="preserve">mediante la cuantificación de </w:t>
      </w:r>
      <w:r w:rsidR="00C27587" w:rsidRPr="00D306AF">
        <w:t>HTP</w:t>
      </w:r>
      <w:r w:rsidR="004360E4" w:rsidRPr="00D306AF">
        <w:t xml:space="preserve"> por</w:t>
      </w:r>
      <w:r w:rsidRPr="00D306AF">
        <w:t xml:space="preserve"> extracción Soxhlet y análisis fraccional por cromatografía en columna y cromatografía líquida de alto rendimiento (HPLC). La extracción de </w:t>
      </w:r>
      <w:r w:rsidR="00C27587" w:rsidRPr="00D306AF">
        <w:t>HTP</w:t>
      </w:r>
      <w:r w:rsidRPr="00D306AF">
        <w:t xml:space="preserve"> se realizó con hexano en Soxhlet </w:t>
      </w:r>
      <w:r w:rsidR="00E16399" w:rsidRPr="00D306AF">
        <w:t xml:space="preserve">durante </w:t>
      </w:r>
      <w:r w:rsidRPr="00D306AF">
        <w:t>16 h</w:t>
      </w:r>
      <w:r w:rsidR="00E16399" w:rsidRPr="00D306AF">
        <w:t xml:space="preserve"> (EPA 3540C)</w:t>
      </w:r>
      <w:r w:rsidRPr="00D306AF">
        <w:t xml:space="preserve"> y se concentró el solvente en un evaporador rotativo. Las fracciones se separaron en gel de sílice </w:t>
      </w:r>
      <w:proofErr w:type="spellStart"/>
      <w:r w:rsidRPr="00D306AF">
        <w:t>preactivado</w:t>
      </w:r>
      <w:proofErr w:type="spellEnd"/>
      <w:r w:rsidRPr="00D306AF">
        <w:t xml:space="preserve"> </w:t>
      </w:r>
      <w:r w:rsidR="00E16399" w:rsidRPr="00D306AF">
        <w:t>(EPA 3630C)</w:t>
      </w:r>
      <w:r w:rsidRPr="00D306AF">
        <w:t xml:space="preserve"> </w:t>
      </w:r>
      <w:proofErr w:type="spellStart"/>
      <w:r w:rsidRPr="00D306AF">
        <w:t>eluyendo</w:t>
      </w:r>
      <w:proofErr w:type="spellEnd"/>
      <w:r w:rsidRPr="00D306AF">
        <w:t xml:space="preserve"> con n-hexano (alifáticos), benceno (aromáticos) y </w:t>
      </w:r>
      <w:r w:rsidR="0081725E" w:rsidRPr="00D306AF">
        <w:t xml:space="preserve">metanol: </w:t>
      </w:r>
      <w:r w:rsidR="0081725E" w:rsidRPr="00D306AF">
        <w:rPr>
          <w:rStyle w:val="Refdecomentario"/>
          <w:sz w:val="24"/>
          <w:szCs w:val="24"/>
        </w:rPr>
        <w:t>c</w:t>
      </w:r>
      <w:r w:rsidR="0081725E" w:rsidRPr="00D306AF">
        <w:t>loroformo</w:t>
      </w:r>
      <w:r w:rsidRPr="00D306AF">
        <w:t xml:space="preserve"> (compuestos polares). Los aromáticos se analizaron por HPLC (</w:t>
      </w:r>
      <w:proofErr w:type="spellStart"/>
      <w:r w:rsidRPr="00D306AF">
        <w:t>Shimadzu</w:t>
      </w:r>
      <w:proofErr w:type="spellEnd"/>
      <w:r w:rsidRPr="00D306AF">
        <w:t xml:space="preserve"> LC10A VP) con detector de fluorescencia</w:t>
      </w:r>
      <w:r w:rsidR="00D47057" w:rsidRPr="00D306AF">
        <w:t xml:space="preserve"> a 254 nm </w:t>
      </w:r>
      <w:r w:rsidR="004360E4" w:rsidRPr="00D306AF">
        <w:t xml:space="preserve">y </w:t>
      </w:r>
      <w:r w:rsidR="00D47057" w:rsidRPr="00D306AF">
        <w:t xml:space="preserve">columna HAP (4 </w:t>
      </w:r>
      <w:proofErr w:type="spellStart"/>
      <w:r w:rsidR="00D47057" w:rsidRPr="00D306AF">
        <w:t>um</w:t>
      </w:r>
      <w:proofErr w:type="spellEnd"/>
      <w:r w:rsidR="00D47057" w:rsidRPr="00D306AF">
        <w:t xml:space="preserve"> 250 x 3,0 mm)</w:t>
      </w:r>
      <w:r w:rsidR="004360E4" w:rsidRPr="00D306AF">
        <w:t>. Se</w:t>
      </w:r>
      <w:r w:rsidR="00D47057" w:rsidRPr="00D306AF">
        <w:t xml:space="preserve"> </w:t>
      </w:r>
      <w:r w:rsidR="003075B1" w:rsidRPr="00D306AF">
        <w:t>utilizó como</w:t>
      </w:r>
      <w:r w:rsidR="004360E4" w:rsidRPr="00D306AF">
        <w:t xml:space="preserve"> fase móvil </w:t>
      </w:r>
      <w:r w:rsidR="00D47057" w:rsidRPr="00D306AF">
        <w:t xml:space="preserve">agua: acetonitrilo </w:t>
      </w:r>
      <w:r w:rsidR="004360E4" w:rsidRPr="00D306AF">
        <w:t>(</w:t>
      </w:r>
      <w:r w:rsidR="00D47057" w:rsidRPr="00D306AF">
        <w:t>50:50</w:t>
      </w:r>
      <w:r w:rsidR="004360E4" w:rsidRPr="00D306AF">
        <w:t>)</w:t>
      </w:r>
      <w:r w:rsidR="00D47057" w:rsidRPr="00D306AF">
        <w:t xml:space="preserve">, </w:t>
      </w:r>
      <w:r w:rsidR="004360E4" w:rsidRPr="00D306AF">
        <w:t xml:space="preserve">pasando a 0:100 </w:t>
      </w:r>
      <w:r w:rsidR="00D47057" w:rsidRPr="00D306AF">
        <w:t>en 5 minutos, con un flujo de 1 ml/minuto.</w:t>
      </w:r>
      <w:r w:rsidRPr="00D306AF">
        <w:t xml:space="preserve"> </w:t>
      </w:r>
      <w:r w:rsidR="00D47057" w:rsidRPr="00D306AF">
        <w:t xml:space="preserve">La identificación y cuantificación de los compuestos obtenidos por HPLC se efectuó utilizando la mezcla estándar de HAP (M/S Dr. </w:t>
      </w:r>
      <w:proofErr w:type="spellStart"/>
      <w:r w:rsidR="00D47057" w:rsidRPr="00D306AF">
        <w:t>Ehrenstofer</w:t>
      </w:r>
      <w:proofErr w:type="spellEnd"/>
      <w:r w:rsidR="00D47057" w:rsidRPr="00D306AF">
        <w:t xml:space="preserve">, </w:t>
      </w:r>
      <w:proofErr w:type="spellStart"/>
      <w:r w:rsidR="00D47057" w:rsidRPr="00D306AF">
        <w:t>Supelco</w:t>
      </w:r>
      <w:proofErr w:type="spellEnd"/>
      <w:r w:rsidR="00D47057" w:rsidRPr="00D306AF">
        <w:t>, EE. UU</w:t>
      </w:r>
      <w:r w:rsidR="00400102" w:rsidRPr="00D306AF">
        <w:t>)</w:t>
      </w:r>
      <w:r w:rsidR="00D47057" w:rsidRPr="00D306AF">
        <w:t>.</w:t>
      </w:r>
      <w:r w:rsidR="00A47D82" w:rsidRPr="00D306AF">
        <w:t xml:space="preserve"> </w:t>
      </w:r>
    </w:p>
    <w:p w14:paraId="1C4EC2F1" w14:textId="09BAE156" w:rsidR="00F77A09" w:rsidRPr="00D306AF" w:rsidRDefault="00330820" w:rsidP="00CE2DC0">
      <w:pPr>
        <w:pStyle w:val="NormalWeb"/>
        <w:spacing w:line="480" w:lineRule="auto"/>
        <w:jc w:val="both"/>
        <w:rPr>
          <w:b/>
        </w:rPr>
      </w:pPr>
      <w:r w:rsidRPr="00D306AF">
        <w:rPr>
          <w:b/>
        </w:rPr>
        <w:t>D</w:t>
      </w:r>
      <w:r w:rsidR="007F3E82" w:rsidRPr="00D306AF">
        <w:rPr>
          <w:b/>
        </w:rPr>
        <w:t>eterminación de metales pesados por espectrofotometría de masa</w:t>
      </w:r>
    </w:p>
    <w:p w14:paraId="422ABEB3" w14:textId="16109577" w:rsidR="00E71E5E" w:rsidRPr="00D306AF" w:rsidRDefault="00E71E5E" w:rsidP="00CE2DC0">
      <w:pPr>
        <w:pStyle w:val="NormalWeb"/>
        <w:spacing w:line="480" w:lineRule="auto"/>
        <w:jc w:val="both"/>
      </w:pPr>
      <w:r w:rsidRPr="00D306AF">
        <w:t xml:space="preserve">Previo a la cuantificación de metales pesados, las muestras de </w:t>
      </w:r>
      <w:proofErr w:type="spellStart"/>
      <w:r w:rsidR="00867FA6" w:rsidRPr="00D306AF">
        <w:rPr>
          <w:i/>
        </w:rPr>
        <w:t>cutting</w:t>
      </w:r>
      <w:proofErr w:type="spellEnd"/>
      <w:r w:rsidR="00867FA6" w:rsidRPr="00D306AF">
        <w:t xml:space="preserve"> </w:t>
      </w:r>
      <w:r w:rsidRPr="00D306AF">
        <w:t>se prepararon siguiendo el procedimiento de la norma EPA 3050</w:t>
      </w:r>
      <w:r w:rsidR="00DB404B" w:rsidRPr="00D306AF">
        <w:t xml:space="preserve"> que implica una digestión ácida con ácido nítrico y calentamiento para liberar los metales</w:t>
      </w:r>
      <w:r w:rsidRPr="00D306AF">
        <w:t xml:space="preserve">. Los metales Ag, As, Ba, Cd, Cu, Cr, Hg, Ni, Pb, Zn </w:t>
      </w:r>
      <w:r w:rsidRPr="00D306AF">
        <w:lastRenderedPageBreak/>
        <w:t xml:space="preserve">y Se, </w:t>
      </w:r>
      <w:r w:rsidR="004360E4" w:rsidRPr="00D306AF">
        <w:t xml:space="preserve">se </w:t>
      </w:r>
      <w:r w:rsidRPr="00D306AF">
        <w:t>cuantifica</w:t>
      </w:r>
      <w:r w:rsidR="00B91E26" w:rsidRPr="00D306AF">
        <w:t>ron</w:t>
      </w:r>
      <w:r w:rsidRPr="00D306AF">
        <w:t xml:space="preserve"> por espectro</w:t>
      </w:r>
      <w:r w:rsidR="00400102" w:rsidRPr="00D306AF">
        <w:t>foto</w:t>
      </w:r>
      <w:r w:rsidRPr="00D306AF">
        <w:t>metría</w:t>
      </w:r>
      <w:r w:rsidR="00400102" w:rsidRPr="00D306AF">
        <w:t xml:space="preserve"> de masa</w:t>
      </w:r>
      <w:r w:rsidRPr="00D306AF">
        <w:t xml:space="preserve">, de acuerdo con las normas EPA 7000B, 7061A y 7741A. </w:t>
      </w:r>
    </w:p>
    <w:p w14:paraId="1ECEA67F" w14:textId="706ACAA3" w:rsidR="006E308A" w:rsidRPr="00D306AF" w:rsidRDefault="00330820" w:rsidP="00CE2DC0">
      <w:pPr>
        <w:pStyle w:val="NormalWeb"/>
        <w:spacing w:line="480" w:lineRule="auto"/>
        <w:jc w:val="both"/>
        <w:rPr>
          <w:b/>
        </w:rPr>
      </w:pPr>
      <w:r w:rsidRPr="00D306AF">
        <w:rPr>
          <w:b/>
        </w:rPr>
        <w:t>D</w:t>
      </w:r>
      <w:r w:rsidR="007F3E82" w:rsidRPr="00D306AF">
        <w:rPr>
          <w:b/>
        </w:rPr>
        <w:t>eterminación del índice de emulsión (E24)</w:t>
      </w:r>
    </w:p>
    <w:p w14:paraId="7A5CB5A8" w14:textId="73DB4234" w:rsidR="00520BC8" w:rsidRPr="00D306AF" w:rsidRDefault="00520BC8" w:rsidP="00CE2DC0">
      <w:pPr>
        <w:pStyle w:val="NormalWeb"/>
        <w:spacing w:line="480" w:lineRule="auto"/>
        <w:jc w:val="both"/>
      </w:pPr>
      <w:r w:rsidRPr="00D306AF">
        <w:t>El índice de emulsión estable (E24) se determinó como lo ilustran</w:t>
      </w:r>
      <w:r w:rsidR="00707D12" w:rsidRPr="00D306AF">
        <w:t xml:space="preserve"> </w:t>
      </w:r>
      <w:r w:rsidR="00707D12" w:rsidRPr="00D306AF">
        <w:fldChar w:fldCharType="begin"/>
      </w:r>
      <w:r w:rsidR="0084699A" w:rsidRPr="00D306AF">
        <w:instrText xml:space="preserve"> ADDIN ZOTERO_ITEM CSL_CITATION {"citationID":"LU5owOzT","properties":{"unsorted":false,"formattedCitation":"(Mohanram et\\uc0\\u160{}al., 2016)","plainCitation":"(Mohanram et al., 2016)","dontUpdate":true,"noteIndex":0},"citationItems":[{"id":101,"uris":["http://zotero.org/users/local/fvn0idRM/items/L546EM8C"],"itemData":{"id":101,"type":"article-journal","abstract":"Diverse marine bacterial species predominantly found in oil-polluted seawater produce diverse surface-active agents. Surface-active agents produced by bacteria are classified into two groups based on their molecular weights, namely biosurfactants and bioemulsifiers. In this study, surface-active agent-producing, oil-degrading marine bacteria were isolated using a modified Bushnell–Haas medium with high-speed diesel as a carbon source from three oil-polluted sites of Mumbai Harbor. Surface-active agent-producing bacterial strains were screened using nine widely used methods. The nineteen bacterial strains showed positive results for more than four surface-active agent screening methods; further, these strains were characterized using biochemical and nucleic acid sequencing methods. Based on the results, the organisms belonged to the genera Acinetobacter, Alcanivorax, Bacillus, Comamonas, Chryseomicrobium, Halomonas, Marinobacter, Nesterenkonia, Pseudomonas, and Serratia. The present study confirmed the prevalence of surface-active agent-producing bacteria in the oil-polluted waters of Mumbai Harbor.","container-title":"Marine Pollution Bulletin","DOI":"10.1016/j.marpolbul.2016.02.040","ISSN":"0025-326X","issue":"1","journalAbbreviation":"Marine Pollution Bulletin","page":"131-138","source":"ScienceDirect","title":"Isolation, screening, and characterization of surface-active agent-producing, oil-degrading marine bacteria of Mumbai Harbor","volume":"105","author":[{"family":"Mohanram","given":"Rajamani"},{"family":"Jagtap","given":"Chandrakant"},{"family":"Kumar","given":"Pradeep"}],"issued":{"date-parts":[["2016",4,15]]}}}],"schema":"https://github.com/citation-style-language/schema/raw/master/csl-citation.json"} </w:instrText>
      </w:r>
      <w:r w:rsidR="00707D12" w:rsidRPr="00D306AF">
        <w:fldChar w:fldCharType="separate"/>
      </w:r>
      <w:r w:rsidR="00707D12" w:rsidRPr="00D306AF">
        <w:t xml:space="preserve">Mohanram et al. </w:t>
      </w:r>
      <w:r w:rsidR="00054360" w:rsidRPr="00D306AF">
        <w:t>(</w:t>
      </w:r>
      <w:r w:rsidR="00707D12" w:rsidRPr="00D306AF">
        <w:t>2016)</w:t>
      </w:r>
      <w:r w:rsidR="00707D12" w:rsidRPr="00D306AF">
        <w:fldChar w:fldCharType="end"/>
      </w:r>
      <w:r w:rsidR="00707D12" w:rsidRPr="00D306AF">
        <w:t>.</w:t>
      </w:r>
      <w:r w:rsidRPr="00D306AF">
        <w:t xml:space="preserve"> Se mezcla</w:t>
      </w:r>
      <w:r w:rsidR="004360E4" w:rsidRPr="00D306AF">
        <w:t>ron</w:t>
      </w:r>
      <w:r w:rsidRPr="00D306AF">
        <w:t xml:space="preserve"> </w:t>
      </w:r>
      <w:r w:rsidR="00ED2A37" w:rsidRPr="00D306AF">
        <w:t xml:space="preserve">2,5 ml de </w:t>
      </w:r>
      <w:r w:rsidRPr="00D306AF">
        <w:t xml:space="preserve">sobrenadante libre de células con tolueno, </w:t>
      </w:r>
      <w:r w:rsidR="00ED2A37" w:rsidRPr="00D306AF">
        <w:t xml:space="preserve">se </w:t>
      </w:r>
      <w:r w:rsidRPr="00D306AF">
        <w:t>agit</w:t>
      </w:r>
      <w:r w:rsidR="00ED2A37" w:rsidRPr="00D306AF">
        <w:t>ó</w:t>
      </w:r>
      <w:r w:rsidRPr="00D306AF">
        <w:t xml:space="preserve"> la mezcla </w:t>
      </w:r>
      <w:r w:rsidR="00ED2A37" w:rsidRPr="00D306AF">
        <w:t>durante</w:t>
      </w:r>
      <w:r w:rsidRPr="00D306AF">
        <w:t xml:space="preserve"> </w:t>
      </w:r>
      <w:r w:rsidR="00C57F0C" w:rsidRPr="00D306AF">
        <w:t>tres</w:t>
      </w:r>
      <w:r w:rsidRPr="00D306AF">
        <w:t xml:space="preserve"> minutos y </w:t>
      </w:r>
      <w:r w:rsidR="00ED2A37" w:rsidRPr="00D306AF">
        <w:t xml:space="preserve">se </w:t>
      </w:r>
      <w:r w:rsidRPr="00D306AF">
        <w:t>dej</w:t>
      </w:r>
      <w:r w:rsidR="00ED2A37" w:rsidRPr="00D306AF">
        <w:t>ó</w:t>
      </w:r>
      <w:r w:rsidRPr="00D306AF">
        <w:t xml:space="preserve"> reposar 24 horas a temperatura ambiente. El E24 se calculó como el porcentaje entre la altura (cm) de la capa emulsionada y la altura (cm) total del líquido. Se u</w:t>
      </w:r>
      <w:r w:rsidR="00ED2A37" w:rsidRPr="00D306AF">
        <w:t>tilizaron</w:t>
      </w:r>
      <w:r w:rsidRPr="00D306AF">
        <w:t xml:space="preserve"> SDS (10 %) como control positivo y agua como</w:t>
      </w:r>
      <w:r w:rsidR="00ED2A37" w:rsidRPr="00D306AF">
        <w:t xml:space="preserve"> control</w:t>
      </w:r>
      <w:r w:rsidRPr="00D306AF">
        <w:t xml:space="preserve"> negativo</w:t>
      </w:r>
      <w:r w:rsidR="00ED2A37" w:rsidRPr="00D306AF">
        <w:t>. Las determinaciones se realizaron</w:t>
      </w:r>
      <w:r w:rsidRPr="00D306AF">
        <w:t xml:space="preserve"> por triplicado.</w:t>
      </w:r>
    </w:p>
    <w:p w14:paraId="7BF4291A" w14:textId="5F1819E5" w:rsidR="005D7988" w:rsidRPr="00D306AF" w:rsidRDefault="00330820" w:rsidP="00CE2DC0">
      <w:pPr>
        <w:pStyle w:val="NormalWeb"/>
        <w:spacing w:line="480" w:lineRule="auto"/>
        <w:jc w:val="both"/>
        <w:rPr>
          <w:b/>
        </w:rPr>
      </w:pPr>
      <w:r w:rsidRPr="00D306AF">
        <w:rPr>
          <w:b/>
        </w:rPr>
        <w:t>A</w:t>
      </w:r>
      <w:r w:rsidR="007F3E82" w:rsidRPr="00D306AF">
        <w:rPr>
          <w:b/>
        </w:rPr>
        <w:t xml:space="preserve">nálisis de la comunidad bacteriana </w:t>
      </w:r>
      <w:r w:rsidRPr="00D306AF">
        <w:rPr>
          <w:b/>
        </w:rPr>
        <w:t>(DGGE)</w:t>
      </w:r>
    </w:p>
    <w:p w14:paraId="0C2F557C" w14:textId="10F9CDD2" w:rsidR="00355783" w:rsidRPr="00D306AF" w:rsidRDefault="00355783" w:rsidP="00CE2DC0">
      <w:pPr>
        <w:pStyle w:val="NormalWeb"/>
        <w:spacing w:line="480" w:lineRule="auto"/>
        <w:jc w:val="both"/>
      </w:pPr>
      <w:r w:rsidRPr="00D306AF">
        <w:t xml:space="preserve">Se extrajo ADN genómico de muestras de </w:t>
      </w:r>
      <w:proofErr w:type="spellStart"/>
      <w:r w:rsidRPr="00D306AF">
        <w:rPr>
          <w:i/>
        </w:rPr>
        <w:t>cutting</w:t>
      </w:r>
      <w:proofErr w:type="spellEnd"/>
      <w:r w:rsidRPr="00D306AF">
        <w:rPr>
          <w:i/>
        </w:rPr>
        <w:t xml:space="preserve"> </w:t>
      </w:r>
      <w:r w:rsidRPr="00D306AF">
        <w:t xml:space="preserve">utilizando el kit </w:t>
      </w:r>
      <w:proofErr w:type="spellStart"/>
      <w:r w:rsidRPr="00D306AF">
        <w:t>PuriPrep</w:t>
      </w:r>
      <w:proofErr w:type="spellEnd"/>
      <w:r w:rsidRPr="00D306AF">
        <w:t xml:space="preserve">-SUELO (INBIO HIGHWAY). La amplificación por PCR se realizó con cebadores universales (341F-GC y 907R) y un protocolo específico de </w:t>
      </w:r>
      <w:proofErr w:type="spellStart"/>
      <w:r w:rsidRPr="00D306AF">
        <w:t>termociclado</w:t>
      </w:r>
      <w:proofErr w:type="spellEnd"/>
      <w:r w:rsidRPr="00D306AF">
        <w:t xml:space="preserve"> (</w:t>
      </w:r>
      <w:r w:rsidR="0081725E" w:rsidRPr="00D306AF">
        <w:t>desnaturalización</w:t>
      </w:r>
      <w:r w:rsidRPr="00D306AF">
        <w:t xml:space="preserve"> inicial a 94 °C durante 2 min, 35 ciclos que incluyen desnaturalización a 94 °C durante 40 s, hibridación a 52 °C durante 40 s y extensión a 72 °C durante 1 min, seguida de una extensión final a 72 °C durante 4 min). Los productos de PCR se analizaron mediante DGGE en gel de poliacrilamida al 10 %, con un gradiente desnaturalizante del 40 % al 80 %. La electroforesis se llevó a cabo a 60 V durante 18 horas a 60 °C, y el gel se tiñó con bromuro de etidio para visualización. Los patrones de bandas se analizaron con </w:t>
      </w:r>
      <w:proofErr w:type="spellStart"/>
      <w:r w:rsidRPr="00D306AF">
        <w:t>GelAnalyzer</w:t>
      </w:r>
      <w:proofErr w:type="spellEnd"/>
      <w:r w:rsidRPr="00D306AF">
        <w:t xml:space="preserve"> 23.1.1, generando una matriz binaria de presencia/ausencia de bandas. Se calculó el coeficiente de similitud de Jaccard y se realizó un análisis de </w:t>
      </w:r>
      <w:r w:rsidR="00410B1F" w:rsidRPr="00D306AF">
        <w:t>clústeres</w:t>
      </w:r>
      <w:r w:rsidRPr="00D306AF">
        <w:t xml:space="preserve"> mediante UPGMA en PAST 4.17</w:t>
      </w:r>
      <w:r w:rsidR="00097178" w:rsidRPr="00D306AF">
        <w:t>.</w:t>
      </w:r>
    </w:p>
    <w:p w14:paraId="3A174F3E" w14:textId="04C1C729" w:rsidR="00146E81" w:rsidRPr="00D306AF" w:rsidRDefault="00146E81" w:rsidP="00CE2DC0">
      <w:pPr>
        <w:pStyle w:val="NormalWeb"/>
        <w:spacing w:line="480" w:lineRule="auto"/>
        <w:jc w:val="both"/>
        <w:rPr>
          <w:b/>
          <w:bCs/>
        </w:rPr>
      </w:pPr>
      <w:r w:rsidRPr="00D306AF">
        <w:rPr>
          <w:b/>
          <w:bCs/>
        </w:rPr>
        <w:lastRenderedPageBreak/>
        <w:t>A</w:t>
      </w:r>
      <w:r w:rsidR="007F3E82" w:rsidRPr="00D306AF">
        <w:rPr>
          <w:b/>
          <w:bCs/>
        </w:rPr>
        <w:t>nálisis estadístico</w:t>
      </w:r>
    </w:p>
    <w:p w14:paraId="2B47D976" w14:textId="63DDEA56" w:rsidR="00146E81" w:rsidRPr="00D306AF" w:rsidRDefault="00146E81" w:rsidP="00CE2DC0">
      <w:pPr>
        <w:pStyle w:val="NormalWeb"/>
        <w:spacing w:line="480" w:lineRule="auto"/>
        <w:jc w:val="both"/>
      </w:pPr>
      <w:r w:rsidRPr="00D306AF">
        <w:t xml:space="preserve">Los datos se expresaron como media de tres réplicas independientes. El análisis estadístico se realizó utilizando el software </w:t>
      </w:r>
      <w:proofErr w:type="spellStart"/>
      <w:r w:rsidRPr="00D306AF">
        <w:t>RStudio</w:t>
      </w:r>
      <w:proofErr w:type="spellEnd"/>
      <w:r w:rsidRPr="00D306AF">
        <w:t xml:space="preserve"> (versión </w:t>
      </w:r>
      <w:r w:rsidR="006D0EFC" w:rsidRPr="00D306AF">
        <w:t>4</w:t>
      </w:r>
      <w:r w:rsidRPr="00D306AF">
        <w:t>.</w:t>
      </w:r>
      <w:r w:rsidR="006D0EFC" w:rsidRPr="00D306AF">
        <w:t>4</w:t>
      </w:r>
      <w:r w:rsidRPr="00D306AF">
        <w:t>.</w:t>
      </w:r>
      <w:r w:rsidR="006D0EFC" w:rsidRPr="00D306AF">
        <w:t>1</w:t>
      </w:r>
      <w:r w:rsidRPr="00D306AF">
        <w:t xml:space="preserve">). Se evaluaron diferencias significativas entre tratamientos mediante análisis de varianza </w:t>
      </w:r>
      <w:r w:rsidR="00C33299" w:rsidRPr="00D306AF">
        <w:t xml:space="preserve">de una vía </w:t>
      </w:r>
      <w:r w:rsidRPr="00D306AF">
        <w:t>(ANOVA)</w:t>
      </w:r>
      <w:r w:rsidR="006D0EFC" w:rsidRPr="00D306AF">
        <w:t xml:space="preserve">. Considerando el tamaño </w:t>
      </w:r>
      <w:r w:rsidR="00A374D5" w:rsidRPr="00D306AF">
        <w:t>reducido de muestras</w:t>
      </w:r>
      <w:r w:rsidR="006D0EFC" w:rsidRPr="00D306AF">
        <w:t xml:space="preserve"> se aplicó adicionalmente la prueba no paramétrica de Mann–Whitney. Se consideró </w:t>
      </w:r>
      <w:r w:rsidRPr="00D306AF">
        <w:t xml:space="preserve">un nivel de significancia de </w:t>
      </w:r>
      <w:r w:rsidRPr="00D306AF">
        <w:rPr>
          <w:i/>
        </w:rPr>
        <w:t>p</w:t>
      </w:r>
      <w:r w:rsidRPr="00D306AF">
        <w:t xml:space="preserve"> &lt; 0,05.</w:t>
      </w:r>
    </w:p>
    <w:p w14:paraId="484461AA" w14:textId="34B1F6E4" w:rsidR="00F26290" w:rsidRPr="00D306AF" w:rsidRDefault="00330820" w:rsidP="002B4DEB">
      <w:pPr>
        <w:spacing w:after="240" w:line="480" w:lineRule="auto"/>
        <w:rPr>
          <w:b/>
        </w:rPr>
      </w:pPr>
      <w:r w:rsidRPr="00D306AF">
        <w:rPr>
          <w:b/>
        </w:rPr>
        <w:t>RESULTADOS</w:t>
      </w:r>
    </w:p>
    <w:p w14:paraId="380EBF04" w14:textId="0D3ADDEE" w:rsidR="008A12B8" w:rsidRPr="00D306AF" w:rsidRDefault="008A12B8" w:rsidP="002B4DEB">
      <w:pPr>
        <w:spacing w:after="240" w:line="480" w:lineRule="auto"/>
        <w:jc w:val="both"/>
        <w:rPr>
          <w:b/>
        </w:rPr>
      </w:pPr>
      <w:r w:rsidRPr="00D306AF">
        <w:rPr>
          <w:b/>
        </w:rPr>
        <w:t xml:space="preserve">Caracterización y evolución de parámetros </w:t>
      </w:r>
      <w:r w:rsidR="00D9197B" w:rsidRPr="00D306AF">
        <w:rPr>
          <w:b/>
        </w:rPr>
        <w:t>fisicoquímicos</w:t>
      </w:r>
    </w:p>
    <w:p w14:paraId="071B9710" w14:textId="503CA741" w:rsidR="00A669C9" w:rsidRPr="00D306AF" w:rsidRDefault="00A205F7" w:rsidP="00CE2DC0">
      <w:pPr>
        <w:spacing w:line="480" w:lineRule="auto"/>
        <w:jc w:val="both"/>
      </w:pPr>
      <w:r w:rsidRPr="00D306AF">
        <w:t xml:space="preserve">La caracterización fisicoquímica de las muestras </w:t>
      </w:r>
      <w:r w:rsidR="00EC24C5" w:rsidRPr="00D306AF">
        <w:t xml:space="preserve">correspondientes a </w:t>
      </w:r>
      <w:r w:rsidR="00424DF3" w:rsidRPr="00D306AF">
        <w:t xml:space="preserve">los sistemas A y B </w:t>
      </w:r>
      <w:r w:rsidRPr="00D306AF">
        <w:t xml:space="preserve">y </w:t>
      </w:r>
      <w:r w:rsidR="00424DF3" w:rsidRPr="00D306AF">
        <w:t xml:space="preserve">de </w:t>
      </w:r>
      <w:r w:rsidRPr="00D306AF">
        <w:t>los controles</w:t>
      </w:r>
      <w:r w:rsidR="00424DF3" w:rsidRPr="00D306AF">
        <w:t xml:space="preserve">, </w:t>
      </w:r>
      <w:r w:rsidR="00A620A1" w:rsidRPr="00D306AF">
        <w:t>determinada al</w:t>
      </w:r>
      <w:r w:rsidR="00897D9A" w:rsidRPr="00D306AF">
        <w:t xml:space="preserve"> inicio y al</w:t>
      </w:r>
      <w:r w:rsidR="00424DF3" w:rsidRPr="00D306AF">
        <w:t xml:space="preserve"> finalizar el </w:t>
      </w:r>
      <w:r w:rsidR="00897D9A" w:rsidRPr="00D306AF">
        <w:t>tratamiento (</w:t>
      </w:r>
      <w:r w:rsidR="00DC2E1E" w:rsidRPr="00D306AF">
        <w:t xml:space="preserve">60 </w:t>
      </w:r>
      <w:r w:rsidR="00325B62" w:rsidRPr="00D306AF">
        <w:t>días</w:t>
      </w:r>
      <w:r w:rsidR="00A47D82" w:rsidRPr="00D306AF">
        <w:t>)</w:t>
      </w:r>
      <w:r w:rsidR="00424DF3" w:rsidRPr="00D306AF">
        <w:t>,</w:t>
      </w:r>
      <w:r w:rsidRPr="00D306AF">
        <w:t xml:space="preserve"> se </w:t>
      </w:r>
      <w:r w:rsidR="00424DF3" w:rsidRPr="00D306AF">
        <w:t xml:space="preserve">presenta </w:t>
      </w:r>
      <w:r w:rsidRPr="00D306AF">
        <w:t xml:space="preserve">en la </w:t>
      </w:r>
      <w:r w:rsidR="005654C4" w:rsidRPr="00D306AF">
        <w:t>(</w:t>
      </w:r>
      <w:r w:rsidRPr="00D306AF">
        <w:t>Tabla 1</w:t>
      </w:r>
      <w:r w:rsidR="005654C4" w:rsidRPr="00D306AF">
        <w:t>)</w:t>
      </w:r>
      <w:r w:rsidRPr="00D306AF">
        <w:t>.  El contenido d</w:t>
      </w:r>
      <w:r w:rsidR="00A669C9" w:rsidRPr="00D306AF">
        <w:t xml:space="preserve">e humedad </w:t>
      </w:r>
      <w:r w:rsidR="00237CFB" w:rsidRPr="00D306AF">
        <w:t>en las cubas</w:t>
      </w:r>
      <w:r w:rsidR="00CC36B1" w:rsidRPr="00D306AF">
        <w:t xml:space="preserve"> A y B</w:t>
      </w:r>
      <w:r w:rsidR="00237CFB" w:rsidRPr="00D306AF">
        <w:t xml:space="preserve"> </w:t>
      </w:r>
      <w:r w:rsidR="00A669C9" w:rsidRPr="00D306AF">
        <w:t>vari</w:t>
      </w:r>
      <w:r w:rsidR="00781FCA" w:rsidRPr="00D306AF">
        <w:t>ó</w:t>
      </w:r>
      <w:r w:rsidR="00A669C9" w:rsidRPr="00D306AF">
        <w:t xml:space="preserve"> entre 8 y 17</w:t>
      </w:r>
      <w:r w:rsidR="00D22332" w:rsidRPr="00D306AF">
        <w:t xml:space="preserve"> </w:t>
      </w:r>
      <w:r w:rsidR="00A669C9" w:rsidRPr="00D306AF">
        <w:t>%</w:t>
      </w:r>
      <w:r w:rsidR="00237CFB" w:rsidRPr="00D306AF">
        <w:t>. Por su parte en los sistemas control</w:t>
      </w:r>
      <w:r w:rsidR="00400102" w:rsidRPr="00D306AF">
        <w:t>,</w:t>
      </w:r>
      <w:r w:rsidR="00237CFB" w:rsidRPr="00D306AF">
        <w:t xml:space="preserve"> el contenido de humedad fue </w:t>
      </w:r>
      <w:r w:rsidR="000C691B" w:rsidRPr="00D306AF">
        <w:t>inferior</w:t>
      </w:r>
      <w:r w:rsidR="00237CFB" w:rsidRPr="00D306AF">
        <w:t xml:space="preserve"> al</w:t>
      </w:r>
      <w:r w:rsidR="00481D62" w:rsidRPr="00D306AF">
        <w:t xml:space="preserve"> 5</w:t>
      </w:r>
      <w:r w:rsidR="00244D77" w:rsidRPr="00D306AF">
        <w:t xml:space="preserve"> </w:t>
      </w:r>
      <w:r w:rsidR="00481D62" w:rsidRPr="00D306AF">
        <w:t xml:space="preserve">% </w:t>
      </w:r>
      <w:r w:rsidR="00237CFB" w:rsidRPr="00D306AF">
        <w:t xml:space="preserve">en </w:t>
      </w:r>
      <w:r w:rsidR="00311A63" w:rsidRPr="00D306AF">
        <w:t>SS, mientras</w:t>
      </w:r>
      <w:r w:rsidR="00237CFB" w:rsidRPr="00D306AF">
        <w:t xml:space="preserve"> que en SH y SN </w:t>
      </w:r>
      <w:r w:rsidR="00097178" w:rsidRPr="00D306AF">
        <w:t>oscil</w:t>
      </w:r>
      <w:r w:rsidR="00237CFB" w:rsidRPr="00D306AF">
        <w:t>ó entre</w:t>
      </w:r>
      <w:r w:rsidR="00481D62" w:rsidRPr="00D306AF">
        <w:t xml:space="preserve"> un 11 a 12,8</w:t>
      </w:r>
      <w:r w:rsidR="00244D77" w:rsidRPr="00D306AF">
        <w:t xml:space="preserve"> </w:t>
      </w:r>
      <w:r w:rsidR="00481D62" w:rsidRPr="00D306AF">
        <w:t>%</w:t>
      </w:r>
      <w:r w:rsidR="00EB279B" w:rsidRPr="00D306AF">
        <w:t xml:space="preserve">, respectivamente. </w:t>
      </w:r>
      <w:r w:rsidR="00A669C9" w:rsidRPr="00D306AF">
        <w:t xml:space="preserve">El pH </w:t>
      </w:r>
      <w:r w:rsidR="00097178" w:rsidRPr="00D306AF">
        <w:t>se mantuvo</w:t>
      </w:r>
      <w:r w:rsidR="00CC36B1" w:rsidRPr="00D306AF">
        <w:t xml:space="preserve"> entre 6 y 7,6. E</w:t>
      </w:r>
      <w:r w:rsidR="00A669C9" w:rsidRPr="00D306AF">
        <w:t xml:space="preserve">l valor </w:t>
      </w:r>
      <w:r w:rsidR="00CC36B1" w:rsidRPr="00D306AF">
        <w:t>máximo</w:t>
      </w:r>
      <w:r w:rsidR="00A669C9" w:rsidRPr="00D306AF">
        <w:t xml:space="preserve"> </w:t>
      </w:r>
      <w:r w:rsidR="00CC36B1" w:rsidRPr="00D306AF">
        <w:t xml:space="preserve">de pH se </w:t>
      </w:r>
      <w:r w:rsidR="00A47D82" w:rsidRPr="00D306AF">
        <w:t>registró en</w:t>
      </w:r>
      <w:r w:rsidR="00A669C9" w:rsidRPr="00D306AF">
        <w:t xml:space="preserve"> el control con nutrientes</w:t>
      </w:r>
      <w:r w:rsidR="00CC36B1" w:rsidRPr="00D306AF">
        <w:t xml:space="preserve"> (SN), </w:t>
      </w:r>
      <w:r w:rsidR="00097178" w:rsidRPr="00D306AF">
        <w:t xml:space="preserve">que </w:t>
      </w:r>
      <w:r w:rsidR="00CC36B1" w:rsidRPr="00D306AF">
        <w:t>presentó la mayor concentración</w:t>
      </w:r>
      <w:r w:rsidR="00286330" w:rsidRPr="00D306AF">
        <w:t xml:space="preserve"> de amonio.</w:t>
      </w:r>
    </w:p>
    <w:p w14:paraId="48B71B31" w14:textId="1418F13D" w:rsidR="003409A3" w:rsidRPr="00D306AF" w:rsidRDefault="00EB279B" w:rsidP="002B4DEB">
      <w:pPr>
        <w:spacing w:after="240" w:line="480" w:lineRule="auto"/>
        <w:jc w:val="both"/>
      </w:pPr>
      <w:r w:rsidRPr="00D306AF">
        <w:t xml:space="preserve">Las concentraciones de nutrientes inorgánicos </w:t>
      </w:r>
      <w:r w:rsidR="00481D62" w:rsidRPr="00D306AF">
        <w:t xml:space="preserve">se distribuyeron de forma </w:t>
      </w:r>
      <w:r w:rsidR="00D205FE" w:rsidRPr="00D306AF">
        <w:t xml:space="preserve">heterogénea </w:t>
      </w:r>
      <w:r w:rsidR="00CA6AF0" w:rsidRPr="00D306AF">
        <w:t>en las c</w:t>
      </w:r>
      <w:r w:rsidR="00741FCA" w:rsidRPr="00D306AF">
        <w:t>ubas</w:t>
      </w:r>
      <w:r w:rsidR="00CA6AF0" w:rsidRPr="00D306AF">
        <w:t xml:space="preserve">. </w:t>
      </w:r>
      <w:r w:rsidR="00D205FE" w:rsidRPr="00D306AF">
        <w:t>En l</w:t>
      </w:r>
      <w:r w:rsidR="00CA6AF0" w:rsidRPr="00D306AF">
        <w:t xml:space="preserve">a cuba A </w:t>
      </w:r>
      <w:r w:rsidR="00D205FE" w:rsidRPr="00D306AF">
        <w:t xml:space="preserve">se registraron </w:t>
      </w:r>
      <w:r w:rsidR="00CA6AF0" w:rsidRPr="00D306AF">
        <w:t>mayor</w:t>
      </w:r>
      <w:r w:rsidR="00D205FE" w:rsidRPr="00D306AF">
        <w:t>es</w:t>
      </w:r>
      <w:r w:rsidR="00CA6AF0" w:rsidRPr="00D306AF">
        <w:t xml:space="preserve"> concentrac</w:t>
      </w:r>
      <w:r w:rsidR="00D205FE" w:rsidRPr="00D306AF">
        <w:t>iones</w:t>
      </w:r>
      <w:r w:rsidR="00CA6AF0" w:rsidRPr="00D306AF">
        <w:t xml:space="preserve"> de sulfatos, sodio</w:t>
      </w:r>
      <w:r w:rsidR="008A411C" w:rsidRPr="00D306AF">
        <w:t>,</w:t>
      </w:r>
      <w:r w:rsidR="00C758B9" w:rsidRPr="00D306AF">
        <w:t xml:space="preserve"> nitra</w:t>
      </w:r>
      <w:r w:rsidR="00761CD4" w:rsidRPr="00D306AF">
        <w:t>to y amonio en el centro</w:t>
      </w:r>
      <w:r w:rsidR="00D205FE" w:rsidRPr="00D306AF">
        <w:t xml:space="preserve"> de la misma</w:t>
      </w:r>
      <w:r w:rsidR="00CA6AF0" w:rsidRPr="00D306AF">
        <w:t>. Por otro lado, en la cuba B</w:t>
      </w:r>
      <w:r w:rsidR="000E5A8B" w:rsidRPr="00D306AF">
        <w:t xml:space="preserve"> se </w:t>
      </w:r>
      <w:r w:rsidR="00761CD4" w:rsidRPr="00D306AF">
        <w:t>observó</w:t>
      </w:r>
      <w:r w:rsidR="000E5A8B" w:rsidRPr="00D306AF">
        <w:t xml:space="preserve"> que el sodio y nitra</w:t>
      </w:r>
      <w:r w:rsidR="00CA6AF0" w:rsidRPr="00D306AF">
        <w:t xml:space="preserve">to </w:t>
      </w:r>
      <w:r w:rsidR="00D205FE" w:rsidRPr="00D306AF">
        <w:t>alcanza</w:t>
      </w:r>
      <w:r w:rsidR="0066390F" w:rsidRPr="00D306AF">
        <w:t xml:space="preserve">ron </w:t>
      </w:r>
      <w:r w:rsidR="00D205FE" w:rsidRPr="00D306AF">
        <w:t xml:space="preserve">valores más elevados </w:t>
      </w:r>
      <w:r w:rsidR="00CA6AF0" w:rsidRPr="00D306AF">
        <w:t>en el ce</w:t>
      </w:r>
      <w:r w:rsidR="00761CD4" w:rsidRPr="00D306AF">
        <w:t>ntro de la cuba; mientras que</w:t>
      </w:r>
      <w:r w:rsidR="00CA6AF0" w:rsidRPr="00D306AF">
        <w:t xml:space="preserve"> la</w:t>
      </w:r>
      <w:r w:rsidR="00CC36B1" w:rsidRPr="00D306AF">
        <w:t>s</w:t>
      </w:r>
      <w:r w:rsidR="00CA6AF0" w:rsidRPr="00D306AF">
        <w:t xml:space="preserve"> concentraci</w:t>
      </w:r>
      <w:r w:rsidR="00CC36B1" w:rsidRPr="00D306AF">
        <w:t>ones</w:t>
      </w:r>
      <w:r w:rsidR="00CA6AF0" w:rsidRPr="00D306AF">
        <w:t xml:space="preserve"> de sulfatos, nitrato, y amonio </w:t>
      </w:r>
      <w:r w:rsidR="00CC36B1" w:rsidRPr="00D306AF">
        <w:t>fueron</w:t>
      </w:r>
      <w:r w:rsidR="00CA6AF0" w:rsidRPr="00D306AF">
        <w:t xml:space="preserve"> superi</w:t>
      </w:r>
      <w:r w:rsidR="00761CD4" w:rsidRPr="00D306AF">
        <w:t>ores en los puntos cercanos a lo</w:t>
      </w:r>
      <w:r w:rsidR="00CA6AF0" w:rsidRPr="00D306AF">
        <w:t xml:space="preserve">s electrodos. </w:t>
      </w:r>
      <w:r w:rsidR="00D70125" w:rsidRPr="00D306AF">
        <w:t>L</w:t>
      </w:r>
      <w:r w:rsidR="00832AB9" w:rsidRPr="00D306AF">
        <w:t xml:space="preserve">a conductividad eléctrica </w:t>
      </w:r>
      <w:r w:rsidR="00993516" w:rsidRPr="00D306AF">
        <w:t>fue</w:t>
      </w:r>
      <w:r w:rsidR="00832AB9" w:rsidRPr="00D306AF">
        <w:t xml:space="preserve"> más el</w:t>
      </w:r>
      <w:r w:rsidR="00C758B9" w:rsidRPr="00D306AF">
        <w:t xml:space="preserve">evada en </w:t>
      </w:r>
      <w:r w:rsidR="00D205FE" w:rsidRPr="00D306AF">
        <w:t xml:space="preserve">la zona central </w:t>
      </w:r>
      <w:r w:rsidR="00C758B9" w:rsidRPr="00D306AF">
        <w:t>de las cubas.</w:t>
      </w:r>
    </w:p>
    <w:p w14:paraId="76EF05C1" w14:textId="244B7F7A" w:rsidR="00D9197B" w:rsidRPr="00D306AF" w:rsidRDefault="00D9197B" w:rsidP="002B4DEB">
      <w:pPr>
        <w:spacing w:after="240" w:line="480" w:lineRule="auto"/>
        <w:jc w:val="both"/>
        <w:rPr>
          <w:b/>
        </w:rPr>
      </w:pPr>
      <w:r w:rsidRPr="00D306AF">
        <w:rPr>
          <w:b/>
        </w:rPr>
        <w:lastRenderedPageBreak/>
        <w:t>Metales pesados y degradación de HAP</w:t>
      </w:r>
    </w:p>
    <w:p w14:paraId="0C65960E" w14:textId="27AC9E0F" w:rsidR="0020148A" w:rsidRPr="00D306AF" w:rsidRDefault="00A47D82" w:rsidP="00CE2DC0">
      <w:pPr>
        <w:spacing w:line="480" w:lineRule="auto"/>
        <w:jc w:val="both"/>
      </w:pPr>
      <w:r w:rsidRPr="00D306AF">
        <w:t xml:space="preserve">Al comparar las concentraciones iniciales y finales de los metales pesados (Tabla </w:t>
      </w:r>
      <w:r w:rsidR="00F54EFA" w:rsidRPr="00D306AF">
        <w:t>1</w:t>
      </w:r>
      <w:r w:rsidRPr="00D306AF">
        <w:t xml:space="preserve">), no se observaron variaciones sustanciales en la concentración total de los elementos analizados tras 60 días de </w:t>
      </w:r>
      <w:r w:rsidR="00311A63" w:rsidRPr="00D306AF">
        <w:t xml:space="preserve">tratamiento. </w:t>
      </w:r>
      <w:r w:rsidR="00EC24C5" w:rsidRPr="00D306AF">
        <w:t>Sin embargo, se observó una tendencia a mayores concentraciones de bario en las muestras de la cuba B en comparación con la cuba A, y valores intermedios en los sistemas control. E</w:t>
      </w:r>
      <w:r w:rsidR="00832AB9" w:rsidRPr="00D306AF">
        <w:t xml:space="preserve">l </w:t>
      </w:r>
      <w:r w:rsidR="00D7693F" w:rsidRPr="00D306AF">
        <w:t>bario</w:t>
      </w:r>
      <w:r w:rsidR="00832AB9" w:rsidRPr="00D306AF">
        <w:t xml:space="preserve"> </w:t>
      </w:r>
      <w:r w:rsidR="00D205FE" w:rsidRPr="00D306AF">
        <w:t>presentó</w:t>
      </w:r>
      <w:r w:rsidR="00D7693F" w:rsidRPr="00D306AF">
        <w:t xml:space="preserve"> mayor</w:t>
      </w:r>
      <w:r w:rsidR="00D205FE" w:rsidRPr="00D306AF">
        <w:t>es</w:t>
      </w:r>
      <w:r w:rsidR="00D7693F" w:rsidRPr="00D306AF">
        <w:t xml:space="preserve"> concentraci</w:t>
      </w:r>
      <w:r w:rsidR="00D205FE" w:rsidRPr="00D306AF">
        <w:t>o</w:t>
      </w:r>
      <w:r w:rsidR="00D7693F" w:rsidRPr="00D306AF">
        <w:t>n</w:t>
      </w:r>
      <w:r w:rsidR="00D205FE" w:rsidRPr="00D306AF">
        <w:t>es</w:t>
      </w:r>
      <w:r w:rsidR="00D7693F" w:rsidRPr="00D306AF">
        <w:t xml:space="preserve"> </w:t>
      </w:r>
      <w:r w:rsidR="004A0854" w:rsidRPr="00D306AF">
        <w:t xml:space="preserve">en </w:t>
      </w:r>
      <w:r w:rsidR="00832AB9" w:rsidRPr="00D306AF">
        <w:t>l</w:t>
      </w:r>
      <w:r w:rsidR="004A0854" w:rsidRPr="00D306AF">
        <w:t>os</w:t>
      </w:r>
      <w:r w:rsidR="00832AB9" w:rsidRPr="00D306AF">
        <w:t xml:space="preserve"> </w:t>
      </w:r>
      <w:r w:rsidR="004A0854" w:rsidRPr="00D306AF">
        <w:t>sitios A</w:t>
      </w:r>
      <w:r w:rsidR="00832AB9" w:rsidRPr="00D306AF">
        <w:t>3</w:t>
      </w:r>
      <w:r w:rsidR="004A0854" w:rsidRPr="00D306AF">
        <w:t xml:space="preserve"> y B3</w:t>
      </w:r>
      <w:r w:rsidR="001B09A8" w:rsidRPr="00D306AF">
        <w:t xml:space="preserve"> (54,417 ppm y 60,393 ppm</w:t>
      </w:r>
      <w:r w:rsidR="00D205FE" w:rsidRPr="00D306AF">
        <w:t>, respectivamente</w:t>
      </w:r>
      <w:r w:rsidR="001B09A8" w:rsidRPr="00D306AF">
        <w:t>)</w:t>
      </w:r>
      <w:r w:rsidR="00D7693F" w:rsidRPr="00D306AF">
        <w:t>,</w:t>
      </w:r>
      <w:r w:rsidR="00BB239F" w:rsidRPr="00D306AF">
        <w:t xml:space="preserve"> correspondientes a</w:t>
      </w:r>
      <w:r w:rsidR="00D7693F" w:rsidRPr="00D306AF">
        <w:t xml:space="preserve"> los puntos cercanos a los electrodos.</w:t>
      </w:r>
      <w:r w:rsidR="008D33A5" w:rsidRPr="00D306AF">
        <w:t xml:space="preserve"> </w:t>
      </w:r>
      <w:r w:rsidR="00D7693F" w:rsidRPr="00D306AF">
        <w:t xml:space="preserve">Esta misma tendencia </w:t>
      </w:r>
      <w:r w:rsidR="00D205FE" w:rsidRPr="00D306AF">
        <w:t xml:space="preserve">se observó para </w:t>
      </w:r>
      <w:r w:rsidR="00D7693F" w:rsidRPr="00D306AF">
        <w:t xml:space="preserve">cinc, </w:t>
      </w:r>
      <w:r w:rsidR="004A0854" w:rsidRPr="00D306AF">
        <w:t>níquel</w:t>
      </w:r>
      <w:r w:rsidR="00D7693F" w:rsidRPr="00D306AF">
        <w:t xml:space="preserve"> y plomo</w:t>
      </w:r>
      <w:r w:rsidRPr="00D306AF">
        <w:t>.</w:t>
      </w:r>
      <w:r w:rsidR="00D7693F" w:rsidRPr="00D306AF">
        <w:t xml:space="preserve"> </w:t>
      </w:r>
      <w:r w:rsidR="008D33A5" w:rsidRPr="00D306AF">
        <w:t>En todos los casos, las concentraciones se mantuvieron por debajo de los niveles guía establecidos en la normativa vigente.</w:t>
      </w:r>
    </w:p>
    <w:p w14:paraId="652DC506" w14:textId="720230A0" w:rsidR="00BE5E78" w:rsidRPr="00D306AF" w:rsidRDefault="00BB03A9" w:rsidP="00CE2DC0">
      <w:pPr>
        <w:spacing w:line="480" w:lineRule="auto"/>
        <w:jc w:val="both"/>
      </w:pPr>
      <w:r w:rsidRPr="00865E8B">
        <w:t xml:space="preserve">Como se observa en la </w:t>
      </w:r>
      <w:r w:rsidR="00FC69CB" w:rsidRPr="00865E8B">
        <w:t>(</w:t>
      </w:r>
      <w:r w:rsidRPr="00865E8B">
        <w:t>Fig. 1</w:t>
      </w:r>
      <w:r w:rsidR="00FC69CB" w:rsidRPr="00865E8B">
        <w:t>)</w:t>
      </w:r>
      <w:r w:rsidRPr="00865E8B">
        <w:t>, las concentraciones de varios HAP individuales fueron menores en la cuba B en comparación con la A, lo que sugiere una may</w:t>
      </w:r>
      <w:r w:rsidR="00FC69CB" w:rsidRPr="00865E8B">
        <w:t>or remoción de</w:t>
      </w:r>
      <w:r w:rsidR="00865E8B" w:rsidRPr="00865E8B">
        <w:t xml:space="preserve"> estos compuestos</w:t>
      </w:r>
      <w:r w:rsidR="0029738B" w:rsidRPr="00865E8B">
        <w:rPr>
          <w:lang w:val="es-ES_tradnl"/>
        </w:rPr>
        <w:t>.</w:t>
      </w:r>
      <w:r w:rsidR="00865E8B" w:rsidRPr="00865E8B">
        <w:rPr>
          <w:lang w:val="es-ES_tradnl"/>
        </w:rPr>
        <w:t xml:space="preserve"> </w:t>
      </w:r>
      <w:r w:rsidR="00FC69CB" w:rsidRPr="00FC69CB">
        <w:rPr>
          <w:lang w:val="es-ES_tradnl"/>
        </w:rPr>
        <w:t>Aunque las concentraciones totales de HAP fueron menores en la cuba B respecto de la A</w:t>
      </w:r>
      <w:r w:rsidR="005654C4" w:rsidRPr="00D306AF">
        <w:rPr>
          <w:lang w:val="es-ES_tradnl"/>
        </w:rPr>
        <w:t xml:space="preserve">, el análisis estadístico no evidenció diferencias significativas entre tratamientos (ANOVA, </w:t>
      </w:r>
      <w:r w:rsidR="005654C4" w:rsidRPr="00D306AF">
        <w:rPr>
          <w:i/>
          <w:lang w:val="es-ES_tradnl"/>
        </w:rPr>
        <w:t>p</w:t>
      </w:r>
      <w:r w:rsidR="005654C4" w:rsidRPr="00D306AF">
        <w:rPr>
          <w:lang w:val="es-ES_tradnl"/>
        </w:rPr>
        <w:t xml:space="preserve"> = 0,115; prueba de Wilcoxon, </w:t>
      </w:r>
      <w:r w:rsidR="005654C4" w:rsidRPr="00D306AF">
        <w:rPr>
          <w:i/>
          <w:lang w:val="es-ES_tradnl"/>
        </w:rPr>
        <w:t>p</w:t>
      </w:r>
      <w:r w:rsidR="005654C4" w:rsidRPr="00D306AF">
        <w:rPr>
          <w:lang w:val="es-ES_tradnl"/>
        </w:rPr>
        <w:t xml:space="preserve"> = 0,10). </w:t>
      </w:r>
      <w:r w:rsidR="001D52EC" w:rsidRPr="00D306AF">
        <w:t>En la cuba A</w:t>
      </w:r>
      <w:r w:rsidR="00D205FE" w:rsidRPr="00D306AF">
        <w:t>,</w:t>
      </w:r>
      <w:r w:rsidR="001D52EC" w:rsidRPr="00D306AF">
        <w:t xml:space="preserve"> la </w:t>
      </w:r>
      <w:r w:rsidR="00BE5E78" w:rsidRPr="00D306AF">
        <w:t>degradación</w:t>
      </w:r>
      <w:r w:rsidR="00244D77" w:rsidRPr="00D306AF">
        <w:t xml:space="preserve"> de los hidrocarburos de dos y tres</w:t>
      </w:r>
      <w:r w:rsidR="001D52EC" w:rsidRPr="00D306AF">
        <w:t xml:space="preserve"> anillos fue mayor en A</w:t>
      </w:r>
      <w:r w:rsidR="004A0854" w:rsidRPr="00D306AF">
        <w:t>3</w:t>
      </w:r>
      <w:r w:rsidR="001D52EC" w:rsidRPr="00D306AF">
        <w:t xml:space="preserve">, </w:t>
      </w:r>
      <w:r w:rsidR="0015758B" w:rsidRPr="00D306AF">
        <w:t xml:space="preserve">que además presentó la </w:t>
      </w:r>
      <w:r w:rsidR="001D52EC" w:rsidRPr="00D306AF">
        <w:t>may</w:t>
      </w:r>
      <w:r w:rsidR="00BE5E78" w:rsidRPr="00D306AF">
        <w:t xml:space="preserve">or degradación total de </w:t>
      </w:r>
      <w:r w:rsidR="008611E1" w:rsidRPr="00D306AF">
        <w:t>HAP</w:t>
      </w:r>
      <w:r w:rsidR="00BE5E78" w:rsidRPr="00D306AF">
        <w:t xml:space="preserve">. La degradación de </w:t>
      </w:r>
      <w:r w:rsidR="0015758B" w:rsidRPr="00D306AF">
        <w:t xml:space="preserve">compuestos </w:t>
      </w:r>
      <w:r w:rsidR="00BE5E78" w:rsidRPr="00D306AF">
        <w:t>aromáticos de cuat</w:t>
      </w:r>
      <w:r w:rsidR="004A0854" w:rsidRPr="00D306AF">
        <w:t>ro y seis anillos fue mayor en</w:t>
      </w:r>
      <w:r w:rsidR="00BE5E78" w:rsidRPr="00D306AF">
        <w:t xml:space="preserve"> A</w:t>
      </w:r>
      <w:r w:rsidR="004A0854" w:rsidRPr="00D306AF">
        <w:t>2</w:t>
      </w:r>
      <w:r w:rsidR="00244D77" w:rsidRPr="00D306AF">
        <w:t>, mientras que los de cinco</w:t>
      </w:r>
      <w:r w:rsidR="00BE5E78" w:rsidRPr="00D306AF">
        <w:t xml:space="preserve"> anillos se degradaron</w:t>
      </w:r>
      <w:r w:rsidR="004A0854" w:rsidRPr="00D306AF">
        <w:t xml:space="preserve"> en mayor proporción </w:t>
      </w:r>
      <w:r w:rsidR="00BE5E78" w:rsidRPr="00D306AF">
        <w:t>en A</w:t>
      </w:r>
      <w:r w:rsidR="008419C4" w:rsidRPr="00D306AF">
        <w:t>3</w:t>
      </w:r>
      <w:r w:rsidR="00BE5E78" w:rsidRPr="00D306AF">
        <w:t xml:space="preserve">. </w:t>
      </w:r>
      <w:r w:rsidR="0015758B" w:rsidRPr="00D306AF">
        <w:t xml:space="preserve">El sitio </w:t>
      </w:r>
      <w:r w:rsidR="00BE5E78" w:rsidRPr="00D306AF">
        <w:t xml:space="preserve">A1 </w:t>
      </w:r>
      <w:r w:rsidR="0015758B" w:rsidRPr="00D306AF">
        <w:t xml:space="preserve">presentó el </w:t>
      </w:r>
      <w:r w:rsidR="00BE5E78" w:rsidRPr="00D306AF">
        <w:t>menor</w:t>
      </w:r>
      <w:r w:rsidR="0015758B" w:rsidRPr="00D306AF">
        <w:t xml:space="preserve"> porcentaje de</w:t>
      </w:r>
      <w:r w:rsidR="00BE5E78" w:rsidRPr="00D306AF">
        <w:t xml:space="preserve"> degradación</w:t>
      </w:r>
      <w:r w:rsidR="0015758B" w:rsidRPr="00D306AF">
        <w:t xml:space="preserve"> dentro de la cuba A</w:t>
      </w:r>
      <w:r w:rsidR="00BE5E78" w:rsidRPr="00D306AF">
        <w:t xml:space="preserve">. </w:t>
      </w:r>
      <w:r w:rsidR="00E71D9A" w:rsidRPr="00D306AF">
        <w:t xml:space="preserve"> </w:t>
      </w:r>
      <w:r w:rsidR="004A0854" w:rsidRPr="00D306AF">
        <w:t>En la c</w:t>
      </w:r>
      <w:r w:rsidR="00BE5E78" w:rsidRPr="00D306AF">
        <w:t xml:space="preserve">uba B, </w:t>
      </w:r>
      <w:r w:rsidR="00504E12" w:rsidRPr="00D306AF">
        <w:t xml:space="preserve">el </w:t>
      </w:r>
      <w:r w:rsidR="0015758B" w:rsidRPr="00D306AF">
        <w:t xml:space="preserve">mayor </w:t>
      </w:r>
      <w:r w:rsidR="00E71D9A" w:rsidRPr="00D306AF">
        <w:t>porcentaje</w:t>
      </w:r>
      <w:r w:rsidR="00504E12" w:rsidRPr="00D306AF">
        <w:t xml:space="preserve"> de degradación</w:t>
      </w:r>
      <w:r w:rsidR="00E71D9A" w:rsidRPr="00D306AF">
        <w:t xml:space="preserve"> se observó en B</w:t>
      </w:r>
      <w:r w:rsidR="008419C4" w:rsidRPr="00D306AF">
        <w:t>3</w:t>
      </w:r>
      <w:r w:rsidR="00E71D9A" w:rsidRPr="00D306AF">
        <w:t xml:space="preserve">. </w:t>
      </w:r>
      <w:r w:rsidR="00C32BEF" w:rsidRPr="00D306AF">
        <w:t>En</w:t>
      </w:r>
      <w:r w:rsidR="0015758B" w:rsidRPr="00D306AF">
        <w:t>tre</w:t>
      </w:r>
      <w:r w:rsidR="00C32BEF" w:rsidRPr="00D306AF">
        <w:t xml:space="preserve"> </w:t>
      </w:r>
      <w:r w:rsidR="0015758B" w:rsidRPr="00D306AF">
        <w:t>l</w:t>
      </w:r>
      <w:r w:rsidR="00C32BEF" w:rsidRPr="00D306AF">
        <w:t xml:space="preserve">os hidrocarburos de </w:t>
      </w:r>
      <w:r w:rsidR="000634C5" w:rsidRPr="00D306AF">
        <w:t>seis</w:t>
      </w:r>
      <w:r w:rsidR="00C32BEF" w:rsidRPr="00D306AF">
        <w:t xml:space="preserve"> anillos, solo </w:t>
      </w:r>
      <w:r w:rsidR="0015758B" w:rsidRPr="00D306AF">
        <w:t xml:space="preserve">se detectó </w:t>
      </w:r>
      <w:proofErr w:type="spellStart"/>
      <w:r w:rsidR="001E35AD" w:rsidRPr="00D306AF">
        <w:t>indeno</w:t>
      </w:r>
      <w:proofErr w:type="spellEnd"/>
      <w:r w:rsidR="001E35AD" w:rsidRPr="00D306AF">
        <w:t>[1,2,3-cd]</w:t>
      </w:r>
      <w:proofErr w:type="spellStart"/>
      <w:r w:rsidR="001E35AD" w:rsidRPr="00D306AF">
        <w:t>pireno</w:t>
      </w:r>
      <w:proofErr w:type="spellEnd"/>
      <w:r w:rsidR="001E35AD" w:rsidRPr="00D306AF">
        <w:t>. E</w:t>
      </w:r>
      <w:r w:rsidR="00C32BEF" w:rsidRPr="00D306AF">
        <w:t xml:space="preserve">n la cuba A, la mayor </w:t>
      </w:r>
      <w:r w:rsidR="00C32BEF" w:rsidRPr="00D306AF">
        <w:lastRenderedPageBreak/>
        <w:t xml:space="preserve">degradación de este </w:t>
      </w:r>
      <w:r w:rsidR="0015758B" w:rsidRPr="00D306AF">
        <w:t xml:space="preserve">compuesto </w:t>
      </w:r>
      <w:r w:rsidR="00C32BEF" w:rsidRPr="00D306AF">
        <w:t>se obt</w:t>
      </w:r>
      <w:r w:rsidR="004A0854" w:rsidRPr="00D306AF">
        <w:t>uvo en A3</w:t>
      </w:r>
      <w:r w:rsidR="00C32BEF" w:rsidRPr="00D306AF">
        <w:t>, mientras que en la cuba B</w:t>
      </w:r>
      <w:r w:rsidR="0015758B" w:rsidRPr="00D306AF">
        <w:t xml:space="preserve"> se registró</w:t>
      </w:r>
      <w:r w:rsidR="00C32BEF" w:rsidRPr="00D306AF">
        <w:t xml:space="preserve"> en el extremo B</w:t>
      </w:r>
      <w:r w:rsidR="004A0854" w:rsidRPr="00D306AF">
        <w:t>3</w:t>
      </w:r>
      <w:r w:rsidR="008419C4" w:rsidRPr="00D306AF">
        <w:t xml:space="preserve"> (</w:t>
      </w:r>
      <w:r w:rsidR="00EE0FD0" w:rsidRPr="00D306AF">
        <w:t xml:space="preserve">Fig. </w:t>
      </w:r>
      <w:r w:rsidR="000C3EBE" w:rsidRPr="00D306AF">
        <w:t>1</w:t>
      </w:r>
      <w:r w:rsidR="008419C4" w:rsidRPr="00D306AF">
        <w:t>)</w:t>
      </w:r>
      <w:r w:rsidR="00C32BEF" w:rsidRPr="00D306AF">
        <w:t>.</w:t>
      </w:r>
    </w:p>
    <w:p w14:paraId="6CBD8F2E" w14:textId="7425997E" w:rsidR="00B50202" w:rsidRPr="00D306AF" w:rsidRDefault="00AF2DF3" w:rsidP="002B4DEB">
      <w:pPr>
        <w:pStyle w:val="NormalWeb"/>
        <w:spacing w:before="0" w:beforeAutospacing="0" w:after="240" w:afterAutospacing="0" w:line="480" w:lineRule="auto"/>
        <w:jc w:val="both"/>
      </w:pPr>
      <w:r w:rsidRPr="00D306AF">
        <w:t>Al finalizar los 60 días de tratamiento con EB, e</w:t>
      </w:r>
      <w:r w:rsidR="00B50202" w:rsidRPr="00D306AF">
        <w:t>l sitio</w:t>
      </w:r>
      <w:r w:rsidRPr="00D306AF">
        <w:t xml:space="preserve"> A1 present</w:t>
      </w:r>
      <w:r w:rsidR="00E54EFD" w:rsidRPr="00D306AF">
        <w:t>ó</w:t>
      </w:r>
      <w:r w:rsidR="00B50202" w:rsidRPr="00D306AF">
        <w:t xml:space="preserve"> </w:t>
      </w:r>
      <w:r w:rsidR="0015758B" w:rsidRPr="00D306AF">
        <w:t xml:space="preserve">simultáneamente </w:t>
      </w:r>
      <w:r w:rsidRPr="00D306AF">
        <w:t>la</w:t>
      </w:r>
      <w:r w:rsidR="00B50202" w:rsidRPr="00D306AF">
        <w:t xml:space="preserve"> menor concentración de </w:t>
      </w:r>
      <w:r w:rsidR="00781FCA" w:rsidRPr="00D306AF">
        <w:t>b</w:t>
      </w:r>
      <w:r w:rsidR="00B50202" w:rsidRPr="00D306AF">
        <w:t>a</w:t>
      </w:r>
      <w:r w:rsidR="005374C6" w:rsidRPr="00D306AF">
        <w:t>rio</w:t>
      </w:r>
      <w:r w:rsidR="00B50202" w:rsidRPr="00D306AF">
        <w:t xml:space="preserve"> </w:t>
      </w:r>
      <w:r w:rsidRPr="00D306AF">
        <w:t xml:space="preserve">y el </w:t>
      </w:r>
      <w:r w:rsidR="00B50202" w:rsidRPr="00D306AF">
        <w:t xml:space="preserve">menor </w:t>
      </w:r>
      <w:r w:rsidRPr="00D306AF">
        <w:t xml:space="preserve">porcentaje de </w:t>
      </w:r>
      <w:r w:rsidR="00B50202" w:rsidRPr="00D306AF">
        <w:t>degradación total</w:t>
      </w:r>
      <w:r w:rsidRPr="00D306AF">
        <w:t xml:space="preserve"> de HAP</w:t>
      </w:r>
      <w:r w:rsidR="00B50202" w:rsidRPr="00D306AF">
        <w:t xml:space="preserve"> </w:t>
      </w:r>
      <w:r w:rsidR="0015758B" w:rsidRPr="00D306AF">
        <w:t xml:space="preserve">dentro de </w:t>
      </w:r>
      <w:r w:rsidR="00B50202" w:rsidRPr="00D306AF">
        <w:t>la cuba A</w:t>
      </w:r>
      <w:r w:rsidRPr="00D306AF">
        <w:t>.</w:t>
      </w:r>
      <w:r w:rsidR="00EC24C5" w:rsidRPr="00D306AF">
        <w:t xml:space="preserve"> </w:t>
      </w:r>
      <w:r w:rsidR="0015758B" w:rsidRPr="00D306AF">
        <w:t>En contraste, l</w:t>
      </w:r>
      <w:r w:rsidR="00F500DE" w:rsidRPr="00D306AF">
        <w:t xml:space="preserve">os sitios con mayores concentraciones de </w:t>
      </w:r>
      <w:r w:rsidR="00EC24C5" w:rsidRPr="00D306AF">
        <w:t>bario (A3 y B3)</w:t>
      </w:r>
      <w:r w:rsidR="00F500DE" w:rsidRPr="00D306AF">
        <w:t xml:space="preserve"> coincidieron con mayores porcentajes de degradación</w:t>
      </w:r>
      <w:r w:rsidR="00EC24C5" w:rsidRPr="00D306AF">
        <w:t xml:space="preserve"> de HAP</w:t>
      </w:r>
      <w:r w:rsidR="00A47D82" w:rsidRPr="00D306AF">
        <w:t xml:space="preserve">. </w:t>
      </w:r>
    </w:p>
    <w:p w14:paraId="4C4A8197" w14:textId="546CD4EA" w:rsidR="00D9197B" w:rsidRPr="00D306AF" w:rsidRDefault="00D9197B" w:rsidP="002B4DEB">
      <w:pPr>
        <w:pStyle w:val="NormalWeb"/>
        <w:spacing w:before="0" w:beforeAutospacing="0" w:after="240" w:afterAutospacing="0" w:line="480" w:lineRule="auto"/>
        <w:jc w:val="both"/>
        <w:rPr>
          <w:b/>
        </w:rPr>
      </w:pPr>
      <w:r w:rsidRPr="00D306AF">
        <w:rPr>
          <w:b/>
        </w:rPr>
        <w:t>Comunidad bacteriana</w:t>
      </w:r>
    </w:p>
    <w:p w14:paraId="6CF473C7" w14:textId="02CAA962" w:rsidR="00F50AC8" w:rsidRPr="00D306AF" w:rsidRDefault="008A3C98" w:rsidP="00CE2DC0">
      <w:pPr>
        <w:pStyle w:val="NormalWeb"/>
        <w:spacing w:before="0" w:beforeAutospacing="0" w:after="0" w:afterAutospacing="0" w:line="480" w:lineRule="auto"/>
        <w:jc w:val="both"/>
      </w:pPr>
      <w:r w:rsidRPr="00D306AF">
        <w:t xml:space="preserve">La población </w:t>
      </w:r>
      <w:r w:rsidR="004E4F8B" w:rsidRPr="00D306AF">
        <w:t>ba</w:t>
      </w:r>
      <w:r w:rsidRPr="00D306AF">
        <w:t xml:space="preserve">cteriana de los suelos sometidos a EB </w:t>
      </w:r>
      <w:r w:rsidR="002324F1" w:rsidRPr="00D306AF">
        <w:t xml:space="preserve">se mantuvo </w:t>
      </w:r>
      <w:r w:rsidR="00F31242" w:rsidRPr="00D306AF">
        <w:t>dentro de</w:t>
      </w:r>
      <w:r w:rsidR="002324F1" w:rsidRPr="00D306AF">
        <w:t xml:space="preserve"> valores </w:t>
      </w:r>
      <w:r w:rsidR="00F31242" w:rsidRPr="00D306AF">
        <w:t>compatibles</w:t>
      </w:r>
      <w:r w:rsidR="002324F1" w:rsidRPr="00D306AF">
        <w:t xml:space="preserve"> </w:t>
      </w:r>
      <w:r w:rsidR="00F31242" w:rsidRPr="00D306AF">
        <w:t>con</w:t>
      </w:r>
      <w:r w:rsidR="002324F1" w:rsidRPr="00D306AF">
        <w:t xml:space="preserve"> procesos de </w:t>
      </w:r>
      <w:r w:rsidR="009756B1" w:rsidRPr="00D306AF">
        <w:t xml:space="preserve">biodegradación (Fig. </w:t>
      </w:r>
      <w:r w:rsidR="004E065D" w:rsidRPr="00D306AF">
        <w:t>2</w:t>
      </w:r>
      <w:r w:rsidR="00CA19A2" w:rsidRPr="00D306AF">
        <w:t>)</w:t>
      </w:r>
      <w:r w:rsidR="002324F1" w:rsidRPr="00D306AF">
        <w:t xml:space="preserve">. </w:t>
      </w:r>
      <w:r w:rsidR="00F31242" w:rsidRPr="00D306AF">
        <w:t>En la cuba B, s</w:t>
      </w:r>
      <w:r w:rsidR="002324F1" w:rsidRPr="00D306AF">
        <w:t>e observ</w:t>
      </w:r>
      <w:r w:rsidR="00191BF4" w:rsidRPr="00D306AF">
        <w:t>ó</w:t>
      </w:r>
      <w:r w:rsidR="002324F1" w:rsidRPr="00D306AF">
        <w:t xml:space="preserve"> </w:t>
      </w:r>
      <w:r w:rsidRPr="00D306AF">
        <w:t xml:space="preserve">una </w:t>
      </w:r>
      <w:r w:rsidR="00024E7D" w:rsidRPr="00D306AF">
        <w:t>variabilidad</w:t>
      </w:r>
      <w:r w:rsidR="00EF7D82" w:rsidRPr="00D306AF">
        <w:t xml:space="preserve">, donde en </w:t>
      </w:r>
      <w:r w:rsidR="00415571" w:rsidRPr="00D306AF">
        <w:t xml:space="preserve">B1 hubo una </w:t>
      </w:r>
      <w:r w:rsidRPr="00D306AF">
        <w:t>disminución</w:t>
      </w:r>
      <w:r w:rsidR="002324F1" w:rsidRPr="00D306AF">
        <w:t xml:space="preserve"> de </w:t>
      </w:r>
      <w:r w:rsidR="007D19BE" w:rsidRPr="00D306AF">
        <w:t>BAT</w:t>
      </w:r>
      <w:r w:rsidR="00E0410A" w:rsidRPr="00D306AF">
        <w:t xml:space="preserve"> </w:t>
      </w:r>
      <w:r w:rsidR="00CC6606" w:rsidRPr="00D306AF">
        <w:t>y un aumento de BDH</w:t>
      </w:r>
      <w:r w:rsidR="00E25F72" w:rsidRPr="00D306AF">
        <w:t xml:space="preserve">, y lo </w:t>
      </w:r>
      <w:r w:rsidR="009A0D47" w:rsidRPr="00D306AF">
        <w:t>opuesto en</w:t>
      </w:r>
      <w:r w:rsidR="00895C85" w:rsidRPr="00D306AF">
        <w:t xml:space="preserve"> </w:t>
      </w:r>
      <w:r w:rsidR="00007328" w:rsidRPr="00D306AF">
        <w:t>B2 Y B3</w:t>
      </w:r>
      <w:r w:rsidR="00A3218F" w:rsidRPr="00D306AF">
        <w:t>,</w:t>
      </w:r>
      <w:r w:rsidR="00761A93" w:rsidRPr="00D306AF">
        <w:t xml:space="preserve"> pero poco extr</w:t>
      </w:r>
      <w:r w:rsidR="007E2650" w:rsidRPr="00D306AF">
        <w:t>ema</w:t>
      </w:r>
      <w:r w:rsidR="00F31242" w:rsidRPr="00D306AF">
        <w:t xml:space="preserve">. </w:t>
      </w:r>
      <w:r w:rsidR="00CC6606" w:rsidRPr="00D306AF">
        <w:t>Mientras que, e</w:t>
      </w:r>
      <w:r w:rsidR="007D19BE" w:rsidRPr="00D306AF">
        <w:t xml:space="preserve">n la cuba A se </w:t>
      </w:r>
      <w:r w:rsidR="00F31242" w:rsidRPr="00D306AF">
        <w:t>registr</w:t>
      </w:r>
      <w:r w:rsidR="007D19BE" w:rsidRPr="00D306AF">
        <w:t xml:space="preserve">ó la tendencia </w:t>
      </w:r>
      <w:r w:rsidR="00F31242" w:rsidRPr="00D306AF">
        <w:t xml:space="preserve">opuesta </w:t>
      </w:r>
      <w:r w:rsidR="007D19BE" w:rsidRPr="00D306AF">
        <w:t>e incluso los recuentos de BAT superaron a los valores inicial</w:t>
      </w:r>
      <w:r w:rsidR="00F31242" w:rsidRPr="00D306AF">
        <w:t>es</w:t>
      </w:r>
      <w:r w:rsidR="00CC6606" w:rsidRPr="00D306AF">
        <w:t xml:space="preserve"> (I).</w:t>
      </w:r>
      <w:r w:rsidR="007D19BE" w:rsidRPr="00D306AF">
        <w:t xml:space="preserve"> </w:t>
      </w:r>
    </w:p>
    <w:p w14:paraId="25E07832" w14:textId="59DB992E" w:rsidR="00F50AC8" w:rsidRPr="00D306AF" w:rsidRDefault="00566472" w:rsidP="00CE2DC0">
      <w:pPr>
        <w:pStyle w:val="NormalWeb"/>
        <w:spacing w:before="0" w:beforeAutospacing="0" w:after="0" w:afterAutospacing="0" w:line="480" w:lineRule="auto"/>
        <w:jc w:val="both"/>
      </w:pPr>
      <w:r w:rsidRPr="00D306AF">
        <w:t xml:space="preserve">A partir de </w:t>
      </w:r>
      <w:r w:rsidR="00F31242" w:rsidRPr="00D306AF">
        <w:t xml:space="preserve">los </w:t>
      </w:r>
      <w:r w:rsidRPr="00D306AF">
        <w:t>recuento</w:t>
      </w:r>
      <w:r w:rsidR="00F31242" w:rsidRPr="00D306AF">
        <w:t>s</w:t>
      </w:r>
      <w:r w:rsidRPr="00D306AF">
        <w:t xml:space="preserve"> bacteriano</w:t>
      </w:r>
      <w:r w:rsidR="00F31242" w:rsidRPr="00D306AF">
        <w:t>s</w:t>
      </w:r>
      <w:r w:rsidRPr="00D306AF">
        <w:t xml:space="preserve"> se </w:t>
      </w:r>
      <w:r w:rsidR="00DA4697" w:rsidRPr="00D306AF">
        <w:t xml:space="preserve">aislaron e </w:t>
      </w:r>
      <w:r w:rsidRPr="00D306AF">
        <w:t>identificaron un total de cincuenta bacterias</w:t>
      </w:r>
      <w:r w:rsidR="009C75B6" w:rsidRPr="00D306AF">
        <w:t xml:space="preserve"> pertenecientes a 13 géneros </w:t>
      </w:r>
      <w:r w:rsidR="00DA4697" w:rsidRPr="00D306AF">
        <w:t>bacterianos.</w:t>
      </w:r>
      <w:r w:rsidRPr="00D306AF">
        <w:t xml:space="preserve"> Sin embargo, este número </w:t>
      </w:r>
      <w:r w:rsidR="00F31242" w:rsidRPr="00D306AF">
        <w:t xml:space="preserve">resultó </w:t>
      </w:r>
      <w:r w:rsidRPr="00D306AF">
        <w:t xml:space="preserve">insuficiente para realizar análisis estadísticos multivariados, ya que muchas de estas bacterias fueron encontradas </w:t>
      </w:r>
      <w:r w:rsidR="00F31242" w:rsidRPr="00D306AF">
        <w:t xml:space="preserve">una única </w:t>
      </w:r>
      <w:r w:rsidRPr="00D306AF">
        <w:t xml:space="preserve">vez. Como se puede observar en la </w:t>
      </w:r>
      <w:r w:rsidR="00283087" w:rsidRPr="00D306AF">
        <w:t>(</w:t>
      </w:r>
      <w:r w:rsidR="00CA19A2" w:rsidRPr="00D306AF">
        <w:t>Fig.</w:t>
      </w:r>
      <w:r w:rsidR="009756B1" w:rsidRPr="00D306AF">
        <w:t xml:space="preserve"> </w:t>
      </w:r>
      <w:r w:rsidR="004E065D" w:rsidRPr="00D306AF">
        <w:t>3</w:t>
      </w:r>
      <w:r w:rsidR="00283087" w:rsidRPr="00D306AF">
        <w:t>)</w:t>
      </w:r>
      <w:r w:rsidR="00F31242" w:rsidRPr="00D306AF">
        <w:t>,</w:t>
      </w:r>
      <w:r w:rsidR="00E7096A" w:rsidRPr="00D306AF">
        <w:t xml:space="preserve"> </w:t>
      </w:r>
      <w:r w:rsidR="00F50AC8" w:rsidRPr="00D306AF">
        <w:t xml:space="preserve">todos </w:t>
      </w:r>
      <w:r w:rsidR="00F31242" w:rsidRPr="00D306AF">
        <w:t xml:space="preserve">los </w:t>
      </w:r>
      <w:r w:rsidR="00F50AC8" w:rsidRPr="00D306AF">
        <w:t>géneros</w:t>
      </w:r>
      <w:r w:rsidR="00F31242" w:rsidRPr="00D306AF">
        <w:t xml:space="preserve"> identificados han sido previamente reportados</w:t>
      </w:r>
      <w:r w:rsidR="00F50AC8" w:rsidRPr="00D306AF">
        <w:t xml:space="preserve"> en suelos </w:t>
      </w:r>
      <w:r w:rsidRPr="00D306AF">
        <w:t xml:space="preserve">contaminados con hidrocarburos, </w:t>
      </w:r>
      <w:r w:rsidR="00F31242" w:rsidRPr="00D306AF">
        <w:t xml:space="preserve">predominando </w:t>
      </w:r>
      <w:r w:rsidR="00781FCA" w:rsidRPr="00D306AF">
        <w:t xml:space="preserve">bacterias </w:t>
      </w:r>
      <w:r w:rsidR="00F50AC8" w:rsidRPr="00D306AF">
        <w:t>Gram positiv</w:t>
      </w:r>
      <w:r w:rsidR="00781FCA" w:rsidRPr="00D306AF">
        <w:t>a</w:t>
      </w:r>
      <w:r w:rsidR="00F50AC8" w:rsidRPr="00D306AF">
        <w:t>s.</w:t>
      </w:r>
      <w:r w:rsidR="00A62AA2" w:rsidRPr="00D306AF">
        <w:t xml:space="preserve"> </w:t>
      </w:r>
    </w:p>
    <w:p w14:paraId="2B162D79" w14:textId="46CFD831" w:rsidR="00E0410A" w:rsidRPr="00D306AF" w:rsidRDefault="003D4665" w:rsidP="00CE2DC0">
      <w:pPr>
        <w:pStyle w:val="NormalWeb"/>
        <w:spacing w:before="0" w:beforeAutospacing="0" w:after="0" w:afterAutospacing="0" w:line="480" w:lineRule="auto"/>
        <w:jc w:val="both"/>
        <w:rPr>
          <w:strike/>
        </w:rPr>
      </w:pPr>
      <w:r w:rsidRPr="00D306AF">
        <w:t xml:space="preserve">El </w:t>
      </w:r>
      <w:r w:rsidR="00D31B86" w:rsidRPr="00D306AF">
        <w:t>E</w:t>
      </w:r>
      <w:r w:rsidRPr="00D306AF">
        <w:t xml:space="preserve">24 presentó valores promedio mayores en los sistemas control (43,3 %) en comparación con los tratamientos expuestos a corriente eléctrica (18,1 %). Sin embargo, se observó variabilidad entre estos últimos, destacándose el tratamiento B3 (43,6 %), cuyo valor fue comparable al promedio de los controles. </w:t>
      </w:r>
      <w:r w:rsidR="00E0410A" w:rsidRPr="00D306AF">
        <w:t xml:space="preserve">Por otro lado, se observó que la humedad en el </w:t>
      </w:r>
      <w:proofErr w:type="spellStart"/>
      <w:r w:rsidR="00EC16D9" w:rsidRPr="00D306AF">
        <w:rPr>
          <w:i/>
        </w:rPr>
        <w:lastRenderedPageBreak/>
        <w:t>cutting</w:t>
      </w:r>
      <w:proofErr w:type="spellEnd"/>
      <w:r w:rsidR="00EC16D9" w:rsidRPr="00D306AF">
        <w:t xml:space="preserve"> </w:t>
      </w:r>
      <w:r w:rsidR="00E0410A" w:rsidRPr="00D306AF">
        <w:t>influye positivamente en la actividad emulsificante</w:t>
      </w:r>
      <w:r w:rsidR="008A65FA" w:rsidRPr="00D306AF">
        <w:t xml:space="preserve"> (E24)</w:t>
      </w:r>
      <w:r w:rsidR="00E0410A" w:rsidRPr="00D306AF">
        <w:t>, incrementándo</w:t>
      </w:r>
      <w:r w:rsidR="009A1410" w:rsidRPr="00D306AF">
        <w:t>se</w:t>
      </w:r>
      <w:r w:rsidR="00E0410A" w:rsidRPr="00D306AF">
        <w:t xml:space="preserve"> hasta un 66,67</w:t>
      </w:r>
      <w:r w:rsidR="00244D77" w:rsidRPr="00D306AF">
        <w:t xml:space="preserve"> </w:t>
      </w:r>
      <w:r w:rsidR="00E0410A" w:rsidRPr="00D306AF">
        <w:t>% en SH</w:t>
      </w:r>
      <w:r w:rsidR="00D42127" w:rsidRPr="00D306AF">
        <w:t xml:space="preserve"> (Tabla </w:t>
      </w:r>
      <w:r w:rsidR="00DC6231" w:rsidRPr="00D306AF">
        <w:t>1</w:t>
      </w:r>
      <w:r w:rsidR="00D42127" w:rsidRPr="00D306AF">
        <w:t>)</w:t>
      </w:r>
      <w:r w:rsidR="00F13E2D" w:rsidRPr="00D306AF">
        <w:t>, y</w:t>
      </w:r>
      <w:r w:rsidR="00E0410A" w:rsidRPr="00D306AF">
        <w:t xml:space="preserve"> </w:t>
      </w:r>
      <w:r w:rsidR="00F13E2D" w:rsidRPr="00D306AF">
        <w:t>e</w:t>
      </w:r>
      <w:r w:rsidR="00673450" w:rsidRPr="00D306AF">
        <w:t>ste</w:t>
      </w:r>
      <w:r w:rsidR="007A7C2C" w:rsidRPr="00D306AF">
        <w:t xml:space="preserve"> sistema p</w:t>
      </w:r>
      <w:r w:rsidR="00673450" w:rsidRPr="00D306AF">
        <w:t>resentó</w:t>
      </w:r>
      <w:r w:rsidR="007A7C2C" w:rsidRPr="00D306AF">
        <w:t xml:space="preserve"> la mayor cantidad de bacterias en UFC/g</w:t>
      </w:r>
      <w:r w:rsidR="007A7C2C" w:rsidRPr="00D306AF">
        <w:rPr>
          <w:i/>
        </w:rPr>
        <w:t>.</w:t>
      </w:r>
      <w:r w:rsidR="007A7C2C" w:rsidRPr="00D306AF">
        <w:t xml:space="preserve"> </w:t>
      </w:r>
      <w:r w:rsidR="00E0410A" w:rsidRPr="00D306AF">
        <w:t xml:space="preserve">Mientras que la adición de nutrientes </w:t>
      </w:r>
      <w:r w:rsidR="009D568E" w:rsidRPr="00D306AF">
        <w:t xml:space="preserve">se asoció con valores más bajos de UFC/g en comparación con el tratamiento sin nutrientes </w:t>
      </w:r>
      <w:r w:rsidR="00E7096A" w:rsidRPr="00D306AF">
        <w:t>(Fig</w:t>
      </w:r>
      <w:r w:rsidR="009756B1" w:rsidRPr="00D306AF">
        <w:t xml:space="preserve">. </w:t>
      </w:r>
      <w:r w:rsidR="004E065D" w:rsidRPr="00D306AF">
        <w:t>2</w:t>
      </w:r>
      <w:r w:rsidR="00E7096A" w:rsidRPr="00D306AF">
        <w:t>)</w:t>
      </w:r>
      <w:r w:rsidR="00A62AA2" w:rsidRPr="00D306AF">
        <w:t>.</w:t>
      </w:r>
    </w:p>
    <w:p w14:paraId="0547B5CD" w14:textId="206864C7" w:rsidR="00E0410A" w:rsidRPr="00D306AF" w:rsidRDefault="00E0410A" w:rsidP="00CE2DC0">
      <w:pPr>
        <w:pStyle w:val="NormalWeb"/>
        <w:spacing w:before="0" w:beforeAutospacing="0" w:after="0" w:afterAutospacing="0" w:line="480" w:lineRule="auto"/>
        <w:jc w:val="both"/>
      </w:pPr>
      <w:r w:rsidRPr="00D306AF">
        <w:t>La composición de la comunidad bacteriana se evalu</w:t>
      </w:r>
      <w:r w:rsidR="00673450" w:rsidRPr="00D306AF">
        <w:t>ó</w:t>
      </w:r>
      <w:r w:rsidRPr="00D306AF">
        <w:t xml:space="preserve"> cualitativamente mediante PCR-DGGE ba</w:t>
      </w:r>
      <w:r w:rsidR="00D42127" w:rsidRPr="00D306AF">
        <w:t xml:space="preserve">sada en el gen 16S </w:t>
      </w:r>
      <w:proofErr w:type="spellStart"/>
      <w:r w:rsidR="00D42127" w:rsidRPr="00D306AF">
        <w:t>rRNA</w:t>
      </w:r>
      <w:proofErr w:type="spellEnd"/>
      <w:r w:rsidR="00D42127" w:rsidRPr="00D306AF">
        <w:t xml:space="preserve"> (Fig. </w:t>
      </w:r>
      <w:r w:rsidR="004E065D" w:rsidRPr="00D306AF">
        <w:t>4</w:t>
      </w:r>
      <w:r w:rsidR="00C56B5D" w:rsidRPr="00D306AF">
        <w:t>a</w:t>
      </w:r>
      <w:r w:rsidRPr="00D306AF">
        <w:t xml:space="preserve">).  Se revelaron un total de </w:t>
      </w:r>
      <w:r w:rsidR="009C75B6" w:rsidRPr="00D306AF">
        <w:t>29</w:t>
      </w:r>
      <w:r w:rsidRPr="00D306AF">
        <w:t xml:space="preserve"> bandas. Los perfiles de bacterias difirieron tanto en la presencia/ausencia como en la posición de las bandas. Se detectaron entre 9 y 18 bandas de DGGE en todas las muestras con posiciones comunes en la parte superior del gel y algunas bandas menores en la parte media del gel (Fig. </w:t>
      </w:r>
      <w:r w:rsidR="004E065D" w:rsidRPr="00D306AF">
        <w:t>4</w:t>
      </w:r>
      <w:r w:rsidR="00C56B5D" w:rsidRPr="00D306AF">
        <w:t>a</w:t>
      </w:r>
      <w:r w:rsidR="006702F5" w:rsidRPr="00D306AF">
        <w:t>). El</w:t>
      </w:r>
      <w:r w:rsidR="00244D77" w:rsidRPr="00D306AF">
        <w:t xml:space="preserve"> análisis del gel </w:t>
      </w:r>
      <w:r w:rsidR="00673450" w:rsidRPr="00D306AF">
        <w:t xml:space="preserve">incluyó </w:t>
      </w:r>
      <w:r w:rsidR="00244D77" w:rsidRPr="00D306AF">
        <w:t>nueve</w:t>
      </w:r>
      <w:r w:rsidR="00163465" w:rsidRPr="00D306AF">
        <w:t xml:space="preserve"> muestras (SN, SH, SS, B3, B2, B1, A3, A2, A1) con sus duplicados</w:t>
      </w:r>
      <w:r w:rsidR="006702F5" w:rsidRPr="00D306AF">
        <w:t xml:space="preserve">, </w:t>
      </w:r>
      <w:r w:rsidR="00673450" w:rsidRPr="00D306AF">
        <w:t>generando una matriz binaria</w:t>
      </w:r>
      <w:r w:rsidR="00163465" w:rsidRPr="00D306AF">
        <w:t xml:space="preserve"> de presencia (1) o ausencia (0) de bandas en 12 posiciones diferentes</w:t>
      </w:r>
      <w:r w:rsidR="006702F5" w:rsidRPr="00D306AF">
        <w:t xml:space="preserve"> (A-L)</w:t>
      </w:r>
      <w:r w:rsidR="00163465" w:rsidRPr="00D306AF">
        <w:t>.</w:t>
      </w:r>
      <w:r w:rsidR="006702F5" w:rsidRPr="00D306AF">
        <w:t xml:space="preserve"> </w:t>
      </w:r>
      <w:r w:rsidR="003C3731" w:rsidRPr="00D306AF">
        <w:t xml:space="preserve">Los controles SN y SH </w:t>
      </w:r>
      <w:r w:rsidR="00B63251" w:rsidRPr="00D306AF">
        <w:t>compart</w:t>
      </w:r>
      <w:r w:rsidR="00673450" w:rsidRPr="00D306AF">
        <w:t xml:space="preserve">ieron </w:t>
      </w:r>
      <w:r w:rsidR="00B63251" w:rsidRPr="00D306AF">
        <w:t>patrones</w:t>
      </w:r>
      <w:r w:rsidR="00673450" w:rsidRPr="00D306AF">
        <w:t xml:space="preserve"> similares</w:t>
      </w:r>
      <w:r w:rsidR="00B63251" w:rsidRPr="00D306AF">
        <w:t xml:space="preserve"> de banda en la mayoría de las posiciones, lo que sugiere</w:t>
      </w:r>
      <w:r w:rsidR="00CA19A2" w:rsidRPr="00D306AF">
        <w:t xml:space="preserve"> comunidades microbianas muy similares con pequeñas diferencias. Por otro lado, A1 y A3 </w:t>
      </w:r>
      <w:r w:rsidR="00B91E26" w:rsidRPr="00D306AF">
        <w:t>también</w:t>
      </w:r>
      <w:r w:rsidR="00673450" w:rsidRPr="00D306AF">
        <w:t xml:space="preserve"> mostraron </w:t>
      </w:r>
      <w:r w:rsidR="00CA19A2" w:rsidRPr="00D306AF">
        <w:t xml:space="preserve">patrones similares en muchas </w:t>
      </w:r>
      <w:r w:rsidR="00B91E26" w:rsidRPr="00D306AF">
        <w:t>posiciones, mientras</w:t>
      </w:r>
      <w:r w:rsidR="00CA19A2" w:rsidRPr="00D306AF">
        <w:t xml:space="preserve"> que A2 </w:t>
      </w:r>
      <w:r w:rsidR="003C0A9A" w:rsidRPr="00D306AF">
        <w:t xml:space="preserve">presentó </w:t>
      </w:r>
      <w:r w:rsidR="00CA19A2" w:rsidRPr="00D306AF">
        <w:t>una ligera variación con m</w:t>
      </w:r>
      <w:r w:rsidR="003C0A9A" w:rsidRPr="00D306AF">
        <w:t>ayor número de</w:t>
      </w:r>
      <w:r w:rsidR="00CA19A2" w:rsidRPr="00D306AF">
        <w:t xml:space="preserve"> bandas. </w:t>
      </w:r>
      <w:r w:rsidRPr="00D306AF">
        <w:t>El análisis de la matriz</w:t>
      </w:r>
      <w:r w:rsidR="00CA19A2" w:rsidRPr="00D306AF">
        <w:t xml:space="preserve"> y el gel</w:t>
      </w:r>
      <w:r w:rsidRPr="00D306AF">
        <w:t xml:space="preserve"> revel</w:t>
      </w:r>
      <w:r w:rsidR="003C0A9A" w:rsidRPr="00D306AF">
        <w:t>ó</w:t>
      </w:r>
      <w:r w:rsidRPr="00D306AF">
        <w:t xml:space="preserve"> que no </w:t>
      </w:r>
      <w:r w:rsidR="008D33A5" w:rsidRPr="00D306AF">
        <w:t>se observaron</w:t>
      </w:r>
      <w:r w:rsidRPr="00D306AF">
        <w:t xml:space="preserve"> diferencias </w:t>
      </w:r>
      <w:r w:rsidR="008D33A5" w:rsidRPr="00D306AF">
        <w:t xml:space="preserve">marcadas </w:t>
      </w:r>
      <w:r w:rsidRPr="00D306AF">
        <w:t>si se comparan los tratamientos de EB con y sin n</w:t>
      </w:r>
      <w:r w:rsidR="00CA19A2" w:rsidRPr="00D306AF">
        <w:t xml:space="preserve">utrientes. Se </w:t>
      </w:r>
      <w:r w:rsidR="003C0A9A" w:rsidRPr="00D306AF">
        <w:t xml:space="preserve">detectaron </w:t>
      </w:r>
      <w:r w:rsidR="00D35C54" w:rsidRPr="00D306AF">
        <w:t xml:space="preserve">dos </w:t>
      </w:r>
      <w:r w:rsidRPr="00D306AF">
        <w:t>bandas únicas en los suelos control en la parte infer</w:t>
      </w:r>
      <w:r w:rsidR="00D42127" w:rsidRPr="00D306AF">
        <w:t xml:space="preserve">ior del gel (Fig. </w:t>
      </w:r>
      <w:r w:rsidR="004E065D" w:rsidRPr="00D306AF">
        <w:t>4</w:t>
      </w:r>
      <w:r w:rsidR="00C56B5D" w:rsidRPr="00D306AF">
        <w:t>a</w:t>
      </w:r>
      <w:r w:rsidR="00163465" w:rsidRPr="00D306AF">
        <w:t xml:space="preserve">). La banda G </w:t>
      </w:r>
      <w:r w:rsidR="003C0A9A" w:rsidRPr="00D306AF">
        <w:t>fue</w:t>
      </w:r>
      <w:r w:rsidR="00163465" w:rsidRPr="00D306AF">
        <w:t xml:space="preserve"> </w:t>
      </w:r>
      <w:r w:rsidR="003C0A9A" w:rsidRPr="00D306AF">
        <w:t>exclusiva de</w:t>
      </w:r>
      <w:r w:rsidR="00163465" w:rsidRPr="00D306AF">
        <w:t xml:space="preserve"> A1</w:t>
      </w:r>
      <w:r w:rsidR="003C0A9A" w:rsidRPr="00D306AF">
        <w:t xml:space="preserve">, </w:t>
      </w:r>
      <w:r w:rsidR="00163465" w:rsidRPr="00D306AF">
        <w:t>la</w:t>
      </w:r>
      <w:r w:rsidR="003C0A9A" w:rsidRPr="00D306AF">
        <w:t xml:space="preserve"> banda</w:t>
      </w:r>
      <w:r w:rsidR="00163465" w:rsidRPr="00D306AF">
        <w:t xml:space="preserve"> J </w:t>
      </w:r>
      <w:r w:rsidR="003C0A9A" w:rsidRPr="00D306AF">
        <w:t>de</w:t>
      </w:r>
      <w:r w:rsidR="00163465" w:rsidRPr="00D306AF">
        <w:t xml:space="preserve"> SN y A2</w:t>
      </w:r>
      <w:r w:rsidRPr="00D306AF">
        <w:t xml:space="preserve">, </w:t>
      </w:r>
      <w:r w:rsidR="003C0A9A" w:rsidRPr="00D306AF">
        <w:t xml:space="preserve">y </w:t>
      </w:r>
      <w:r w:rsidRPr="00D306AF">
        <w:t>la ban</w:t>
      </w:r>
      <w:r w:rsidR="00163465" w:rsidRPr="00D306AF">
        <w:t>da K se encontró solo en SS</w:t>
      </w:r>
      <w:r w:rsidRPr="00D306AF">
        <w:t>.</w:t>
      </w:r>
      <w:r w:rsidR="00CA19A2" w:rsidRPr="00D306AF">
        <w:t xml:space="preserve"> Por otro lado, la banda A est</w:t>
      </w:r>
      <w:r w:rsidR="003C0A9A" w:rsidRPr="00D306AF">
        <w:t>uvo</w:t>
      </w:r>
      <w:r w:rsidR="00CA19A2" w:rsidRPr="00D306AF">
        <w:t xml:space="preserve"> presente en todas las muestras, </w:t>
      </w:r>
      <w:r w:rsidR="003C0A9A" w:rsidRPr="00D306AF">
        <w:t xml:space="preserve">lo que </w:t>
      </w:r>
      <w:r w:rsidR="00CA19A2" w:rsidRPr="00D306AF">
        <w:t>sugie</w:t>
      </w:r>
      <w:r w:rsidR="003C0A9A" w:rsidRPr="00D306AF">
        <w:t>re</w:t>
      </w:r>
      <w:r w:rsidR="00CA19A2" w:rsidRPr="00D306AF">
        <w:t xml:space="preserve"> </w:t>
      </w:r>
      <w:r w:rsidR="003C0A9A" w:rsidRPr="00D306AF">
        <w:t>la existencia de</w:t>
      </w:r>
      <w:r w:rsidR="00CA19A2" w:rsidRPr="00D306AF">
        <w:t xml:space="preserve"> un microorganismo común.</w:t>
      </w:r>
    </w:p>
    <w:p w14:paraId="64C0DBDB" w14:textId="26D07BB8" w:rsidR="002933FE" w:rsidRPr="00D306AF" w:rsidRDefault="005532C4" w:rsidP="00CE2DC0">
      <w:pPr>
        <w:pStyle w:val="NormalWeb"/>
        <w:spacing w:before="0" w:beforeAutospacing="0" w:line="480" w:lineRule="auto"/>
        <w:jc w:val="both"/>
      </w:pPr>
      <w:r w:rsidRPr="00D306AF">
        <w:t>El análisis de conglomerados de los perfiles reveló diferen</w:t>
      </w:r>
      <w:r w:rsidR="00974443" w:rsidRPr="00D306AF">
        <w:t>cias en las comunidades bacteria</w:t>
      </w:r>
      <w:r w:rsidR="003C0A9A" w:rsidRPr="00D306AF">
        <w:t>na</w:t>
      </w:r>
      <w:r w:rsidRPr="00D306AF">
        <w:t xml:space="preserve">s </w:t>
      </w:r>
      <w:r w:rsidR="003C0A9A" w:rsidRPr="00D306AF">
        <w:t xml:space="preserve">entre </w:t>
      </w:r>
      <w:r w:rsidR="00570E40" w:rsidRPr="00D306AF">
        <w:t xml:space="preserve">las cubas EB </w:t>
      </w:r>
      <w:r w:rsidR="00974443" w:rsidRPr="00D306AF">
        <w:t xml:space="preserve">y los controles </w:t>
      </w:r>
      <w:r w:rsidR="00570E40" w:rsidRPr="00D306AF">
        <w:t xml:space="preserve">(Fig. </w:t>
      </w:r>
      <w:r w:rsidR="004E065D" w:rsidRPr="00D306AF">
        <w:t>4</w:t>
      </w:r>
      <w:r w:rsidR="00C56B5D" w:rsidRPr="00D306AF">
        <w:t>b</w:t>
      </w:r>
      <w:r w:rsidRPr="00D306AF">
        <w:t xml:space="preserve">). </w:t>
      </w:r>
      <w:r w:rsidR="00974443" w:rsidRPr="00D306AF">
        <w:t xml:space="preserve"> Se </w:t>
      </w:r>
      <w:r w:rsidR="002933FE" w:rsidRPr="00D306AF">
        <w:t>identificar</w:t>
      </w:r>
      <w:r w:rsidR="003C0A9A" w:rsidRPr="00D306AF">
        <w:t>on</w:t>
      </w:r>
      <w:r w:rsidR="002933FE" w:rsidRPr="00D306AF">
        <w:t xml:space="preserve"> </w:t>
      </w:r>
      <w:r w:rsidR="004E065D" w:rsidRPr="00D306AF">
        <w:t>dos clústeres</w:t>
      </w:r>
      <w:r w:rsidR="0081725E" w:rsidRPr="00D306AF">
        <w:t xml:space="preserve"> </w:t>
      </w:r>
      <w:r w:rsidR="002933FE" w:rsidRPr="00D306AF">
        <w:lastRenderedPageBreak/>
        <w:t>principales:</w:t>
      </w:r>
      <w:r w:rsidR="00974443" w:rsidRPr="00D306AF">
        <w:t xml:space="preserve"> el primero conformado por SN y SH</w:t>
      </w:r>
      <w:r w:rsidR="002933FE" w:rsidRPr="00D306AF">
        <w:t xml:space="preserve">, </w:t>
      </w:r>
      <w:r w:rsidR="003C0A9A" w:rsidRPr="00D306AF">
        <w:t xml:space="preserve">y </w:t>
      </w:r>
      <w:r w:rsidR="002933FE" w:rsidRPr="00D306AF">
        <w:t xml:space="preserve">el segundo </w:t>
      </w:r>
      <w:r w:rsidR="006C4019" w:rsidRPr="00D306AF">
        <w:t>clúster</w:t>
      </w:r>
      <w:r w:rsidR="002933FE" w:rsidRPr="00D306AF">
        <w:t xml:space="preserve"> </w:t>
      </w:r>
      <w:r w:rsidR="003C0A9A" w:rsidRPr="00D306AF">
        <w:t xml:space="preserve">de mayor tamaño </w:t>
      </w:r>
      <w:r w:rsidR="002933FE" w:rsidRPr="00D306AF">
        <w:t>divid</w:t>
      </w:r>
      <w:r w:rsidR="003C0A9A" w:rsidRPr="00D306AF">
        <w:t>ido</w:t>
      </w:r>
      <w:r w:rsidR="002933FE" w:rsidRPr="00D306AF">
        <w:t xml:space="preserve"> en </w:t>
      </w:r>
      <w:r w:rsidR="00974443" w:rsidRPr="00D306AF">
        <w:t>dos subgrupos internos</w:t>
      </w:r>
      <w:r w:rsidR="002933FE" w:rsidRPr="00D306AF">
        <w:t>. El primer subgrupo incluy</w:t>
      </w:r>
      <w:r w:rsidR="003C0A9A" w:rsidRPr="00D306AF">
        <w:t>ó</w:t>
      </w:r>
      <w:r w:rsidR="002933FE" w:rsidRPr="00D306AF">
        <w:t xml:space="preserve"> a</w:t>
      </w:r>
      <w:r w:rsidR="00974443" w:rsidRPr="00D306AF">
        <w:t xml:space="preserve"> </w:t>
      </w:r>
      <w:r w:rsidR="00163465" w:rsidRPr="00D306AF">
        <w:t>SS, B3, A3</w:t>
      </w:r>
      <w:r w:rsidR="00974443" w:rsidRPr="00D306AF">
        <w:t xml:space="preserve"> y </w:t>
      </w:r>
      <w:r w:rsidR="00163465" w:rsidRPr="00D306AF">
        <w:t>A</w:t>
      </w:r>
      <w:r w:rsidR="00974443" w:rsidRPr="00D306AF">
        <w:t xml:space="preserve">1, </w:t>
      </w:r>
      <w:r w:rsidR="002933FE" w:rsidRPr="00D306AF">
        <w:t xml:space="preserve">mientras que </w:t>
      </w:r>
      <w:r w:rsidR="00974443" w:rsidRPr="00D306AF">
        <w:t xml:space="preserve">el segundo </w:t>
      </w:r>
      <w:r w:rsidR="002933FE" w:rsidRPr="00D306AF">
        <w:t xml:space="preserve">subgrupo se </w:t>
      </w:r>
      <w:r w:rsidR="003C0A9A" w:rsidRPr="00D306AF">
        <w:t>conformó</w:t>
      </w:r>
      <w:r w:rsidR="002933FE" w:rsidRPr="00D306AF">
        <w:t xml:space="preserve"> por </w:t>
      </w:r>
      <w:r w:rsidR="00163465" w:rsidRPr="00D306AF">
        <w:t>B</w:t>
      </w:r>
      <w:r w:rsidR="008D33A5" w:rsidRPr="00D306AF">
        <w:t>1</w:t>
      </w:r>
      <w:r w:rsidR="00974443" w:rsidRPr="00D306AF">
        <w:t xml:space="preserve">, </w:t>
      </w:r>
      <w:r w:rsidR="00163465" w:rsidRPr="00D306AF">
        <w:t>A2</w:t>
      </w:r>
      <w:r w:rsidR="00974443" w:rsidRPr="00D306AF">
        <w:t xml:space="preserve"> y B2. </w:t>
      </w:r>
      <w:r w:rsidRPr="00D306AF">
        <w:t xml:space="preserve">El análisis mostró una estrecha correlación de los perfiles de la DGGE entre </w:t>
      </w:r>
      <w:r w:rsidR="00D026C8" w:rsidRPr="00D306AF">
        <w:t xml:space="preserve">SN y SH, </w:t>
      </w:r>
      <w:r w:rsidR="003C0A9A" w:rsidRPr="00D306AF">
        <w:t xml:space="preserve">con un coeficiente </w:t>
      </w:r>
      <w:r w:rsidR="00D026C8" w:rsidRPr="00D306AF">
        <w:t>de similitud de Jaccard cerca</w:t>
      </w:r>
      <w:r w:rsidR="003C0A9A" w:rsidRPr="00D306AF">
        <w:t>no a</w:t>
      </w:r>
      <w:r w:rsidR="00D026C8" w:rsidRPr="00D306AF">
        <w:t xml:space="preserve"> 0</w:t>
      </w:r>
      <w:r w:rsidR="00244D77" w:rsidRPr="00D306AF">
        <w:t>,</w:t>
      </w:r>
      <w:r w:rsidR="005F686C" w:rsidRPr="00D306AF">
        <w:t>8</w:t>
      </w:r>
      <w:r w:rsidR="00D026C8" w:rsidRPr="00D306AF">
        <w:t xml:space="preserve">. </w:t>
      </w:r>
      <w:r w:rsidR="002933FE" w:rsidRPr="00D306AF">
        <w:t xml:space="preserve">Las muestras de los subgrupos </w:t>
      </w:r>
      <w:r w:rsidR="00E41193" w:rsidRPr="00D306AF">
        <w:t>presentaron niveles intermedios de</w:t>
      </w:r>
      <w:r w:rsidR="00D026C8" w:rsidRPr="00D306AF">
        <w:t xml:space="preserve"> similitud</w:t>
      </w:r>
      <w:r w:rsidR="00E41193" w:rsidRPr="00D306AF">
        <w:t>.</w:t>
      </w:r>
      <w:r w:rsidR="00D026C8" w:rsidRPr="00D306AF">
        <w:t xml:space="preserve"> </w:t>
      </w:r>
    </w:p>
    <w:p w14:paraId="659C1CA0" w14:textId="4BFC3885" w:rsidR="00FE62AA" w:rsidRPr="00D306AF" w:rsidRDefault="00330820" w:rsidP="00171EEA">
      <w:pPr>
        <w:pStyle w:val="NormalWeb"/>
        <w:spacing w:line="480" w:lineRule="auto"/>
        <w:rPr>
          <w:b/>
        </w:rPr>
      </w:pPr>
      <w:r w:rsidRPr="00D306AF">
        <w:rPr>
          <w:b/>
        </w:rPr>
        <w:t>DISCUSIÓN</w:t>
      </w:r>
    </w:p>
    <w:p w14:paraId="552BFD0D" w14:textId="77777777" w:rsidR="00081865" w:rsidRPr="00D306AF" w:rsidRDefault="00081865" w:rsidP="002B4DEB">
      <w:pPr>
        <w:spacing w:after="240" w:line="480" w:lineRule="auto"/>
        <w:jc w:val="both"/>
        <w:rPr>
          <w:b/>
        </w:rPr>
      </w:pPr>
      <w:r w:rsidRPr="00D306AF">
        <w:rPr>
          <w:b/>
        </w:rPr>
        <w:t>Efecto del campo eléctrico y los nutrientes en la degradación de HAP</w:t>
      </w:r>
    </w:p>
    <w:p w14:paraId="6334AB9E" w14:textId="466D3E2F" w:rsidR="00081865" w:rsidRPr="00D306AF" w:rsidRDefault="00B06FD7" w:rsidP="00CE2DC0">
      <w:pPr>
        <w:spacing w:line="480" w:lineRule="auto"/>
        <w:jc w:val="both"/>
      </w:pPr>
      <w:r w:rsidRPr="00D306AF">
        <w:t xml:space="preserve">Los resultados obtenidos </w:t>
      </w:r>
      <w:r w:rsidR="00EC16D9" w:rsidRPr="00D306AF">
        <w:t>evidenci</w:t>
      </w:r>
      <w:r w:rsidRPr="00D306AF">
        <w:t>a</w:t>
      </w:r>
      <w:r w:rsidR="009C1266" w:rsidRPr="00D306AF">
        <w:t>ro</w:t>
      </w:r>
      <w:r w:rsidRPr="00D306AF">
        <w:t>n que la aplicación de EB favoreció la degradación</w:t>
      </w:r>
      <w:r w:rsidR="0008602E" w:rsidRPr="00D306AF">
        <w:t xml:space="preserve"> </w:t>
      </w:r>
      <w:r w:rsidR="00B332F3" w:rsidRPr="00D306AF">
        <w:t xml:space="preserve">de los </w:t>
      </w:r>
      <w:r w:rsidR="007D4F8C" w:rsidRPr="00D306AF">
        <w:t xml:space="preserve">HAP </w:t>
      </w:r>
      <w:r w:rsidR="0008602E" w:rsidRPr="00D306AF">
        <w:t xml:space="preserve">en ambas cubas, </w:t>
      </w:r>
      <w:r w:rsidRPr="00D306AF">
        <w:t>con mayor eficiencia en</w:t>
      </w:r>
      <w:r w:rsidR="0008602E" w:rsidRPr="00D306AF">
        <w:t xml:space="preserve"> la </w:t>
      </w:r>
      <w:r w:rsidR="00460894" w:rsidRPr="00D306AF">
        <w:t>c</w:t>
      </w:r>
      <w:r w:rsidR="0008602E" w:rsidRPr="00D306AF">
        <w:t xml:space="preserve">uba B, donde la adición de nutrientes </w:t>
      </w:r>
      <w:r w:rsidRPr="00D306AF">
        <w:t xml:space="preserve">podría haber </w:t>
      </w:r>
      <w:r w:rsidR="0008602E" w:rsidRPr="00D306AF">
        <w:t>increment</w:t>
      </w:r>
      <w:r w:rsidRPr="00D306AF">
        <w:t>ad</w:t>
      </w:r>
      <w:r w:rsidR="0008602E" w:rsidRPr="00D306AF">
        <w:t>o</w:t>
      </w:r>
      <w:r w:rsidR="00D9217A" w:rsidRPr="00D306AF">
        <w:t xml:space="preserve"> la eficiencia del proceso</w:t>
      </w:r>
      <w:r w:rsidR="000A7BD7" w:rsidRPr="00D306AF">
        <w:t>.</w:t>
      </w:r>
      <w:r w:rsidR="00CC6606" w:rsidRPr="00D306AF">
        <w:t xml:space="preserve"> </w:t>
      </w:r>
      <w:r w:rsidRPr="00D306AF">
        <w:t xml:space="preserve">La mayor remoción en este sistema coincide </w:t>
      </w:r>
      <w:r w:rsidR="00D9217A" w:rsidRPr="00D306AF">
        <w:t>con estudios previos</w:t>
      </w:r>
      <w:r w:rsidRPr="00D306AF">
        <w:t xml:space="preserve"> </w:t>
      </w:r>
      <w:r w:rsidRPr="00D306AF">
        <w:fldChar w:fldCharType="begin"/>
      </w:r>
      <w:r w:rsidR="00CB0CE4" w:rsidRPr="00D306AF">
        <w:instrText xml:space="preserve"> ADDIN ZOTERO_ITEM CSL_CITATION {"citationID":"VkCdhwxg","properties":{"unsorted":false,"formattedCitation":"(Crognale et\\uc0\\u160{}al., 2020; Li et\\uc0\\u160{}al., 2020)","plainCitation":"(Crognale et al., 2020; Li et al., 2020)","noteIndex":0},"citationItems":[{"id":34,"uris":["http://zotero.org/users/local/fvn0idRM/items/WL233YSM"],"itemData":{"id":34,"type":"article-journal","abstract":"This study focused on the remediation of a chronically diesel-polluted soil by combining an electrokinetic treatment with a variety of bioremediation approaches. Priority within the sequential treatment was given to electrokinetic remediation (EKR) since the application of natural attenuation (NA), biostimulation and site-specific bio-augmentation resulted in very low degradation performance for total petroleum hydrocarbons (TPH) and polycyclic hydrocarbons (PAH). The application of 20-day EKR (1.0 V cm−1 with polarity reversal) led to 47.2 % and 46.2 % removal of TPH and PAH, respectively, and exerted a negative impact on bacterial abundance, as determined indirectly by quantitative PCR of 16S rRNA genes and community function, as investigated by community-level physiological profiling. These adverse effects were transient and, after a 50-day NA treatment applied downstream from EKR, bacterial abundance was an order of magnitude higher than that found in the initial soil and TPH and PAH removals were significantly higher than those attained by EKR (64.1 % and 56.3 %, respectively). The combination of EKR with site-specific bioaugmentation led to the greatest TPH and PAH degradation (76.0 % and 78.6 %, respectively). The results indicate that bioremediation can be successfully applied downstream from EKR and that the adverse effects exerted by this physico-chemical approach on soil microbiota are reversible.","container-title":"New Biotechnology","DOI":"10.1016/j.nbt.2020.04.002","ISSN":"1871-6784","journalAbbreviation":"New Biotechnology","page":"38-44","source":"ScienceDirect","title":"Development of laboratory-scale sequential electrokinetic and biological treatment of chronically hydrocarbon-impacted soils","volume":"58","author":[{"family":"Crognale","given":"Silvia"},{"family":"Cocarta","given":"Diana Mariana"},{"family":"Streche","given":"Constantin"},{"family":"D’Annibale","given":"Alessandro"}],"issued":{"date-parts":[["2020",9,25]]}}},{"id":19,"uris":["http://zotero.org/users/local/fvn0idRM/items/LM6FG3U4"],"itemData":{"id":19,"type":"article-journal","abstract":"This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schema":"https://github.com/citation-style-language/schema/raw/master/csl-citation.json"} </w:instrText>
      </w:r>
      <w:r w:rsidRPr="00D306AF">
        <w:fldChar w:fldCharType="separate"/>
      </w:r>
      <w:r w:rsidR="00CB0CE4" w:rsidRPr="00D306AF">
        <w:t>(Crognale et al., 2020; Li et al., 2020)</w:t>
      </w:r>
      <w:r w:rsidRPr="00D306AF">
        <w:fldChar w:fldCharType="end"/>
      </w:r>
      <w:r w:rsidRPr="00D306AF">
        <w:t>.</w:t>
      </w:r>
      <w:r w:rsidR="00D9217A" w:rsidRPr="00D306AF">
        <w:t xml:space="preserve"> </w:t>
      </w:r>
      <w:r w:rsidRPr="00D306AF">
        <w:t>Asimismo, e</w:t>
      </w:r>
      <w:r w:rsidR="00D9217A" w:rsidRPr="00D306AF">
        <w:t xml:space="preserve">l mayor grado de degradación se registró en el sitio B3, </w:t>
      </w:r>
      <w:r w:rsidR="00DA4809" w:rsidRPr="00D306AF">
        <w:t xml:space="preserve">uno de los sitios cercanos a los electrodos, </w:t>
      </w:r>
      <w:r w:rsidRPr="00D306AF">
        <w:t xml:space="preserve">lo que sugiere que el campo </w:t>
      </w:r>
      <w:r w:rsidR="00081865" w:rsidRPr="00D306AF">
        <w:t>eléctrico</w:t>
      </w:r>
      <w:r w:rsidRPr="00D306AF">
        <w:t xml:space="preserve"> </w:t>
      </w:r>
      <w:r w:rsidR="009C1266" w:rsidRPr="00D306AF">
        <w:t xml:space="preserve">habría </w:t>
      </w:r>
      <w:r w:rsidRPr="00D306AF">
        <w:t>contribu</w:t>
      </w:r>
      <w:r w:rsidR="009C1266" w:rsidRPr="00D306AF">
        <w:t xml:space="preserve">ido </w:t>
      </w:r>
      <w:r w:rsidRPr="00D306AF">
        <w:t xml:space="preserve">a mejorar las condiciones </w:t>
      </w:r>
      <w:r w:rsidR="009C1266" w:rsidRPr="00D306AF">
        <w:t>para la</w:t>
      </w:r>
      <w:r w:rsidRPr="00D306AF">
        <w:t xml:space="preserve"> degradación del contaminante. </w:t>
      </w:r>
    </w:p>
    <w:p w14:paraId="1B4A03FD" w14:textId="5B4FC7C4" w:rsidR="00460894" w:rsidRPr="00D306AF" w:rsidRDefault="009C1266" w:rsidP="00CE2DC0">
      <w:pPr>
        <w:spacing w:line="480" w:lineRule="auto"/>
        <w:jc w:val="both"/>
      </w:pPr>
      <w:r w:rsidRPr="00D306AF">
        <w:t>S</w:t>
      </w:r>
      <w:r w:rsidR="00460894" w:rsidRPr="00D306AF">
        <w:t>i bien la mayor degradación de HAP se registró en los sitios cercanos a los electrodos, los puntos centrales de ambas cubas presentaron niveles de remoción comparables</w:t>
      </w:r>
      <w:r w:rsidRPr="00D306AF">
        <w:t xml:space="preserve"> respecto de las concentraciones iniciales</w:t>
      </w:r>
      <w:r w:rsidR="00460894" w:rsidRPr="00D306AF">
        <w:t>. Este comportamiento podría estar asociado a la acumulación de iones monovalentes, como sodio y nitrato, en las zonas centrales, lo que habría incrementado la conductividad eléctrica y favorecido la movilidad iónica dentro del sistema</w:t>
      </w:r>
      <w:r w:rsidR="00707D12" w:rsidRPr="00D306AF">
        <w:t xml:space="preserve"> </w:t>
      </w:r>
      <w:r w:rsidR="00707D12" w:rsidRPr="00D306AF">
        <w:fldChar w:fldCharType="begin"/>
      </w:r>
      <w:r w:rsidR="00CB0CE4" w:rsidRPr="00D306AF">
        <w:instrText xml:space="preserve"> ADDIN ZOTERO_ITEM CSL_CITATION {"citationID":"AvkUnINV","properties":{"unsorted":false,"formattedCitation":"(Sparks et\\uc0\\u160{}al., 2022)","plainCitation":"(Sparks et al., 2022)","noteIndex":0},"citationItems":[{"id":39,"uris":["http://zotero.org/users/local/fvn0idRM/items/LYA5H55J"],"itemData":{"id":39,"type":"book","abstract":"Environmental Soil Chemistry, Third Edition provides an up-to-date overview of the interdisciplinary field of environmental soil chemistry. This classic text covers the fundamental principles of soil chemistry, including the inorganic and organic components of soil, soil porewater chemistry, interfacial chemical reactions between solids and dissolved ions/molecules, ion exchange, and the kinetics of the soil chemical process, such as sorption and redox. Soil acidity and salinity are also discussed. This fully updated third edition places particular emphasis on environmental reactions between clay minerals, metal oxides, and soil organic matter with heavy metals, pesticides, and industrial contaminants. This text provides the latest technological advances representing the cutting edge of the science. Completely updated throughout with new content and updated full color figures, the third edition contains expanded information on soil minerals and an increased emphasis on the coupling between chemical and biological reactions, mechanisms, and processes. This third edition provides upper-level undergraduate and graduate students in soil science with sound contemporary training in the basics of soil chemistry and applications to real-world environmental concerns. The book offers a competitive advantage for those students looking to incorporate novel, advanced tools into their research. - Includes problem sets in each chapter for enhanced learning and comprehension - Emphasizes soil organic carbon reactions with clay minerals and metal oxides, including examples from advanced spectromicroscopic techniques - Features revised content highlighting the role of soils in environmental and ecosystem services - Presents new material on advances in surface complexation modeling - Delivers concise summaries of research using state-of-the art techniques - Highlights advances in understanding reactions at mineral-water interfaces, including adsorption, dissolution, and surface precipitation - Offers a new online course supplement for instructors","ISBN":"978-0-443-14035-8","language":"en","note":"Google-Books-ID: GOqjEAAAQBAJ","number-of-pages":"465","publisher":"Elsevier","source":"Google Books","title":"Environmental Soil Chemistry","author":[{"family":"Sparks","given":"Donald L."},{"family":"Singh","given":"Balwant"},{"family":"Siebecker","given":"Matthew G."}],"issued":{"date-parts":[["2022",12,23]]}}}],"schema":"https://github.com/citation-style-language/schema/raw/master/csl-citation.json"} </w:instrText>
      </w:r>
      <w:r w:rsidR="00707D12" w:rsidRPr="00D306AF">
        <w:fldChar w:fldCharType="separate"/>
      </w:r>
      <w:r w:rsidR="00CB0CE4" w:rsidRPr="00D306AF">
        <w:t>(Sparks et al., 2022)</w:t>
      </w:r>
      <w:r w:rsidR="00707D12" w:rsidRPr="00D306AF">
        <w:fldChar w:fldCharType="end"/>
      </w:r>
      <w:r w:rsidR="00707D12" w:rsidRPr="00D306AF">
        <w:t>.</w:t>
      </w:r>
      <w:r w:rsidR="00460894" w:rsidRPr="00D306AF">
        <w:t xml:space="preserve"> Además de su rol en la conductividad, estos iones actúan como </w:t>
      </w:r>
      <w:r w:rsidR="00460894" w:rsidRPr="00D306AF">
        <w:lastRenderedPageBreak/>
        <w:t>nutrientes esenciales para la población bacteriana. La disponibilidad adecuada de nutrientes es determinante para sostener un metabolismo microbiano eficiente y, en consecuencia, la biodegradación de hidrocarburos</w:t>
      </w:r>
      <w:r w:rsidR="007B1687" w:rsidRPr="00D306AF">
        <w:t xml:space="preserve"> </w:t>
      </w:r>
      <w:r w:rsidR="00707D12" w:rsidRPr="00D306AF">
        <w:fldChar w:fldCharType="begin"/>
      </w:r>
      <w:r w:rsidR="00CB0CE4" w:rsidRPr="00D306AF">
        <w:instrText xml:space="preserve"> ADDIN ZOTERO_ITEM CSL_CITATION {"citationID":"6xMKQ7oZ","properties":{"unsorted":false,"formattedCitation":"(Al-Hawash et\\uc0\\u160{}al., 2018; Varjani et\\uc0\\u160{}al., 2021)","plainCitation":"(Al-Hawash et al., 2018; Varjani et al., 2021)","noteIndex":0},"citationItems":[{"id":11,"uris":["http://zotero.org/users/local/fvn0idRM/items/WS4HPBBF"],"itemData":{"id":11,"type":"article-journal","abstract":"Petroleum hydrocarbons (PHs) are a big group of chemicals that have caused a major concern because of their widespread distribution into the environment, bioaccumulation potential, harmful effects and biodegradation resistance. Soil and water pollution is mainly attributed to hydrocarbons from oil refineries, petrochemical industries, human activities and other sources. The mechanisms and factors that affect biodegradation should be further understood because the choice of bioremediation technique depends on them. This review described fungal PHs degradation, emphasized the relevant physicochemical and biological factors, and discussed the enzymatic systems influencing PHs biodegradation.","container-title":"Egyptian Journal of Aquatic Research","DOI":"10.1016/j.ejar.2018.06.001","ISSN":"1687-4285","issue":"2","journalAbbreviation":"Egyptian Journal of Aquatic Research","page":"71-76","source":"ScienceDirect","title":"Principles of microbial degradation of petroleum hydrocarbons in the environment","volume":"44","author":[{"family":"Al-Hawash","given":"Adnan B."},{"family":"Dragh","given":"Maytham A."},{"family":"Li","given":"Shue"},{"family":"Alhujaily","given":"Ahmad"},{"family":"Abbood","given":"Hayder A."},{"family":"Zhang","given":"Xiaoyu"},{"family":"Ma","given":"Fuying"}],"issued":{"date-parts":[["2018",6,1]]}}},{"id":37,"uris":["http://zotero.org/users/local/fvn0idRM/items/6NZBD9C9"],"itemData":{"id":37,"type":"article-journal","abstract":"Petroleum sludge has been reported as noteworthy hazardous solid waste generated from industrial activities of petroleum sector. Environment friendly and economically sound treatment of petroleum sludge has attracted global attention worldwide and has become a thrust area of research. Petroleum sludge bioremediation is gaining interest of researchers globally to clean pollutants from soil ecosystems. To date of submission of the work there is no literature available reporting comparing five approaches for remediation of agricultural soil polluted with petroleum sludge employing hydrocarbon utilizing bacterial consortium (HUBC). Further studies on toxicity were performed through pot experiments using Vigna radiata. The aim of this research work was to compare capability of five approaches for remediating petroleum sludge polluted agricultural soil by employing soil microcosms. Best results were obtained when simultaneous application of HUBC and nutrients was performed in microcosm. Highest decrease (93.14 ± 1.75%) of petroleum sludge with sufficient count of hydrocarbon utilizers and decreased nutrients in 42 days was reported. Quality improvement of petroleum sludge contaminated agricultural soil after its bioremediation was performed by pot experiments by checking germination of V. radiata seeds. 85.71% germination of seeds in 5 days was noted for treated soil. Thus, HUBC can be applied as a bioremediating consortium to reclaim petroleum sludge polluted soil.","container-title":"Science of The Total Environment","DOI":"10.1016/j.scitotenv.2020.142934","ISSN":"0048-9697","journalAbbreviation":"Science of The Total Environment","page":"142934","source":"ScienceDirect","title":"Petroleum sludge polluted soil remediation: Integrated approach involving novel bacterial consortium and nutrient application","title-short":"Petroleum sludge polluted soil remediation","volume":"763","author":[{"family":"Varjani","given":"Sunita"},{"family":"Pandey","given":"Ashok"},{"family":"Upasani","given":"Vivek N."}],"issued":{"date-parts":[["2021",4,1]]}}}],"schema":"https://github.com/citation-style-language/schema/raw/master/csl-citation.json"} </w:instrText>
      </w:r>
      <w:r w:rsidR="00707D12" w:rsidRPr="00D306AF">
        <w:fldChar w:fldCharType="separate"/>
      </w:r>
      <w:r w:rsidR="00CB0CE4" w:rsidRPr="00D306AF">
        <w:t>(Al-Hawash et al., 2018; Varjani et al., 2021)</w:t>
      </w:r>
      <w:r w:rsidR="00707D12" w:rsidRPr="00D306AF">
        <w:fldChar w:fldCharType="end"/>
      </w:r>
      <w:r w:rsidR="00707D12" w:rsidRPr="00D306AF">
        <w:t>.</w:t>
      </w:r>
      <w:r w:rsidR="00460894" w:rsidRPr="00D306AF">
        <w:t xml:space="preserve"> Si bien los hidrocarburos aportan carbono como fuente energética </w:t>
      </w:r>
      <w:r w:rsidR="00C44E52" w:rsidRPr="00D306AF">
        <w:fldChar w:fldCharType="begin"/>
      </w:r>
      <w:r w:rsidR="00CB0CE4" w:rsidRPr="00D306AF">
        <w:instrText xml:space="preserve"> ADDIN ZOTERO_ITEM CSL_CITATION {"citationID":"f7km3hfr","properties":{"unsorted":false,"formattedCitation":"(Imron et\\uc0\\u160{}al., 2020)","plainCitation":"(Imron et al., 2020)","noteIndex":0},"citationItems":[{"id":43,"uris":["http://zotero.org/users/local/fvn0idRM/items/2457VLN9"],"itemData":{"id":43,"type":"article-journal","abstract":"Diesel contamination is becoming a global concern especially for the marine environment. Several techniques have been applied to clean up this pollution, but most of them are not environmentally friendly. Biodegradation provides an environmentally friendly, effective and affordable technological solution for treating diesel contamination and to remove toxic hydrocarbons from contaminated environments. Discussion on diesel characteristics, environmental and health effects, the efficiency of biodegradation by bacteria, advantages, and limitations of diesel biodegradation from past and current researches are intensively discussed in this paper. Factors affecting diesel biodegradation including oxygen availability, salinity level, pH, diesel bioavailability, temperature, nutrient availability and bacterial species are comprehensively elaborated. This paper presents intercorrelated discussion of bacterial species and diesel bioavailability as the major factor that affect the biodegradation performance. In addition, some potential bacterial species which are proven to be effective in diesel biodegradation are highlighted in this review paper. This paper also provides a discussion of the forthcoming prospects of diesel biodegradation in various contaminated environments related to the possibility of anaerobic biodegradation, selection of superior bacteria and the interfere of specific bacterial enzyme in diesel biodegradation.","container-title":"Journal of Cleaner Production","DOI":"10.1016/j.jclepro.2019.119716","ISSN":"0959-6526","journalAbbreviation":"Journal of Cleaner Production","page":"119716","source":"ScienceDirect","title":"Future challenges in diesel biodegradation by bacteria isolates: A review","title-short":"Future challenges in diesel biodegradation by bacteria isolates","volume":"251","author":[{"family":"Imron","given":"Muhammad Fauzul"},{"family":"Kurniawan","given":"Setyo Budi"},{"family":"Ismail","given":"Nur ‘Izzati"},{"family":"Abdullah","given":"Siti Rozaimah Sheikh"}],"issued":{"date-parts":[["2020",4,1]]}}}],"schema":"https://github.com/citation-style-language/schema/raw/master/csl-citation.json"} </w:instrText>
      </w:r>
      <w:r w:rsidR="00C44E52" w:rsidRPr="00D306AF">
        <w:fldChar w:fldCharType="separate"/>
      </w:r>
      <w:r w:rsidR="00CB0CE4" w:rsidRPr="00D306AF">
        <w:t>(Imron et al., 2020)</w:t>
      </w:r>
      <w:r w:rsidR="00C44E52" w:rsidRPr="00D306AF">
        <w:fldChar w:fldCharType="end"/>
      </w:r>
      <w:r w:rsidR="00460894" w:rsidRPr="00D306AF">
        <w:t>, la limitación de nitrógeno y fósforo puede restringir el crecimiento microbiano en suelos contaminados</w:t>
      </w:r>
      <w:r w:rsidR="007B1687" w:rsidRPr="00D306AF">
        <w:t xml:space="preserve"> </w:t>
      </w:r>
      <w:r w:rsidR="00C44E52" w:rsidRPr="00D306AF">
        <w:fldChar w:fldCharType="begin"/>
      </w:r>
      <w:r w:rsidR="00CB0CE4" w:rsidRPr="00D306AF">
        <w:instrText xml:space="preserve"> ADDIN ZOTERO_ITEM CSL_CITATION {"citationID":"9XQcVB3H","properties":{"unsorted":false,"formattedCitation":"(Kwon et\\uc0\\u160{}al., 2023)","plainCitation":"(Kwon et al., 2023)","noteIndex":0},"citationItems":[{"id":41,"uris":["http://zotero.org/users/local/fvn0idRM/items/5A96L72H"],"itemData":{"id":41,"type":"article-journal","abstract":"Remediation of persistent organic pollutants in soil especially total petroleum hydrocarbon (TPH) is of global concern due to its toxicity and health implications. Soil flushing has been considered a promising technique among in-situ technologies for treating non-volatile TPH-contaminated soils because it weakens the interaction between hydrocarbons and soil particles to enhance pollutant mobilization efficiency. It is still challenging to optimize the soil flushing treatment because the overall efficacy significantly depends on the environmental characteristics of the subsurface. Advanced soil flushing strategies (e.g., integrating with oxidation, air sparging, and nanoparticles) and novel flushing solutions are discussed to overcome the limitations of the existing process during the remediation of soil systems contaminated with recalcitrant TPH. The flushed-out toxic chemicals comprise a large amount of waste solution, creating another pollutant. The present review summarizes the enhanced soil flushing techniques, and critically discusses their advantages and disadvantages, and addresses follow-up remediation of the generated wash solution containing toxic substances for its safe discharge. Fundamental information on soil flushing is discussed to overcome the challenges encountered during field application such as poor efficiency, high operating cost, and a large amount of generated secondary wastewater.","container-title":"Reviews in Environmental Science and Bio/Technology","DOI":"10.1007/s11157-023-09657-0","ISSN":"1572-9826","issue":"3","journalAbbreviation":"Rev Environ Sci Biotechnol","language":"en","page":"679-714","source":"Springer Link","title":"Recent advancement in enhanced soil flushing for remediation of petroleum hydrocarbon-contaminated soil: a state-of-the-art review","title-short":"Recent advancement in enhanced soil flushing for remediation of petroleum hydrocarbon-contaminated soil","volume":"22","author":[{"family":"Kwon","given":"Ju-Hyeok"},{"family":"Ji","given":"Min-Kyu"},{"family":"Kumar","given":"Ramesh"},{"family":"Islam","given":"Md. Monjurul"},{"family":"Khan","given":"Moonis Ali"},{"family":"Park","given":"Young-Kwon"},{"family":"Yadav","given":"Krishna Kumar"},{"family":"Vaziri","given":"Roozbeh"},{"family":"Hwang","given":"Jae-Hoon"},{"family":"Lee","given":"Woo Hyoung"},{"family":"Ahn","given":"Yong-Tae"},{"family":"Jeon","given":"Byong-Hun"}],"issued":{"date-parts":[["2023",9,1]]}}}],"schema":"https://github.com/citation-style-language/schema/raw/master/csl-citation.json"} </w:instrText>
      </w:r>
      <w:r w:rsidR="00C44E52" w:rsidRPr="00D306AF">
        <w:fldChar w:fldCharType="separate"/>
      </w:r>
      <w:r w:rsidR="00CB0CE4" w:rsidRPr="00D306AF">
        <w:t>(Kwon et al., 2023)</w:t>
      </w:r>
      <w:r w:rsidR="00C44E52" w:rsidRPr="00D306AF">
        <w:fldChar w:fldCharType="end"/>
      </w:r>
      <w:r w:rsidR="00460894" w:rsidRPr="00D306AF">
        <w:t>.</w:t>
      </w:r>
      <w:r w:rsidR="00C44E52" w:rsidRPr="00D306AF">
        <w:t xml:space="preserve"> </w:t>
      </w:r>
      <w:r w:rsidR="00460894" w:rsidRPr="00D306AF">
        <w:t>En este estudio, la relación C:N:P empleada (100:1:0,1) habría contribuido a mantener un equilibrio nutricional adecuado, evitando tanto deficiencias como efectos inhibitorios asociados a concentraciones excesivas de nutrientes</w:t>
      </w:r>
      <w:r w:rsidR="00C44E52" w:rsidRPr="00D306AF">
        <w:t xml:space="preserve"> </w:t>
      </w:r>
      <w:r w:rsidR="00C44E52" w:rsidRPr="00D306AF">
        <w:fldChar w:fldCharType="begin"/>
      </w:r>
      <w:r w:rsidR="00CB0CE4" w:rsidRPr="00D306AF">
        <w:instrText xml:space="preserve"> ADDIN ZOTERO_ITEM CSL_CITATION {"citationID":"GI6Wyv8R","properties":{"unsorted":false,"formattedCitation":"(Al-Hawash et\\uc0\\u160{}al., 2018)","plainCitation":"(Al-Hawash et al., 2018)","noteIndex":0},"citationItems":[{"id":11,"uris":["http://zotero.org/users/local/fvn0idRM/items/WS4HPBBF"],"itemData":{"id":11,"type":"article-journal","abstract":"Petroleum hydrocarbons (PHs) are a big group of chemicals that have caused a major concern because of their widespread distribution into the environment, bioaccumulation potential, harmful effects and biodegradation resistance. Soil and water pollution is mainly attributed to hydrocarbons from oil refineries, petrochemical industries, human activities and other sources. The mechanisms and factors that affect biodegradation should be further understood because the choice of bioremediation technique depends on them. This review described fungal PHs degradation, emphasized the relevant physicochemical and biological factors, and discussed the enzymatic systems influencing PHs biodegradation.","container-title":"Egyptian Journal of Aquatic Research","DOI":"10.1016/j.ejar.2018.06.001","ISSN":"1687-4285","issue":"2","journalAbbreviation":"Egyptian Journal of Aquatic Research","page":"71-76","source":"ScienceDirect","title":"Principles of microbial degradation of petroleum hydrocarbons in the environment","volume":"44","author":[{"family":"Al-Hawash","given":"Adnan B."},{"family":"Dragh","given":"Maytham A."},{"family":"Li","given":"Shue"},{"family":"Alhujaily","given":"Ahmad"},{"family":"Abbood","given":"Hayder A."},{"family":"Zhang","given":"Xiaoyu"},{"family":"Ma","given":"Fuying"}],"issued":{"date-parts":[["2018",6,1]]}}}],"schema":"https://github.com/citation-style-language/schema/raw/master/csl-citation.json"} </w:instrText>
      </w:r>
      <w:r w:rsidR="00C44E52" w:rsidRPr="00D306AF">
        <w:fldChar w:fldCharType="separate"/>
      </w:r>
      <w:r w:rsidR="00CB0CE4" w:rsidRPr="00D306AF">
        <w:t>(Al-Hawash et al., 2018)</w:t>
      </w:r>
      <w:r w:rsidR="00C44E52" w:rsidRPr="00D306AF">
        <w:fldChar w:fldCharType="end"/>
      </w:r>
      <w:r w:rsidR="00C44E52" w:rsidRPr="00D306AF">
        <w:t>.</w:t>
      </w:r>
    </w:p>
    <w:p w14:paraId="0215DF2C" w14:textId="02DE06C0" w:rsidR="00081865" w:rsidRPr="00D306AF" w:rsidRDefault="00081865" w:rsidP="00CE2DC0">
      <w:pPr>
        <w:spacing w:line="480" w:lineRule="auto"/>
        <w:jc w:val="both"/>
      </w:pPr>
      <w:r w:rsidRPr="00D306AF">
        <w:t>Uno de los factores que limita el proceso de biorremediación es la biodisponibilidad de HAP de alto peso molecular dada su baja solubilidad acuosa y su estabilidad por la disposición de los anillos</w:t>
      </w:r>
      <w:r w:rsidR="00C44E52" w:rsidRPr="00D306AF">
        <w:t xml:space="preserve"> </w:t>
      </w:r>
      <w:r w:rsidR="00C44E52" w:rsidRPr="00D306AF">
        <w:fldChar w:fldCharType="begin"/>
      </w:r>
      <w:r w:rsidR="00CB0CE4" w:rsidRPr="00D306AF">
        <w:instrText xml:space="preserve"> ADDIN ZOTERO_ITEM CSL_CITATION {"citationID":"ihGEn9Eo","properties":{"unsorted":false,"formattedCitation":"(Patel et\\uc0\\u160{}al., 2020; Zainal et\\uc0\\u160{}al., 2022)","plainCitation":"(Patel et al., 2020; Zainal et al., 2022)","noteIndex":0},"citationItems":[{"id":103,"uris":["http://zotero.org/users/local/fvn0idRM/items/JDB5RE3D"],"itemData":{"id":103,"type":"article-journal","abstract":"Polycyclic aromatic hydrocarbons (PAHs) are wide-spread across the globe, mainly due to long-term anthropogenic sources of pollution. The inherent properties of PAHs such as hetero-cyclic aromatic ring structures, hydrophobicity and thermostability have made them recalcitrant and highly persistent in the environment. PAH pollutants have been determined to be highly toxic, mutagenic, carcinogenic, teratogenic and immunotoxicogenic to various life forms. Therefore, this review discusses the primary sources of PAHs emissions, exposure routes and their toxic effects on humans, in particular. This review briefly summarizes the physical and chemical PAH remediation approaches such as membrane filtration, soil washing, adsorption, electrokinetic, thermal, oxidation and photocatalytic treatments. This review provides a detailed systematic compilation of the eco-friendly biological treatment solutions for remediation of PAHs such as microbial remediation approaches using bacteria, archaea, fungi, algae and co-cultures. In situ and ex-situ biological treatments such as land farming, biostimulation, bioaugmentation, phytoremediation, bioreactor vermiremediation approaches are discussed in detail and a summary of the factors affecting and limiting PAH bioremediation are also discussed. An overview of newly emerging technologies employing multi-process combinatorial treatment approaches and newer concepts on generation of value-added by products during PAH remediation is highlighted in this review.","container-title":"Frontiers in Microbiology","DOI":"10.3389/fmicb.2020.562813","ISSN":"1664-302X","journalAbbreviation":"Front. Microbiol.","language":"English","publisher":"Frontiers","source":"Frontiers","title":"Polycyclic Aromatic Hydrocarbons: Sources, Toxicity, and Remediation Approaches","title-short":"Polycyclic Aromatic Hydrocarbons","URL":"https://www.frontiersin.org/journals/microbiology/articles/10.3389/fmicb.2020.562813/full","volume":"11","author":[{"family":"Patel","given":"Avani Bharatkumar"},{"family":"Shaikh","given":"Shabnam"},{"family":"Jain","given":"Kunal R."},{"family":"Desai","given":"Chirayu"},{"family":"Madamwar","given":"Datta"}],"accessed":{"date-parts":[["2026",2,21]]},"issued":{"date-parts":[["2020",11,5]]}}},{"id":82,"uris":["http://zotero.org/users/local/fvn0idRM/items/WC7QT3CI"],"itemData":{"id":82,"type":"article-journal","abstract":"The past several decades have seen increasing concern regarding the wide distribution of polycyclic aromatic hydrocarbons (PAHs) in environmental matrices. Primary toxicological data show PAHs’ persistent characteristics and possible toxicity effects. Because of this pressing global issue, electroanalytical methods have been introduced. These methods are effective for PAH determination in environmental waters, even outclassing sophisticated analytical techniques such as chromatography, conventional spectrophotometry, fluorescence, and capillary electrophoresis. Herein, the literature published on PAHs is reviewed and discussed with special regard to PAH occurrence. Moreover, the recent developments in electrochemical sensors for PAH determination and the challenges and future outlooks in this field, are also presented.","container-title":"Critical Reviews in Analytical Chemistry","DOI":"10.1080/10408347.2020.1839736","ISSN":"1040-8347","issue":"4","note":"_eprint: https://doi.org/10.1080/10408347.2020.1839736","page":"878-896","PMID":"33155481","publisher":"Taylor &amp; Francis","source":"Taylor and Francis+NEJM","title":"Polycyclic Aromatic Hydrocarbons: Occurrence, Electroanalysis, Challenges, and Future Outlooks","title-short":"Polycyclic Aromatic Hydrocarbons","volume":"52","author":[{"family":"Zainal","given":"Putri Nur Syafieqah"},{"family":"Alang Ahmad","given":"Shahrul Ainliah"},{"family":"Abdul Aziz","given":"Siti Fatimah Nur"},{"family":"Rosly","given":"Nor Zida"}],"issued":{"date-parts":[["2022",5,19]]}}}],"schema":"https://github.com/citation-style-language/schema/raw/master/csl-citation.json"} </w:instrText>
      </w:r>
      <w:r w:rsidR="00C44E52" w:rsidRPr="00D306AF">
        <w:fldChar w:fldCharType="separate"/>
      </w:r>
      <w:r w:rsidR="00CB0CE4" w:rsidRPr="00D306AF">
        <w:t>(Patel et al., 2020; Zainal et al., 2022)</w:t>
      </w:r>
      <w:r w:rsidR="00C44E52" w:rsidRPr="00D306AF">
        <w:fldChar w:fldCharType="end"/>
      </w:r>
      <w:r w:rsidRPr="00D306AF">
        <w:t>.</w:t>
      </w:r>
      <w:r w:rsidR="00143115" w:rsidRPr="00143115">
        <w:t xml:space="preserve"> </w:t>
      </w:r>
      <w:r w:rsidR="00143115" w:rsidRPr="00865E8B">
        <w:t>La biodisponibilidad de los HAP está determinada por sus propiedades fisicoquímicas y por las características del suelo,</w:t>
      </w:r>
      <w:r w:rsidR="00F17A03" w:rsidRPr="00865E8B">
        <w:t xml:space="preserve"> siendo factores que influyen en la</w:t>
      </w:r>
      <w:r w:rsidR="00143115" w:rsidRPr="00865E8B">
        <w:t xml:space="preserve"> transformación microbiana (Bala et al., 2022). En este contexto, el campo eléctrico puede aumentar su biodisponibilidad y favorecer su interacción con </w:t>
      </w:r>
      <w:r w:rsidR="00F17A03" w:rsidRPr="00865E8B">
        <w:t xml:space="preserve">las </w:t>
      </w:r>
      <w:r w:rsidR="00143115" w:rsidRPr="00865E8B">
        <w:t>bacterias (</w:t>
      </w:r>
      <w:proofErr w:type="spellStart"/>
      <w:r w:rsidR="00143115" w:rsidRPr="00865E8B">
        <w:t>Saxena</w:t>
      </w:r>
      <w:proofErr w:type="spellEnd"/>
      <w:r w:rsidR="00143115" w:rsidRPr="00865E8B">
        <w:t xml:space="preserve"> et al., 2020; </w:t>
      </w:r>
      <w:proofErr w:type="spellStart"/>
      <w:r w:rsidR="00143115" w:rsidRPr="00865E8B">
        <w:t>Chunyan</w:t>
      </w:r>
      <w:proofErr w:type="spellEnd"/>
      <w:r w:rsidR="00143115" w:rsidRPr="00865E8B">
        <w:t xml:space="preserve"> et al., 2023).  </w:t>
      </w:r>
      <w:r w:rsidRPr="00D306AF">
        <w:t>Esto podría ex</w:t>
      </w:r>
      <w:r w:rsidR="001968EC" w:rsidRPr="00D306AF">
        <w:t xml:space="preserve">plicar los mayores porcentajes </w:t>
      </w:r>
      <w:r w:rsidRPr="00D306AF">
        <w:t xml:space="preserve">de remoción observados en los sistemas sometidos a corriente eléctrica respecto de los controles.  </w:t>
      </w:r>
    </w:p>
    <w:p w14:paraId="1790C8D1" w14:textId="68FC671D" w:rsidR="00081865" w:rsidRPr="00D306AF" w:rsidRDefault="008B2D6C" w:rsidP="00E8401D">
      <w:pPr>
        <w:spacing w:line="480" w:lineRule="auto"/>
        <w:jc w:val="both"/>
      </w:pPr>
      <w:r w:rsidRPr="00D306AF">
        <w:t>La adición de nutrientes en la cuba B probablemente contribuy</w:t>
      </w:r>
      <w:r w:rsidR="00E54EFD" w:rsidRPr="00D306AF">
        <w:t>ó</w:t>
      </w:r>
      <w:r w:rsidRPr="00D306AF">
        <w:t xml:space="preserve"> a mejorar la biodegradación. Diversos estudios indican que el nitrato y el amonio tienen la capacidad de acelerar la tasa de disipación de los HAP en suelos contaminados, </w:t>
      </w:r>
      <w:r w:rsidR="00872DBC" w:rsidRPr="00D306AF">
        <w:t>actuar</w:t>
      </w:r>
      <w:r w:rsidRPr="00D306AF">
        <w:t xml:space="preserve"> como aceptor</w:t>
      </w:r>
      <w:r w:rsidR="007B1687" w:rsidRPr="00D306AF">
        <w:t>es</w:t>
      </w:r>
      <w:r w:rsidRPr="00D306AF">
        <w:t xml:space="preserve"> de electrones y   favorecer el crecimiento y la reproducción microbiana</w:t>
      </w:r>
      <w:r w:rsidR="00872DBC" w:rsidRPr="00D306AF">
        <w:t xml:space="preserve"> </w:t>
      </w:r>
      <w:r w:rsidRPr="00D306AF">
        <w:fldChar w:fldCharType="begin"/>
      </w:r>
      <w:r w:rsidR="0085512D" w:rsidRPr="00D306AF">
        <w:instrText xml:space="preserve"> ADDIN ZOTERO_ITEM CSL_CITATION {"citationID":"95D1ox1h","properties":{"unsorted":false,"formattedCitation":"(Dhar et\\uc0\\u160{}al., 2020; Premnath et\\uc0\\u160{}al., 2021; Wang y Guo, 2023)","plainCitation":"(Dhar et al., 2020; Premnath et al., 2021; Wang y Guo, 2023)","noteIndex":0},"citationItems":[{"id":79,"uris":["http://zotero.org/users/local/fvn0idRM/items/ESC5ZAX6"],"itemData":{"id":79,"type":"chapter","abstract":"Polycyclic aromatic hydrocarbons (PAHs) are a class of hazardous organic contaminants that are widely distributed in nature, and many of them are potentially toxic to humans and other living organisms. Biodegradation is the major route of detoxification and removal of PAHs from the environment. Aerobic biodegradation of PAHs has been the subject of extensive research; however, reports on anaerobic biodegradation of PAHs are so far limited. Microbial degradation of PAHs under anaerobic conditions is difficult because of the slow growth rate of anaerobes and low energy yield in the metabolic processes. Despite the limitations, some anaerobic bacteria degrade PAHs under nitrate-reducing, sulfate-reducing, iron-reducing, and methanogenic conditions. Anaerobic biodegradation, though relatively slow, is a significant process of natural attenuation of PAHs from the impacted anoxic environments such as sediments, subsurface soils, and aquifers. This review is intended to provide comprehensive details on microbial degradation of PAHs under various reducing conditions, to describe the degradation mechanisms, and to identify the areas that should receive due attention in further investigations.","container-title":"Reviews of Environmental Contamination and Toxicology","DOI":"10.1007/398_2019_29","ISBN":"978-3-030-27149-7","language":"en","page":"25-108","publisher":"Springer International Publishing","publisher-place":"Cham","source":"Springer Link","title":"Anaerobic Microbial Degradation of Polycyclic Aromatic Hydrocarbons: A Comprehensive Review","title-short":"Anaerobic Microbial Degradation of Polycyclic Aromatic Hydrocarbons","URL":"https://doi.org/10.1007/398_2019_29","volume":"251","author":[{"family":"Dhar","given":"Kartik"},{"family":"Subashchandrabose","given":"Suresh R."},{"family":"Venkateswarlu","given":"Kadiyala"},{"family":"Krishnan","given":"Kannan"},{"family":"Megharaj","given":"Mallavarapu"}],"editor":[{"family":"Voogt","given":"Pim","non-dropping-particle":"de"}],"accessed":{"date-parts":[["2026",2,18]]},"issued":{"date-parts":[["2020"]]}}},{"id":73,"uris":["http://zotero.org/users/local/fvn0idRM/items/CDQVDYTZ"],"itemData":{"id":73,"type":"article-journal","abstract":"Extracellular Polymeric Substances (EPS) influenced Poly Cyclic Aromatic Hydrocarbons (PAHs) degrading Klebsiella pneumoniae was isolated from the marine environment. To increase the EPS production by Klebsiella pneumoniae, several physicochemical parameters were tweaked such as different carbon sources (arabinose, glucose, glycerol, lactose, lactic acid, mannitol, sodium acetate, starch, and sucrose at 20 g/L), nitrogen sources (ammonium chloride, ammonium sulphate, glycine, potassium nitrate, protease peptone and urea at 2 g/L), different pH, carbon/nitrogen ratio, temperature, and salt concentration were examined. Maximum EPS growth and biodegradation of Anthracene (74.31%), Acenaphthene (67.28%), Fluorene (62.48%), Naphthalene (57.84%), and mixed PAHs (55.85%) were obtained using optimized conditions such as glucose (10 g/L) as carbon source, potassium nitrate (2 g/L) as the nitrogen source at pH 8, growth temperature of 37 °C, 3% NaCl concentration and 72 h incubation period. The Klebsiella pneumoniae biofilm architecture was studied by confocal laser scanning microscopy (CLSM) and scanning electron microscope (SEM). The present study demonstrates the EPS influenced PAHs degradation of Klebsiella pneumoniae.","container-title":"Environmental Pollution","DOI":"10.1016/j.envpol.2020.116035","ISSN":"0269-7491","journalAbbreviation":"Environmental Pollution","page":"116035","source":"ScienceDirect","title":"Effect of C/N substrates for enhanced extracellular polymeric substances (EPS) production and Poly Cyclic Aromatic Hydrocarbons (PAHs) degradation","volume":"275","author":[{"family":"Premnath","given":"N."},{"family":"Mohanrasu","given":"K."},{"family":"Guru Raj Rao","given":"R."},{"family":"Dinesh","given":"G. H."},{"family":"Siva Prakash","given":"G."},{"family":"Pugazhendhi","given":"Arivalagan"},{"family":"Jeyakanthan","given":"J."},{"family":"Govarthanan","given":"Muthusamy"},{"family":"Kumar","given":"Ponnuchamy"},{"family":"Arun","given":"A."}],"issued":{"date-parts":[["2021",4,15]]}}},{"id":31,"uris":["http://zotero.org/users/local/fvn0idRM/items/B8JS2FTU"],"itemData":{"id":31,"type":"article-journal","abstract":"Soil organic carbon (SOC) potentially interacts with microbial metabolism and may affect the degradation of petroleum-derived carbon (PDC) in the electro-bioremediation of petroleum-contaminated soil. This study evaluated the interactions among organic carbon, soil properties, and microbial communities to explore the role of SOC during the electro-bioremediation process. The results showed that petroleum degradation exerted superposition and synergistic electrokinetic and bioremediation effects, as exemplified by the EB and EB-PR tests, owing to the maintenance and enhancement of SOC utilization (P/S value), respectively. The highest P/S value (2.0–2.4) was found in the electrochemical oxidation zone due to low SOC consumption. In the biological oxidation zones, electric stimulation enhanced the degradation of PDC and SOC, with higher average P/S values than those of the Bio test. Soil pH, Eh, inorganic ions, and bioavailable petroleum fractions were the main factors reshaping the microbial communities. SOC metabolism effectively buffered the stress of environmental factors and pollutants while maintaining functional bacterial abundance, microbial alpha diversity, and community similarity, thus saving the weakened PDC biodegradation efficiency in the EB and EB-PR tests. The study of the effect of SOC metabolism on petroleum biodegradation contributes to the development of sustainable low-carbon electro-bioremediation technology.","container-title":"Journal of Hazardous Materials","DOI":"10.1016/j.jhazmat.2023.132180","ISSN":"0304-3894","journalAbbreviation":"Journal of Hazardous Materials","page":"132180","source":"ScienceDirect","title":"Effects of soil organic carbon metabolism on electro-bioremediation of petroleum-contaminated soil","volume":"459","author":[{"family":"Wang","given":"Sa"},{"family":"Guo","given":"Shuhai"}],"issued":{"date-parts":[["2023",10,5]]}}}],"schema":"https://github.com/citation-style-language/schema/raw/master/csl-citation.json"} </w:instrText>
      </w:r>
      <w:r w:rsidRPr="00D306AF">
        <w:fldChar w:fldCharType="separate"/>
      </w:r>
      <w:r w:rsidR="00CB0CE4" w:rsidRPr="00D306AF">
        <w:t>(Dhar et al., 2020; Premnath et al., 2021; Wang y Guo, 2023)</w:t>
      </w:r>
      <w:r w:rsidRPr="00D306AF">
        <w:fldChar w:fldCharType="end"/>
      </w:r>
      <w:r w:rsidRPr="00D306AF">
        <w:t>.</w:t>
      </w:r>
      <w:r w:rsidR="00E8401D" w:rsidRPr="00D306AF">
        <w:t xml:space="preserve"> </w:t>
      </w:r>
      <w:r w:rsidR="000A7BD7" w:rsidRPr="00D306AF">
        <w:t xml:space="preserve">Aunque el análisis estadístico no evidenció diferencias </w:t>
      </w:r>
      <w:r w:rsidR="000A7BD7" w:rsidRPr="00D306AF">
        <w:lastRenderedPageBreak/>
        <w:t xml:space="preserve">significativas entre tratamientos, </w:t>
      </w:r>
      <w:r w:rsidR="00A71351" w:rsidRPr="00D306AF">
        <w:t xml:space="preserve">es </w:t>
      </w:r>
      <w:r w:rsidR="007B1687" w:rsidRPr="00D306AF">
        <w:t xml:space="preserve">posiblemente debido al </w:t>
      </w:r>
      <w:r w:rsidR="000A7BD7" w:rsidRPr="00D306AF">
        <w:t xml:space="preserve">tamaño muestral, </w:t>
      </w:r>
      <w:r w:rsidR="0066507D" w:rsidRPr="00D306AF">
        <w:t xml:space="preserve">y </w:t>
      </w:r>
      <w:r w:rsidR="000A7BD7" w:rsidRPr="00D306AF">
        <w:t xml:space="preserve">la tendencia observada sugiere un efecto favorable de la </w:t>
      </w:r>
      <w:proofErr w:type="spellStart"/>
      <w:r w:rsidR="000A7BD7" w:rsidRPr="00D306AF">
        <w:t>bioestimulación</w:t>
      </w:r>
      <w:proofErr w:type="spellEnd"/>
      <w:r w:rsidR="000A7BD7" w:rsidRPr="00D306AF">
        <w:t>, por adición de nutrientes</w:t>
      </w:r>
      <w:r w:rsidR="00A9718C" w:rsidRPr="00D306AF">
        <w:t xml:space="preserve"> </w:t>
      </w:r>
      <w:r w:rsidR="000A7BD7" w:rsidRPr="00D306AF">
        <w:t>que debe interpretarse con cautela.</w:t>
      </w:r>
    </w:p>
    <w:p w14:paraId="4EE4751F" w14:textId="3E642CC3" w:rsidR="0048392E" w:rsidRPr="00D306AF" w:rsidRDefault="008B2D6C" w:rsidP="00CE2DC0">
      <w:pPr>
        <w:spacing w:line="480" w:lineRule="auto"/>
        <w:jc w:val="both"/>
      </w:pPr>
      <w:r w:rsidRPr="00D306AF">
        <w:t xml:space="preserve">La biodisponibilidad </w:t>
      </w:r>
      <w:r w:rsidR="00A9718C" w:rsidRPr="00D306AF">
        <w:t xml:space="preserve">también </w:t>
      </w:r>
      <w:r w:rsidRPr="00D306AF">
        <w:t xml:space="preserve">puede mejorarse mediante el uso de surfactantes </w:t>
      </w:r>
      <w:r w:rsidRPr="00D306AF">
        <w:fldChar w:fldCharType="begin"/>
      </w:r>
      <w:r w:rsidR="00CB0CE4" w:rsidRPr="00D306AF">
        <w:instrText xml:space="preserve"> ADDIN ZOTERO_ITEM CSL_CITATION {"citationID":"if1eixwy","properties":{"unsorted":false,"formattedCitation":"(Sam et\\uc0\\u160{}al., 2023)","plainCitation":"(Sam et al., 2023)","noteIndex":0},"citationItems":[{"id":51,"uris":["http://zotero.org/users/local/fvn0idRM/items/5D5VGI58"],"itemData":{"id":51,"type":"article-journal","abstract":"Remediation of polluted environmental media is critical to realization of the goals of the United Nations Decade on Ecosystem Restoration (UNDER) project. Many natural-resource dependent economies in Africa are characterized by numerous contaminated sites resulting from conventional and artisanal natural-resource mining. Alongside these extractive activities, there are refining, processing, and power plant operations, agriculture, urban, and infrastructure developments that contribute to increased discharges of toxins into the environment, particularly polycyclic aromatic hydrocarbons (PAHs), which are carcinogenic in nature. As a result, human and environmental receptors (i.e., air, water, soil, and biota) face increasing risk of exposure to higher concentrations of PAH. Evidence exists of widespread PAH contamination and in some instances where corrective action has been taken, residual contaminant levels exceeding regulatory thresholds remain in the environment due to the use of inappropriate and unsustainable remedial methods. Considering the long-term harmful effects of PAH on human and ecosystem health, land use, and the complexity of Africa’s environmental deterioration, it is essential to explore remediation strategies that benefit both the environment and the economy. This review examined the status, opportunities, and challenges related to the application of emerging green technologies to remediate PAH-contaminated sites in five African countries (South Africa, Nigeria, Angola, Egypt, and Kenya). This paper concludes that bioremediation presents a sustainable option, considering its low net emissions and environmental footprints, and its low economic cost to Africa’s poor communities and overburdened economy. However, an integration of biological and physico-chemical approaches could address various compounds and concentrations of PAH contamination.","container-title":"Environmental Science and Pollution Research","DOI":"10.1007/s11356-023-25833-9","ISSN":"1614-7499","issue":"14","journalAbbreviation":"Environ Sci Pollut Res","language":"en","page":"39451-39473","source":"Springer Link","title":"Prospects of emerging PAH sources and remediation technologies: insights from Africa","title-short":"Prospects of emerging PAH sources and remediation technologies","volume":"30","author":[{"family":"Sam","given":"Kabari"},{"family":"Onyena","given":"Amarachi P."},{"family":"Zabbey","given":"Nenibarini"},{"family":"Odoh","given":"Chuks K."},{"family":"Nwipie","given":"Goodluck N."},{"family":"Nkeeh","given":"Dumbari K."},{"family":"Osuji","given":"Leo C."},{"family":"Little","given":"David I."}],"issued":{"date-parts":[["2023",3,1]]}}}],"schema":"https://github.com/citation-style-language/schema/raw/master/csl-citation.json"} </w:instrText>
      </w:r>
      <w:r w:rsidRPr="00D306AF">
        <w:fldChar w:fldCharType="separate"/>
      </w:r>
      <w:r w:rsidR="00CB0CE4" w:rsidRPr="00D306AF">
        <w:t>(Sam et al., 2023)</w:t>
      </w:r>
      <w:r w:rsidRPr="00D306AF">
        <w:fldChar w:fldCharType="end"/>
      </w:r>
      <w:r w:rsidR="00A9718C" w:rsidRPr="00D306AF">
        <w:t>,</w:t>
      </w:r>
      <w:r w:rsidRPr="00D306AF">
        <w:t xml:space="preserve"> por lo que resulta relevante el estudio de organismos productores de </w:t>
      </w:r>
      <w:proofErr w:type="spellStart"/>
      <w:r w:rsidRPr="00D306AF">
        <w:t>biosurfactantes</w:t>
      </w:r>
      <w:proofErr w:type="spellEnd"/>
      <w:r w:rsidRPr="00D306AF">
        <w:t xml:space="preserve"> (bacterias y hongos) y compuestos tensioactivos</w:t>
      </w:r>
      <w:r w:rsidR="00A9718C" w:rsidRPr="00D306AF">
        <w:t xml:space="preserve"> </w:t>
      </w:r>
      <w:r w:rsidR="00C44E52" w:rsidRPr="00D306AF">
        <w:fldChar w:fldCharType="begin"/>
      </w:r>
      <w:r w:rsidR="00CB0CE4" w:rsidRPr="00D306AF">
        <w:instrText xml:space="preserve"> ADDIN ZOTERO_ITEM CSL_CITATION {"citationID":"puOaXAZV","properties":{"unsorted":false,"formattedCitation":"(Decesaro et\\uc0\\u160{}al., 2021; Nikolova y Gutierrez, 2021)","plainCitation":"(Decesaro et al., 2021; Nikolova y Gutierrez, 2021)","noteIndex":0},"citationItems":[{"id":105,"uris":["http://zotero.org/users/local/fvn0idRM/items/KDWDC4ZZ"],"itemData":{"id":105,"type":"article-journal","abstract":"The contamination of soils by oily compounds has several environmental impacts, which can be reversed through bioremediation, using biosurfactants as auxiliaries in the biodegradation process. In this study, we aimed to perform ex situ bioremediation of biodiesel-contaminated soil using biosurfactants produced by Bacillus methylotrophicus. A crude biosurfactant was produced in a whey-based culture medium supplemented with nutrients and was later added to biodiesel-contaminated clayey soil. The produced lipopeptide biosurfactant could reduce the surface tension of the fermentation broth to 30.2 mN/m. An increase in the microbial population was observed in the contaminated soil; this finding can be corroborated by the finding of increased CO2 release over days of bioremediation. Compared with natural attenuation, the addition of a lower concentration of the biosurfactant (0.5% w/w in relation to the mass of diesel oil) to the soil increased biodiesel removal by about 16% after 90 days. The added biosurfactant did not affect the retention of the contaminant in the soil, which is an important factor to be considered when applying in situ bioremediation technologies.","container-title":"Biodegradation","DOI":"10.1007/s10532-021-09944-z","ISSN":"1572-9729","issue":"4","journalAbbreviation":"Biodegradation","language":"en","page":"389-401","source":"Springer Link","title":"Bacterial biosurfactant increases ex situ biodiesel bioremediation in clayey soil","volume":"32","author":[{"family":"Decesaro","given":"Andressa"},{"family":"Rempel","given":"Alan"},{"family":"Machado","given":"Thaís Strieder"},{"family":"Cappellaro","given":"Ângela Carolina"},{"family":"Machado","given":"Bruna Strieder"},{"family":"Cechin","given":"Iziquiel"},{"family":"Thomé","given":"Antônio"},{"family":"Colla","given":"Luciane Maria"}],"issued":{"date-parts":[["2021",8,1]]}}},{"id":107,"uris":["http://zotero.org/users/local/fvn0idRM/items/CIMAKVZ8"],"itemData":{"id":107,"type":"article-journal","abstract":"Surfactants are a group of amphiphilic chemical compounds (i.e. having both hydrophobic and hydrophilic domains) that form an indispensable component in almost every sector of modern industry. Their significance is evidenced from the enormous volumes that are used and wide diversity of applications they are used in, ranging from food and beverage, agriculture, public health, healthcare/medicine, textiles and bioremediation. A major drive in recent decades has been toward the discovery of surfactants from biological/natural sources – namely bio-surfactants – as most surfactants that are used today for industrial applications are synthetically-manufactured via organo-chemical synthesis using petrochemicals as precursors. This is problematic, not only because they are derived from non-renewable resources, but also because of their environmental incompatibility and potential toxicological effects to humans and other organisms. This is timely as one of today’s key challenges is to reduce our reliance on fossil fuels (oil, coal, gas) and to move toward using renewable and sustainable sources. Considering the enormous genetic diversity that microorganisms possess, they offer considerable promise in producing novel types of biosurfactants for replacing those that are produced from organo-chemical synthesis, and the marine environment offers enormous potential in this respect. In this review, we begin with an overview of the different types of microbial-produced biosurfactants and their applications, and then dedicate the remainder of this review to discussing the current state of knowledge and trends in the usage of biosurfactants by the Oil &amp; Gas industry for enhancing oil recovery from exhausted oil fields and as dispersants for combatting oil spills.","container-title":"Frontiers in Bioengineering and Biotechnology","DOI":"10.3389/fbioe.2021.626639","ISSN":"2296-4185","journalAbbreviation":"Front. Bioeng. Biotechnol.","language":"English","publisher":"Frontiers","source":"Frontiers","title":"Biosurfactants and Their Applications in the Oil and Gas Industry: Current State of Knowledge and Future Perspectives","title-short":"Biosurfactants and Their Applications in the Oil and Gas Industry","URL":"https://www.frontiersin.org/journals/bioengineering-and-biotechnology/articles/10.3389/fbioe.2021.626639/full","volume":"9","author":[{"family":"Nikolova","given":"Christina"},{"family":"Gutierrez","given":"Tony"}],"accessed":{"date-parts":[["2026",2,21]]},"issued":{"date-parts":[["2021",2,15]]}}}],"schema":"https://github.com/citation-style-language/schema/raw/master/csl-citation.json"} </w:instrText>
      </w:r>
      <w:r w:rsidR="00C44E52" w:rsidRPr="00D306AF">
        <w:fldChar w:fldCharType="separate"/>
      </w:r>
      <w:r w:rsidR="00CB0CE4" w:rsidRPr="00D306AF">
        <w:t>(Decesaro et al., 2021; Nikolova y Gutierrez, 2021)</w:t>
      </w:r>
      <w:r w:rsidR="00C44E52" w:rsidRPr="00D306AF">
        <w:fldChar w:fldCharType="end"/>
      </w:r>
      <w:r w:rsidR="00C44E52" w:rsidRPr="00D306AF">
        <w:t>.</w:t>
      </w:r>
      <w:r w:rsidRPr="00D306AF">
        <w:t xml:space="preserve"> </w:t>
      </w:r>
      <w:r w:rsidR="00A9718C" w:rsidRPr="00D306AF">
        <w:t>N</w:t>
      </w:r>
      <w:r w:rsidR="0048392E" w:rsidRPr="00D306AF">
        <w:t xml:space="preserve">umerosas bacterias Gram negativas, como especies del género </w:t>
      </w:r>
      <w:r w:rsidR="0048392E" w:rsidRPr="00D306AF">
        <w:rPr>
          <w:i/>
        </w:rPr>
        <w:t>Pseudomonas,</w:t>
      </w:r>
      <w:r w:rsidR="0048392E" w:rsidRPr="00D306AF">
        <w:t xml:space="preserve"> han sido ampliamente reportadas por su capacidad de producir </w:t>
      </w:r>
      <w:proofErr w:type="spellStart"/>
      <w:r w:rsidR="0048392E" w:rsidRPr="00D306AF">
        <w:t>biosurfactantes</w:t>
      </w:r>
      <w:proofErr w:type="spellEnd"/>
      <w:r w:rsidR="0048392E" w:rsidRPr="00D306AF">
        <w:t xml:space="preserve">, como </w:t>
      </w:r>
      <w:proofErr w:type="spellStart"/>
      <w:r w:rsidR="0048392E" w:rsidRPr="00D306AF">
        <w:t>ramnolípidos</w:t>
      </w:r>
      <w:proofErr w:type="spellEnd"/>
      <w:r w:rsidR="0048392E" w:rsidRPr="00D306AF">
        <w:t xml:space="preserve">, </w:t>
      </w:r>
      <w:r w:rsidR="00A9718C" w:rsidRPr="00D306AF">
        <w:t xml:space="preserve">mientras que </w:t>
      </w:r>
      <w:r w:rsidR="0048392E" w:rsidRPr="00D306AF">
        <w:t xml:space="preserve">bacterias Gram positivas, particularmente del género </w:t>
      </w:r>
      <w:proofErr w:type="spellStart"/>
      <w:r w:rsidR="0048392E" w:rsidRPr="00D306AF">
        <w:rPr>
          <w:i/>
        </w:rPr>
        <w:t>Bacillus</w:t>
      </w:r>
      <w:proofErr w:type="spellEnd"/>
      <w:r w:rsidR="0048392E" w:rsidRPr="00D306AF">
        <w:t xml:space="preserve">, presentan una reconocida capacidad para sintetizar </w:t>
      </w:r>
      <w:proofErr w:type="spellStart"/>
      <w:r w:rsidR="0048392E" w:rsidRPr="00D306AF">
        <w:t>lipop</w:t>
      </w:r>
      <w:r w:rsidR="00E54EFD" w:rsidRPr="00D306AF">
        <w:t>é</w:t>
      </w:r>
      <w:r w:rsidR="0048392E" w:rsidRPr="00D306AF">
        <w:t>ptidos</w:t>
      </w:r>
      <w:proofErr w:type="spellEnd"/>
      <w:r w:rsidR="0048392E" w:rsidRPr="00D306AF">
        <w:t xml:space="preserve"> como </w:t>
      </w:r>
      <w:proofErr w:type="spellStart"/>
      <w:r w:rsidR="0048392E" w:rsidRPr="00D306AF">
        <w:t>surfactinas</w:t>
      </w:r>
      <w:proofErr w:type="spellEnd"/>
      <w:r w:rsidR="0048392E" w:rsidRPr="00D306AF">
        <w:t xml:space="preserve"> y </w:t>
      </w:r>
      <w:proofErr w:type="spellStart"/>
      <w:r w:rsidR="0048392E" w:rsidRPr="00D306AF">
        <w:t>lichenisinas</w:t>
      </w:r>
      <w:proofErr w:type="spellEnd"/>
      <w:r w:rsidR="0048392E" w:rsidRPr="00D306AF">
        <w:t xml:space="preserve">, compuestos con elevada actividad tensioactiva </w:t>
      </w:r>
      <w:r w:rsidR="0084699A" w:rsidRPr="00D306AF">
        <w:fldChar w:fldCharType="begin"/>
      </w:r>
      <w:r w:rsidR="00CB0CE4" w:rsidRPr="00D306AF">
        <w:instrText xml:space="preserve"> ADDIN ZOTERO_ITEM CSL_CITATION {"citationID":"gMKwdtE2","properties":{"unsorted":false,"formattedCitation":"(Nikolova y Gutierrez, 2021)","plainCitation":"(Nikolova y Gutierrez, 2021)","noteIndex":0},"citationItems":[{"id":107,"uris":["http://zotero.org/users/local/fvn0idRM/items/CIMAKVZ8"],"itemData":{"id":107,"type":"article-journal","abstract":"Surfactants are a group of amphiphilic chemical compounds (i.e. having both hydrophobic and hydrophilic domains) that form an indispensable component in almost every sector of modern industry. Their significance is evidenced from the enormous volumes that are used and wide diversity of applications they are used in, ranging from food and beverage, agriculture, public health, healthcare/medicine, textiles and bioremediation. A major drive in recent decades has been toward the discovery of surfactants from biological/natural sources – namely bio-surfactants – as most surfactants that are used today for industrial applications are synthetically-manufactured via organo-chemical synthesis using petrochemicals as precursors. This is problematic, not only because they are derived from non-renewable resources, but also because of their environmental incompatibility and potential toxicological effects to humans and other organisms. This is timely as one of today’s key challenges is to reduce our reliance on fossil fuels (oil, coal, gas) and to move toward using renewable and sustainable sources. Considering the enormous genetic diversity that microorganisms possess, they offer considerable promise in producing novel types of biosurfactants for replacing those that are produced from organo-chemical synthesis, and the marine environment offers enormous potential in this respect. In this review, we begin with an overview of the different types of microbial-produced biosurfactants and their applications, and then dedicate the remainder of this review to discussing the current state of knowledge and trends in the usage of biosurfactants by the Oil &amp; Gas industry for enhancing oil recovery from exhausted oil fields and as dispersants for combatting oil spills.","container-title":"Frontiers in Bioengineering and Biotechnology","DOI":"10.3389/fbioe.2021.626639","ISSN":"2296-4185","journalAbbreviation":"Front. Bioeng. Biotechnol.","language":"English","publisher":"Frontiers","source":"Frontiers","title":"Biosurfactants and Their Applications in the Oil and Gas Industry: Current State of Knowledge and Future Perspectives","title-short":"Biosurfactants and Their Applications in the Oil and Gas Industry","URL":"https://www.frontiersin.org/journals/bioengineering-and-biotechnology/articles/10.3389/fbioe.2021.626639/full","volume":"9","author":[{"family":"Nikolova","given":"Christina"},{"family":"Gutierrez","given":"Tony"}],"accessed":{"date-parts":[["2026",2,21]]},"issued":{"date-parts":[["2021",2,15]]}}}],"schema":"https://github.com/citation-style-language/schema/raw/master/csl-citation.json"} </w:instrText>
      </w:r>
      <w:r w:rsidR="0084699A" w:rsidRPr="00D306AF">
        <w:fldChar w:fldCharType="separate"/>
      </w:r>
      <w:r w:rsidR="00CB0CE4" w:rsidRPr="00D306AF">
        <w:t>(Nikolova y Gutierrez, 2021)</w:t>
      </w:r>
      <w:r w:rsidR="0084699A" w:rsidRPr="00D306AF">
        <w:fldChar w:fldCharType="end"/>
      </w:r>
      <w:r w:rsidR="0084699A" w:rsidRPr="00D306AF">
        <w:t>.</w:t>
      </w:r>
    </w:p>
    <w:p w14:paraId="2D1E9F32" w14:textId="1DBBF145" w:rsidR="00D55B72" w:rsidRPr="00D306AF" w:rsidRDefault="00D55B72" w:rsidP="00CE2DC0">
      <w:pPr>
        <w:spacing w:line="480" w:lineRule="auto"/>
        <w:jc w:val="both"/>
      </w:pPr>
      <w:r w:rsidRPr="00D306AF">
        <w:t xml:space="preserve">Estudios recientes </w:t>
      </w:r>
      <w:r w:rsidR="00A9718C" w:rsidRPr="00D306AF">
        <w:t xml:space="preserve">indican </w:t>
      </w:r>
      <w:r w:rsidRPr="00D306AF">
        <w:t xml:space="preserve">que los </w:t>
      </w:r>
      <w:proofErr w:type="spellStart"/>
      <w:r w:rsidRPr="00D306AF">
        <w:t>biosurfactantes</w:t>
      </w:r>
      <w:proofErr w:type="spellEnd"/>
      <w:r w:rsidRPr="00D306AF">
        <w:t xml:space="preserve"> en técnicas electrocinéticas mejoran la degradación de hidrocarburos al aumentar la solubilidad y </w:t>
      </w:r>
      <w:r w:rsidR="00A9718C" w:rsidRPr="00D306AF">
        <w:t xml:space="preserve">favorecer </w:t>
      </w:r>
      <w:r w:rsidRPr="00D306AF">
        <w:t xml:space="preserve">la velocidad de </w:t>
      </w:r>
      <w:proofErr w:type="spellStart"/>
      <w:r w:rsidRPr="00D306AF">
        <w:t>electromigración</w:t>
      </w:r>
      <w:proofErr w:type="spellEnd"/>
      <w:r w:rsidRPr="00D306AF">
        <w:t xml:space="preserve"> del sistema </w:t>
      </w:r>
      <w:r w:rsidRPr="00D306AF">
        <w:fldChar w:fldCharType="begin"/>
      </w:r>
      <w:r w:rsidR="00CB0CE4" w:rsidRPr="00D306AF">
        <w:instrText xml:space="preserve"> ADDIN ZOTERO_ITEM CSL_CITATION {"citationID":"kdRpA0gM","properties":{"unsorted":false,"formattedCitation":"(Prakash et\\uc0\\u160{}al., 2021)","plainCitation":"(Prakash et al., 2021)","noteIndex":0},"citationItems":[{"id":57,"uris":["http://zotero.org/users/local/fvn0idRM/items/J2RHWXJM"],"itemData":{"id":57,"type":"article-journal","abstract":"The present study evaluating the coupling between bioremediation (BIO) and electrokinetic (EK) remediation of crude oil hydrocarbon by using bio-electrokinetic (BIO-EK) technique. The application of bacterial biosurfactant (BS) may increase the remediation efficiency by increasing the solubility of organic materials. In this work, the potential biosurfactant producing marine bacteria were isolated and identified by 16S rDNA analysis namely Bacillus subtilis AS2, Bacillus licheniformis AS3 and Bacillus velezensis AS4. Biodegradation efficiency of crude oil was found as 88%, 92% and 97% for strain AS2, AS3 and AS4 respectively, with the optimum temperature of 37 °C and pH 7. FTIR confirm the BS belongs to lipopeptide in nature. GCMS reveals that three isolates degraded the lower to higher molecular weight of the crude oil (C8 to C28) effectively. Results showed that use of BS in electokinetic remediation enhance the biodegradation rate of crude oil contaminated soil about 92% than EK (60%) in 2 days operation. BS enhances the solubilization of hydrocarbon and it leads to the faster electromigration of hydrocarbon to the anodic compartment, which was confirmed by the presence of higher total organic content than the EK. This study proven that the BIO-EK combined with BS can be used to enhance in situ bioremediation of petroleum contaminated soils.","container-title":"Journal of Hazardous Materials","DOI":"10.1016/j.jhazmat.2020.124061","ISSN":"0304-3894","journalAbbreviation":"Journal of Hazardous Materials","page":"124061","source":"ScienceDirect","title":"Bio-electrokinetic remediation of crude oil contaminated soil enhanced by bacterial biosurfactant","volume":"405","author":[{"family":"Prakash","given":"Arumugam Arul"},{"family":"Prabhu","given":"Natarajan Srinivasa"},{"family":"Rajasekar","given":"Aruliah"},{"family":"Parthipan","given":"Punniyakotti"},{"family":"AlSalhi","given":"Mohamad S."},{"family":"Devanesan","given":"Sandhanasamy"},{"family":"Govarthanan","given":"Muthusamy"}],"issued":{"date-parts":[["2021",3,5]]}}}],"schema":"https://github.com/citation-style-language/schema/raw/master/csl-citation.json"} </w:instrText>
      </w:r>
      <w:r w:rsidRPr="00D306AF">
        <w:fldChar w:fldCharType="separate"/>
      </w:r>
      <w:r w:rsidR="00CB0CE4" w:rsidRPr="00D306AF">
        <w:t>(Prakash et al., 2021)</w:t>
      </w:r>
      <w:r w:rsidRPr="00D306AF">
        <w:fldChar w:fldCharType="end"/>
      </w:r>
      <w:r w:rsidRPr="00D306AF">
        <w:t xml:space="preserve">.  </w:t>
      </w:r>
    </w:p>
    <w:p w14:paraId="68D343C5" w14:textId="145065F2" w:rsidR="007171D4" w:rsidRPr="00D306AF" w:rsidRDefault="00D55B72" w:rsidP="00CE2DC0">
      <w:pPr>
        <w:spacing w:line="480" w:lineRule="auto"/>
        <w:jc w:val="both"/>
      </w:pPr>
      <w:r w:rsidRPr="00D306AF">
        <w:t xml:space="preserve">En </w:t>
      </w:r>
      <w:r w:rsidR="00A9718C" w:rsidRPr="00D306AF">
        <w:t>el presente</w:t>
      </w:r>
      <w:r w:rsidRPr="00D306AF">
        <w:t xml:space="preserve"> estudio, si bien e</w:t>
      </w:r>
      <w:r w:rsidR="008B2D6C" w:rsidRPr="00D306AF">
        <w:t xml:space="preserve">l índice de emulsificación (E24) </w:t>
      </w:r>
      <w:r w:rsidRPr="00D306AF">
        <w:t xml:space="preserve">fue </w:t>
      </w:r>
      <w:r w:rsidR="008B2D6C" w:rsidRPr="00D306AF">
        <w:t>mayor en</w:t>
      </w:r>
      <w:r w:rsidRPr="00D306AF">
        <w:t xml:space="preserve"> los</w:t>
      </w:r>
      <w:r w:rsidR="008B2D6C" w:rsidRPr="00D306AF">
        <w:t xml:space="preserve"> sistemas control que en aquellos expuestos a corriente eléctrica,</w:t>
      </w:r>
      <w:r w:rsidRPr="00D306AF">
        <w:t xml:space="preserve"> la mayor degradación de HAP en los tratamientos </w:t>
      </w:r>
      <w:proofErr w:type="spellStart"/>
      <w:r w:rsidRPr="00D306AF">
        <w:t>electrocinéticos</w:t>
      </w:r>
      <w:proofErr w:type="spellEnd"/>
      <w:r w:rsidRPr="00D306AF">
        <w:t xml:space="preserve"> sugiere que la mayor biodisponibilidad no dependió exclusivamente de la capacidad emulsificante, sino también de los efectos asociados al campo eléctrico.</w:t>
      </w:r>
      <w:r w:rsidR="00A9718C" w:rsidRPr="00D306AF">
        <w:t xml:space="preserve"> No obstante</w:t>
      </w:r>
      <w:r w:rsidR="008B2D6C" w:rsidRPr="00D306AF">
        <w:t>, es necesario profundizar en estudios que permitan comprender c</w:t>
      </w:r>
      <w:r w:rsidR="00032E02" w:rsidRPr="00D306AF">
        <w:t>ó</w:t>
      </w:r>
      <w:r w:rsidR="008B2D6C" w:rsidRPr="00D306AF">
        <w:t xml:space="preserve">mo actúa el proceso de solubilización de los HAP y cómo interactúan los </w:t>
      </w:r>
      <w:proofErr w:type="spellStart"/>
      <w:r w:rsidR="008B2D6C" w:rsidRPr="00D306AF">
        <w:t>biosurfactantes</w:t>
      </w:r>
      <w:proofErr w:type="spellEnd"/>
      <w:r w:rsidR="008B2D6C" w:rsidRPr="00D306AF">
        <w:t xml:space="preserve"> con otros factores </w:t>
      </w:r>
      <w:r w:rsidR="008B2D6C" w:rsidRPr="00D306AF">
        <w:fldChar w:fldCharType="begin"/>
      </w:r>
      <w:r w:rsidR="00CB0CE4" w:rsidRPr="00D306AF">
        <w:instrText xml:space="preserve"> ADDIN ZOTERO_ITEM CSL_CITATION {"citationID":"NvbLzzX8","properties":{"unsorted":false,"formattedCitation":"(Mishra et\\uc0\\u160{}al., 2021)","plainCitation":"(Mishra et al., 2021)","noteIndex":0},"citationItems":[{"id":54,"uris":["http://zotero.org/users/local/fvn0idRM/items/HB78XGD5"],"itemData":{"id":54,"type":"article-journal","abstract":"Heavy metal toxicity has become a pressing ecological problem that affects the ecosystems through bioaccumulation, representing a serious public health hazard. Many conventional strategies have been developed and applied to decontaminate and restore metal-contaminated areas. However, these conventional approaches are not very suitable and environmentally safe for heavy metal remediation because of their high operational costs, high energy requirements, post-waste disposal problems, and secondary pollutant generation. Thus, biosurfactant-based bioremediation of heavy metals is a sustainable and promising approach because of its biodegradation capability, economic effectiveness, and ecofriendly nature. Pseudomonas sp., Bacillus sp., Citrobacter freundii, and Candida tropicalis have been isolated as potential sources of biosurfactants and produce compounds such as surfactin, rhamnolipids, and sophorolipids. Owing to the severity of heavy metal pollution in certain parts of the environment, biosurfactants have garnered great interest and attention as an emerging multi-functional technology of the new century for successful removal of heavy metal pollutants. The present study describes the role of biosurfactants in the bioremediation of heavy metals from contaminated environments. Moreover, the interaction mechanism underlying biosurfactant–metal complexation and metal remediation are discussed. Based on the review of the literature, further research is warranted to elucidate the mechanistic roles and explore the structural characterization and gene regulation of biosurfactants to improve their productivity and expand their applicability in bioremediation.","container-title":"Journal of Hazardous Materials","DOI":"10.1016/j.jhazmat.2021.126253","ISSN":"0304-3894","journalAbbreviation":"Journal of Hazardous Materials","page":"126253","source":"ScienceDirect","title":"Biosurfactant is a powerful tool for the bioremediation of heavy metals from contaminated soils","volume":"418","author":[{"family":"Mishra","given":"Sandhya"},{"family":"Lin","given":"Ziqiu"},{"family":"Pang","given":"Shimei"},{"family":"Zhang","given":"Yuming"},{"family":"Bhatt","given":"Pankaj"},{"family":"Chen","given":"Shaohua"}],"issued":{"date-parts":[["2021",9,15]]}}}],"schema":"https://github.com/citation-style-language/schema/raw/master/csl-citation.json"} </w:instrText>
      </w:r>
      <w:r w:rsidR="008B2D6C" w:rsidRPr="00D306AF">
        <w:fldChar w:fldCharType="separate"/>
      </w:r>
      <w:r w:rsidR="00CB0CE4" w:rsidRPr="00D306AF">
        <w:t>(Mishra et al., 2021)</w:t>
      </w:r>
      <w:r w:rsidR="008B2D6C" w:rsidRPr="00D306AF">
        <w:fldChar w:fldCharType="end"/>
      </w:r>
      <w:r w:rsidR="008B2D6C" w:rsidRPr="00D306AF">
        <w:t xml:space="preserve">.  </w:t>
      </w:r>
    </w:p>
    <w:p w14:paraId="794195D8" w14:textId="50DCEBBF" w:rsidR="00282D45" w:rsidRPr="00D306AF" w:rsidRDefault="00D55B72" w:rsidP="002B4DEB">
      <w:pPr>
        <w:spacing w:after="240" w:line="480" w:lineRule="auto"/>
        <w:jc w:val="both"/>
      </w:pPr>
      <w:r w:rsidRPr="00D306AF">
        <w:lastRenderedPageBreak/>
        <w:t>El campo eléctrico aplicado (0,5 V</w:t>
      </w:r>
      <w:r w:rsidR="0063529D" w:rsidRPr="00D306AF">
        <w:t>/</w:t>
      </w:r>
      <w:r w:rsidRPr="00D306AF">
        <w:t>cm</w:t>
      </w:r>
      <w:r w:rsidRPr="00D306AF">
        <w:rPr>
          <w:vertAlign w:val="superscript"/>
        </w:rPr>
        <w:t>-1</w:t>
      </w:r>
      <w:r w:rsidRPr="00D306AF">
        <w:t xml:space="preserve">) no generó cambios significativos en la temperatura, que se mantuvo alrededor de 20 °C, siendo compatible con la actividad de bacterias mesófilas del suelo y </w:t>
      </w:r>
      <w:r w:rsidR="008B0213" w:rsidRPr="00D306AF">
        <w:t xml:space="preserve">con una baja evaporación </w:t>
      </w:r>
      <w:r w:rsidRPr="00D306AF">
        <w:t xml:space="preserve">de hidrocarburos volátiles. Estos resultados coinciden con estudios previos en los que la EB de HAP alcanzó buenos resultados a temperaturas </w:t>
      </w:r>
      <w:r w:rsidR="008B0213" w:rsidRPr="00D306AF">
        <w:t>próximas</w:t>
      </w:r>
      <w:r w:rsidRPr="00D306AF">
        <w:t xml:space="preserve"> a </w:t>
      </w:r>
      <w:r w:rsidR="005E2FD1" w:rsidRPr="00D306AF">
        <w:t xml:space="preserve">los </w:t>
      </w:r>
      <w:r w:rsidRPr="00D306AF">
        <w:t>25°C</w:t>
      </w:r>
      <w:r w:rsidR="006F1D3A" w:rsidRPr="00D306AF">
        <w:t xml:space="preserve"> </w:t>
      </w:r>
      <w:r w:rsidR="006F1D3A" w:rsidRPr="00D306AF">
        <w:fldChar w:fldCharType="begin"/>
      </w:r>
      <w:r w:rsidR="00CB0CE4" w:rsidRPr="00D306AF">
        <w:instrText xml:space="preserve"> ADDIN ZOTERO_ITEM CSL_CITATION {"citationID":"cDuZWQpP","properties":{"unsorted":false,"formattedCitation":"(Li et\\uc0\\u160{}al., 2020)","plainCitation":"(Li et al., 2020)","noteIndex":0},"citationItems":[{"id":19,"uris":["http://zotero.org/users/local/fvn0idRM/items/LM6FG3U4"],"itemData":{"id":19,"type":"article-journal","abstract":"This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schema":"https://github.com/citation-style-language/schema/raw/master/csl-citation.json"} </w:instrText>
      </w:r>
      <w:r w:rsidR="006F1D3A" w:rsidRPr="00D306AF">
        <w:fldChar w:fldCharType="separate"/>
      </w:r>
      <w:r w:rsidR="00CB0CE4" w:rsidRPr="00D306AF">
        <w:t>(Li et al., 2020)</w:t>
      </w:r>
      <w:r w:rsidR="006F1D3A" w:rsidRPr="00D306AF">
        <w:fldChar w:fldCharType="end"/>
      </w:r>
      <w:r w:rsidR="006F1D3A" w:rsidRPr="00D306AF">
        <w:t>.</w:t>
      </w:r>
      <w:r w:rsidRPr="00D306AF">
        <w:t xml:space="preserve"> </w:t>
      </w:r>
      <w:r w:rsidR="00282D45" w:rsidRPr="00D306AF">
        <w:t>En conjunto, los resultados sugieren que la combinación de los efectos asociados a la aplicación del campo eléctrico y la adición de nutrientes puede potenciar la degradación de HAP en matrices complejas, siempre que las condiciones ambientales se mantengan dentro de rangos favorables para la actividad microbiana.</w:t>
      </w:r>
    </w:p>
    <w:p w14:paraId="75DDB5D9" w14:textId="29B8ACE6" w:rsidR="007B7363" w:rsidRPr="00D306AF" w:rsidRDefault="007B7363" w:rsidP="006934CC">
      <w:pPr>
        <w:spacing w:after="240" w:line="480" w:lineRule="auto"/>
        <w:jc w:val="both"/>
        <w:rPr>
          <w:b/>
        </w:rPr>
      </w:pPr>
      <w:r w:rsidRPr="00D306AF">
        <w:rPr>
          <w:b/>
        </w:rPr>
        <w:t>Dinámica fisicoquímica y movilidad de metales</w:t>
      </w:r>
    </w:p>
    <w:p w14:paraId="7BA52EC8" w14:textId="14C58DD2" w:rsidR="00791526" w:rsidRPr="00D306AF" w:rsidRDefault="00791526" w:rsidP="00CE2DC0">
      <w:pPr>
        <w:spacing w:line="480" w:lineRule="auto"/>
        <w:jc w:val="both"/>
        <w:rPr>
          <w:color w:val="FF0000"/>
        </w:rPr>
      </w:pPr>
      <w:r w:rsidRPr="00D306AF">
        <w:t>La aplicación del campo eléctrico generó una redistribución de los nutrientes inorgánicos en ambas cubas</w:t>
      </w:r>
      <w:r w:rsidR="005442FB" w:rsidRPr="00D306AF">
        <w:t xml:space="preserve">, evidenciando la influencia de los procesos </w:t>
      </w:r>
      <w:proofErr w:type="spellStart"/>
      <w:r w:rsidR="005442FB" w:rsidRPr="00D306AF">
        <w:t>electrocinéticos</w:t>
      </w:r>
      <w:proofErr w:type="spellEnd"/>
      <w:r w:rsidR="005442FB" w:rsidRPr="00D306AF">
        <w:t xml:space="preserve"> </w:t>
      </w:r>
      <w:r w:rsidR="00BA46C1" w:rsidRPr="00D306AF">
        <w:t xml:space="preserve">en </w:t>
      </w:r>
      <w:r w:rsidR="005442FB" w:rsidRPr="00D306AF">
        <w:t>el transporte iónico</w:t>
      </w:r>
      <w:r w:rsidRPr="00D306AF">
        <w:t xml:space="preserve">. </w:t>
      </w:r>
      <w:r w:rsidR="00BA46C1" w:rsidRPr="00D306AF">
        <w:t>Mientras que, e</w:t>
      </w:r>
      <w:r w:rsidRPr="00D306AF">
        <w:t>n la cuba A se observaron mayores concentraciones de sulfatos, sodio, nitrato y amonio en el sitio central, en la cuba B el sodio y el nitrato tendieron a acumularse en el centr</w:t>
      </w:r>
      <w:r w:rsidR="003A1002" w:rsidRPr="00D306AF">
        <w:t>o y los</w:t>
      </w:r>
      <w:r w:rsidRPr="00D306AF">
        <w:t xml:space="preserve"> niveles más elevados de sulfatos, nitrato y amonio se observaron cerca de los</w:t>
      </w:r>
      <w:r w:rsidR="003A1002" w:rsidRPr="00D306AF">
        <w:t xml:space="preserve"> </w:t>
      </w:r>
      <w:r w:rsidRPr="00D306AF">
        <w:t>electrodos.</w:t>
      </w:r>
      <w:r w:rsidRPr="00D306AF">
        <w:rPr>
          <w:color w:val="FF0000"/>
        </w:rPr>
        <w:t xml:space="preserve"> </w:t>
      </w:r>
      <w:r w:rsidRPr="00D306AF">
        <w:t xml:space="preserve">Esta distribución heterogénea puede atribuirse a </w:t>
      </w:r>
      <w:r w:rsidR="00482700" w:rsidRPr="00D306AF">
        <w:t xml:space="preserve">los fenómenos </w:t>
      </w:r>
      <w:proofErr w:type="spellStart"/>
      <w:r w:rsidR="00482700" w:rsidRPr="00D306AF">
        <w:t>electrocinéticos</w:t>
      </w:r>
      <w:proofErr w:type="spellEnd"/>
      <w:r w:rsidR="00482700" w:rsidRPr="00D306AF">
        <w:t xml:space="preserve"> y a la aplicación de rotación de la polaridad</w:t>
      </w:r>
      <w:r w:rsidRPr="00D306AF">
        <w:t>, que modifican el transporte iónico dentro del sistema</w:t>
      </w:r>
      <w:r w:rsidR="00482700" w:rsidRPr="00D306AF">
        <w:rPr>
          <w:color w:val="FF0000"/>
        </w:rPr>
        <w:t xml:space="preserve"> </w:t>
      </w:r>
      <w:r w:rsidR="00482700" w:rsidRPr="00D306AF">
        <w:rPr>
          <w:color w:val="FF0000"/>
        </w:rPr>
        <w:fldChar w:fldCharType="begin"/>
      </w:r>
      <w:r w:rsidR="00CB0CE4" w:rsidRPr="00D306AF">
        <w:rPr>
          <w:color w:val="FF0000"/>
        </w:rPr>
        <w:instrText xml:space="preserve"> ADDIN ZOTERO_ITEM CSL_CITATION {"citationID":"6wM2Lq4C","properties":{"unsorted":false,"formattedCitation":"(Wang et\\uc0\\u160{}al., 2023)","plainCitation":"(Wang et al., 2023)","noteIndex":0},"citationItems":[{"id":129,"uris":["http://zotero.org/users/local/fvn0idRM/items/8VH8RGNG"],"itemData":{"id":129,"type":"article-journal","abstract":"Electrical stimulation during electro-bioremediation has the potential to enhance the biodegradation of polycyclic aromatic hydrocarbons (PAHs) in soil. In this study, we investigated the effective current intensity, referred to as the “window condition,” which promotes the activity of functional microflora. Electro-bioremediation was performed on PAH-contaminated soil using various polarity reversal frequencies (PRF) to study the remediation mechanism. The “window condition” in this study was 20–40 mA. The enhancement of PAH degradation, particularly that of high-PAHs, increased with higher PRF, which accompanied the increasing ratio of the “window condition” to the overall electrification time (RWC). Electro-bioremediation with a 10-minute (EBPR-10 m) and 30-minute (EBPR-30 m) polarity reversal (PR) periods achieved the highest ratios of PAH degradation at 43.9±2.3 % and 37.9±1.8 %, respectively, with RWC of 0.4919 and 0.4056, respectively, after 60 days. The increase in PRF improved the soil physicochemical properties, which were conducive to maintaining effective electrokinetic and biodegradation processes. Redundancy analysis (RDA) and Pearson correlation analyses demonstrated that soil electrical conductivity (EC), dissolved organic carbon (DOC), temperature, and the proportion of macroparticle components (0.195–2.500 um) in soil colloids (Ps/Po) were key factors in explaining the persistence of microbial abundance and community structure. Structural equation models (SEMs) further illustrated the mechanism behind the enhanced PAH biodegradation, including (i) the direct stimulation of microbial activity because of increased RWC and (ii) the indirect optimization of microbial function by improving soil physicochemical properties under optimal PRF.","container-title":"Chemical Engineering Journal","DOI":"10.1016/j.cej.2023.147493","ISSN":"1385-8947","journalAbbreviation":"Chemical Engineering Journal","page":"147493","source":"ScienceDirect","title":"Insights into electro-bioremediation of PAH-contaminated soil under polarity reversal conditions: Effect of effective current intensity and soil properties on microbial function","title-short":"Insights into electro-bioremediation of PAH-contaminated soil under polarity reversal conditions","volume":"478","author":[{"family":"Wang","given":"Sa"},{"family":"Shao","given":"Zhiguo"},{"family":"Xu","given":"Wendi"},{"family":"Zhao","given":"Xiaoshan"}],"issued":{"date-parts":[["2023",12,15]]}}}],"schema":"https://github.com/citation-style-language/schema/raw/master/csl-citation.json"} </w:instrText>
      </w:r>
      <w:r w:rsidR="00482700" w:rsidRPr="00D306AF">
        <w:rPr>
          <w:color w:val="FF0000"/>
        </w:rPr>
        <w:fldChar w:fldCharType="separate"/>
      </w:r>
      <w:r w:rsidR="00CB0CE4" w:rsidRPr="00D306AF">
        <w:t>(Wang et al., 2023)</w:t>
      </w:r>
      <w:r w:rsidR="00482700" w:rsidRPr="00D306AF">
        <w:rPr>
          <w:color w:val="FF0000"/>
        </w:rPr>
        <w:fldChar w:fldCharType="end"/>
      </w:r>
      <w:r w:rsidR="00482700" w:rsidRPr="00D306AF">
        <w:rPr>
          <w:color w:val="FF0000"/>
        </w:rPr>
        <w:t>.</w:t>
      </w:r>
      <w:r w:rsidRPr="00D306AF">
        <w:rPr>
          <w:color w:val="FF0000"/>
        </w:rPr>
        <w:t xml:space="preserve"> </w:t>
      </w:r>
    </w:p>
    <w:p w14:paraId="287D89CA" w14:textId="38823C3D" w:rsidR="00791526" w:rsidRPr="00D306AF" w:rsidRDefault="00791526" w:rsidP="00CE2DC0">
      <w:pPr>
        <w:spacing w:line="480" w:lineRule="auto"/>
        <w:jc w:val="both"/>
        <w:rPr>
          <w:color w:val="FF0000"/>
        </w:rPr>
      </w:pPr>
      <w:r w:rsidRPr="00D306AF">
        <w:t xml:space="preserve">Diversos </w:t>
      </w:r>
      <w:r w:rsidR="00BA46C1" w:rsidRPr="00D306AF">
        <w:t>estudios</w:t>
      </w:r>
      <w:r w:rsidRPr="00D306AF">
        <w:t xml:space="preserve"> </w:t>
      </w:r>
      <w:r w:rsidR="003A1002" w:rsidRPr="00D306AF">
        <w:t xml:space="preserve">indican </w:t>
      </w:r>
      <w:r w:rsidRPr="00D306AF">
        <w:t xml:space="preserve">que la </w:t>
      </w:r>
      <w:r w:rsidR="00513BF3" w:rsidRPr="00D306AF">
        <w:t>EB</w:t>
      </w:r>
      <w:r w:rsidRPr="00D306AF">
        <w:t xml:space="preserve"> genera cambios significativos en propiedades del suelo como el pH, la humedad, la conductividad eléctrica y la concentración iónica, afectando indirectamente la actividad microbiana</w:t>
      </w:r>
      <w:r w:rsidR="00C44E52" w:rsidRPr="00D306AF">
        <w:t xml:space="preserve"> </w:t>
      </w:r>
      <w:r w:rsidR="00C44E52" w:rsidRPr="00D306AF">
        <w:fldChar w:fldCharType="begin"/>
      </w:r>
      <w:r w:rsidR="00CB0CE4" w:rsidRPr="00D306AF">
        <w:instrText xml:space="preserve"> ADDIN ZOTERO_ITEM CSL_CITATION {"citationID":"vaRQoLbz","properties":{"unsorted":false,"formattedCitation":"(Fan et\\uc0\\u160{}al., 2020)","plainCitation":"(Fan et al., 2020)","noteIndex":0},"citationItems":[{"id":99,"uris":["http://zotero.org/users/local/fvn0idRM/items/TT8D6S3X"],"itemData":{"id":99,"type":"article-journal","abstract":"This study evaluated the interactions among total petroleum hydrocarbons (TPH), soil parameters, and microbial communities during the bio-electrokinetic (BIO-EK) remediation process. The study was conducted on a petroleum-contaminated saline-alkali soil inoculated with petroleum-degrading bacteria with a high saline-alkali resistance. The results showed that the degradation of TPH was better explained by second-order kinetics, and the efficacy and sustainability of the BIO-EK were closely related to soil micro-environmental factors and microbial community structures. During a 98-d remediation process, the removal rate of TPH was highest in the first 35 d, and then decreased gradually in the later period, which was concurrent with changes in the soil physicochemical properties (conductivity, inorganic ions, pH, moisture, and temperature) and subsequent shifts in the microbial community structures. According to the redundancy analysis (RDA), TPH, soil temperature, and electric conductivity, as well as SO42−, Cl−, and K+ played a better role in explaining the changes in the microbial community at 0–21 d. However, pH and NO3− better explained the changes in the microbial community at 63–98 d. In particular, the dominant genera, Marinobacter and Bacillus, showed a positive correlation with TPH, conductivity, and SO42−, Cl−, and K+, but a negative relationship with pH and NO3. Rhodococcus was positively correlated with soil temperature. The efficacy and sustainability of the BIO-EK remediation process is likely to be improved by controlling these properties.","container-title":"Science of The Total Environment","DOI":"10.1016/j.scitotenv.2020.142463","ISSN":"0048-9697","journalAbbreviation":"Science of The Total Environment","page":"142463","source":"ScienceDirect","title":"Microbial community responses to soil parameters and their effects on petroleum degradation during bio-electrokinetic remediation","volume":"748","author":[{"family":"Fan","given":"Ruijuan"},{"family":"Ma","given":"Wenping"},{"family":"Zhang","given":"Hanlei"}],"issued":{"date-parts":[["2020",12,15]]}}}],"schema":"https://github.com/citation-style-language/schema/raw/master/csl-citation.json"} </w:instrText>
      </w:r>
      <w:r w:rsidR="00C44E52" w:rsidRPr="00D306AF">
        <w:fldChar w:fldCharType="separate"/>
      </w:r>
      <w:r w:rsidR="00CB0CE4" w:rsidRPr="00D306AF">
        <w:t>(Fan et al., 2020)</w:t>
      </w:r>
      <w:r w:rsidR="00C44E52" w:rsidRPr="00D306AF">
        <w:fldChar w:fldCharType="end"/>
      </w:r>
      <w:r w:rsidRPr="00D306AF">
        <w:t xml:space="preserve">. Los procesos electroquímicos asociados a la electrólisis del agua en la superficie de los electrodos generan gradientes de pH debido a la producción de protones (H⁺) y iones hidroxilo (OH⁻) </w:t>
      </w:r>
      <w:r w:rsidR="002E5F33" w:rsidRPr="00D306AF">
        <w:fldChar w:fldCharType="begin"/>
      </w:r>
      <w:r w:rsidR="0085512D" w:rsidRPr="00D306AF">
        <w:instrText xml:space="preserve"> ADDIN ZOTERO_ITEM CSL_CITATION {"citationID":"0P03m8vH","properties":{"unsorted":false,"formattedCitation":"(Barba et\\uc0\\u160{}al., 2017; Ferreira et\\uc0\\u160{}al., 2021)","plainCitation":"(Barba et al., 2017; Ferreira et al., 2021)","noteIndex":0},"citationItems":[{"id":121,"uris":["http://zotero.org/users/local/fvn0idRM/items/29JAIK7L"],"itemData":{"id":121,"type":"article-journal","abstract":"This work studies the feasibility of the periodic polarity reversal strategy (PRS) in a combined electrokinetic-biological process for the remediation of clayey soil polluted with a herbicide. Five two-weeks duration electrobioremediation batch experiments were performed in a bench scale set-up using spiked clay soil polluted with oxyfluorfen (20 mg kg−1) under potentiostatic conditions applying an electric field between the electrodes of 1.0 V cm−1 (20.0 V) and using PRS with five frequencies (f) ranging from 0 to 6 d−1. Additionally, two complementary reference tests were done: single bioremediation and single electrokinetic. The microbial consortium used was obtained from an oil refinery wastewater treatment plant and acclimated to oxyfluorfen degradation. Main soil conditions (temperature, pH, moisture and conductivity) were correctly controlled using PRS. On the contrary, the electroosmotic flow clearly decreased as f increased. The uniform soil microbial distribution at the end of the experiments indicated that the microbial activity remained in every parts of the soil after two weeks when applying PRS. Despite the adapted microbial culture was capable of degrade 100% of oxyfluorfen in water, the remediation efficiency in soil in a reference test, without the application of electric current, was negligible. However, under the low voltage gradients and polarity reversal, removal efficiencies between 5% and 15% were obtained, and it suggested that oxyfluorfen had difficulties to interact with the microbial culture or nutrients and that PRS promoted transport of species, which caused a positive influence on remediation. An optimal f value was observed between 2 and 3 d−1.","container-title":"Chemosphere","DOI":"10.1016/j.chemosphere.2017.03.002","ISSN":"0045-6535","journalAbbreviation":"Chemosphere","page":"120-127","source":"ScienceDirect","title":"Effect of the polarity reversal frequency in the electrokinetic-biological remediation of oxyfluorfen polluted soil","volume":"177","author":[{"family":"Barba","given":"Silvia"},{"family":"Villaseñor","given":"José"},{"family":"Rodrigo","given":"Manuel A."},{"family":"Cañizares","given":"Pablo"}],"issued":{"date-parts":[["2017",6,1]]}}},{"id":124,"uris":["http://zotero.org/users/local/fvn0idRM/items/K7JHD2EJ"],"itemData":{"id":124,"type":"chapter","abstract":"Oil is one of the more toxic pollutants in the environment. Due to the fragility of the Arctic environment to anthropogenic disturbances, the persistence and severity of ecological impacts from oil spills can be significant. The development of non-invasive and sustainable solutions for soil remediation is a pressing problem. The feasibility of electrokinetic technology as a remediation strategy to enhance oil removal from soil under cold climate conditions was assessed. The soil was collected in Sisimiut, Greenland from a dump site after an oil spill. A range of temperatures and different strategies for applying electric current were tested in experiments over 14 days. The soil showed a total petroleum hydrocarbon concentration of 69 500 mg kg−1, and the levels decreased between 43% and 78%. The effect of the electric field for oil removal was not verified when compared with controls. Naturally cold-adapted microorganisms seemed to have a strong influence on oil remediation under the tested conditions.","container-title":"Electrokinetic Remediation for Environmental Security and Sustainability","DOI":"10.1002/9781119670186.ch8","ISBN":"978-1-119-67018-6","language":"en","license":"© 2021 John Wiley &amp; Sons, Ltd.","note":"section: 8\n_eprint: https://onlinelibrary.wiley.com/doi/pdf/10.1002/9781119670186.ch8\nDOI: 10.1002/9781119670186.ch8","page":"173-190","publisher":"John Wiley &amp; Sons, Ltd","source":"Wiley Online Library","title":"Hydrocarbon-Contaminated Soil in Cold Climate Conditions: Electrokinetic-Bioremediation Technology as a Remediation Strategy","title-short":"Hydrocarbon-Contaminated Soil in Cold Climate Conditions","URL":"https://onlinelibrary.wiley.com/doi/abs/10.1002/9781119670186.ch8","author":[{"family":"Ferreira","given":"Ana Rita"},{"family":"Guedes","given":"Paula"},{"family":"Mateus","given":"Eduardo P."},{"family":"Jensen","given":"Pernille Erland"},{"family":"Ribeiro","given":"Alexandra B."},{"family":"Couto","given":"Nazaré"}],"editor":[{"family":"Ribeiro","given":"Alexandra B."},{"family":"Vara Prasad","given":"Majeti N."}],"accessed":{"date-parts":[["2026",2,24]]},"issued":{"date-parts":[["2021"]]}}}],"schema":"https://github.com/citation-style-language/schema/raw/master/csl-citation.json"} </w:instrText>
      </w:r>
      <w:r w:rsidR="002E5F33" w:rsidRPr="00D306AF">
        <w:fldChar w:fldCharType="separate"/>
      </w:r>
      <w:r w:rsidR="00CB0CE4" w:rsidRPr="00D306AF">
        <w:t xml:space="preserve">(Barba et al., 2017; </w:t>
      </w:r>
      <w:r w:rsidR="00CB0CE4" w:rsidRPr="00D306AF">
        <w:lastRenderedPageBreak/>
        <w:t>Ferreira et al., 2021)</w:t>
      </w:r>
      <w:r w:rsidR="002E5F33" w:rsidRPr="00D306AF">
        <w:fldChar w:fldCharType="end"/>
      </w:r>
      <w:r w:rsidR="002E5F33" w:rsidRPr="00D306AF">
        <w:t xml:space="preserve">. </w:t>
      </w:r>
      <w:r w:rsidRPr="00D306AF">
        <w:t>Se ha reportado que la magnitud de estos cambios depende de la intensidad de corriente, el tiempo de aplicación y la disposición de los electrodos</w:t>
      </w:r>
      <w:r w:rsidR="006645BE" w:rsidRPr="00D306AF">
        <w:t xml:space="preserve"> </w:t>
      </w:r>
      <w:r w:rsidR="006645BE" w:rsidRPr="00D306AF">
        <w:fldChar w:fldCharType="begin"/>
      </w:r>
      <w:r w:rsidR="006645BE" w:rsidRPr="00D306AF">
        <w:instrText xml:space="preserve"> ADDIN ZOTERO_ITEM CSL_CITATION {"citationID":"DL2Dv7ro","properties":{"unsorted":false,"formattedCitation":"(Li et\\uc0\\u160{}al., 2020)","plainCitation":"(Li et al., 2020)","noteIndex":0},"citationItems":[{"id":19,"uris":["http://zotero.org/users/local/fvn0idRM/items/LM6FG3U4"],"itemData":{"id":19,"type":"article-journal","abstract":"This study presents a systematic pilot-scale study on removal of PAHs from the abandoned site of Shenyang former Coking Plant in China (total PAH concentration of 5635.60 mg kg−1 in soil). Three treatments, including the control treatment (without inoculation and electric field), bioremediation (with inoculation), and the electro-bioremediation (with inoculation and electric field), were conducted with a treatment time of 182 days to assess their PAH-removal efficiency. All the treatments were conducted from May to October under natural conditions. Results show that electro-bioremediation enhanced the removal of total PAHs, especially high-ring (&gt;3 rings) PAHs. At 182 days, the degradation extents of total and 4–6-ring PAHs reached 69.1% and 65.9%, respectively, under electro-bioremediation (29.3% and 44.4% higher, respectively, than those under bioremediation alone). After electro-bioremediation, the total toxicity equivalent concentrations of total PAHs and 4-, 5- and 6-ring PAHs reduced 49.0%, 63.7%, 48.2% and 30.1%, respectively. These results indicate that electro-bioremediation not only effectively removed the PAHs but also reduced the health risks of soil in an abandoned coking plant site. In addition, electro-bioremediation with polarity reversal could maintain uniform soil pH, the degradation extent of PAHs and soil microorganism numbers at all sites. The environmental conditions, such as temperature and rainfall, had little influence on the process of electro-bioremediation. These findings suggest that electro-bioremediation may be applied for field-scale remediation of heavily PAH-contaminated soil in abandoned coking plant sites.","container-title":"Chemosphere","DOI":"10.1016/j.chemosphere.2019.125467","ISSN":"0045-6535","journalAbbreviation":"Chemosphere","page":"125467","source":"ScienceDirect","title":"Pilot-scale electro-bioremediation of heavily PAH-contaminated soil from an abandoned coking plant site","volume":"244","author":[{"family":"Li","given":"Fengmei"},{"family":"Guo","given":"Shuhai"},{"family":"Wu","given":"Bo"},{"family":"Wang","given":"Sa"}],"issued":{"date-parts":[["2020",4,1]]}}}],"schema":"https://github.com/citation-style-language/schema/raw/master/csl-citation.json"} </w:instrText>
      </w:r>
      <w:r w:rsidR="006645BE" w:rsidRPr="00D306AF">
        <w:fldChar w:fldCharType="separate"/>
      </w:r>
      <w:r w:rsidR="006645BE" w:rsidRPr="00D306AF">
        <w:t>(Li et al., 2020)</w:t>
      </w:r>
      <w:r w:rsidR="006645BE" w:rsidRPr="00D306AF">
        <w:fldChar w:fldCharType="end"/>
      </w:r>
      <w:r w:rsidR="00081D21" w:rsidRPr="00D306AF">
        <w:t xml:space="preserve">. </w:t>
      </w:r>
      <w:r w:rsidR="00513BF3" w:rsidRPr="00D306AF">
        <w:t xml:space="preserve">En el presente estudio, si bien la cuba B se vio afectada por una disminución del pH, tanto este parámetro como el contenido de agua se mantuvieron dentro de rangos compatibles con la actividad microbiana, </w:t>
      </w:r>
      <w:r w:rsidR="003A1002" w:rsidRPr="00D306AF">
        <w:t xml:space="preserve">probablemente </w:t>
      </w:r>
      <w:r w:rsidR="00513BF3" w:rsidRPr="00D306AF">
        <w:t xml:space="preserve">debido a la rotación de polaridad </w:t>
      </w:r>
      <w:r w:rsidR="003A1002" w:rsidRPr="00D306AF">
        <w:t xml:space="preserve">aplicada </w:t>
      </w:r>
      <w:r w:rsidR="00513BF3" w:rsidRPr="00D306AF">
        <w:t xml:space="preserve">cada cuatro días. </w:t>
      </w:r>
    </w:p>
    <w:p w14:paraId="2CCDBE90" w14:textId="53632B47" w:rsidR="007B7363" w:rsidRPr="00D306AF" w:rsidRDefault="00791526" w:rsidP="00CE2DC0">
      <w:pPr>
        <w:spacing w:line="480" w:lineRule="auto"/>
        <w:jc w:val="both"/>
      </w:pPr>
      <w:r w:rsidRPr="00D306AF">
        <w:t xml:space="preserve">El pH y el contenido de agua son factores claves en los procesos de biodegradación </w:t>
      </w:r>
      <w:r w:rsidRPr="00D306AF">
        <w:fldChar w:fldCharType="begin"/>
      </w:r>
      <w:r w:rsidR="00CB0CE4" w:rsidRPr="00D306AF">
        <w:instrText xml:space="preserve"> ADDIN ZOTERO_ITEM CSL_CITATION {"citationID":"gWQN9EVn","properties":{"unsorted":false,"formattedCitation":"(Al-Hawash et\\uc0\\u160{}al., 2018)","plainCitation":"(Al-Hawash et al., 2018)","noteIndex":0},"citationItems":[{"id":11,"uris":["http://zotero.org/users/local/fvn0idRM/items/WS4HPBBF"],"itemData":{"id":11,"type":"article-journal","abstract":"Petroleum hydrocarbons (PHs) are a big group of chemicals that have caused a major concern because of their widespread distribution into the environment, bioaccumulation potential, harmful effects and biodegradation resistance. Soil and water pollution is mainly attributed to hydrocarbons from oil refineries, petrochemical industries, human activities and other sources. The mechanisms and factors that affect biodegradation should be further understood because the choice of bioremediation technique depends on them. This review described fungal PHs degradation, emphasized the relevant physicochemical and biological factors, and discussed the enzymatic systems influencing PHs biodegradation.","container-title":"Egyptian Journal of Aquatic Research","DOI":"10.1016/j.ejar.2018.06.001","ISSN":"1687-4285","issue":"2","journalAbbreviation":"Egyptian Journal of Aquatic Research","page":"71-76","source":"ScienceDirect","title":"Principles of microbial degradation of petroleum hydrocarbons in the environment","volume":"44","author":[{"family":"Al-Hawash","given":"Adnan B."},{"family":"Dragh","given":"Maytham A."},{"family":"Li","given":"Shue"},{"family":"Alhujaily","given":"Ahmad"},{"family":"Abbood","given":"Hayder A."},{"family":"Zhang","given":"Xiaoyu"},{"family":"Ma","given":"Fuying"}],"issued":{"date-parts":[["2018",6,1]]}}}],"schema":"https://github.com/citation-style-language/schema/raw/master/csl-citation.json"} </w:instrText>
      </w:r>
      <w:r w:rsidRPr="00D306AF">
        <w:fldChar w:fldCharType="separate"/>
      </w:r>
      <w:r w:rsidR="00CB0CE4" w:rsidRPr="00D306AF">
        <w:t>(Al-Hawash et al., 2018)</w:t>
      </w:r>
      <w:r w:rsidRPr="00D306AF">
        <w:fldChar w:fldCharType="end"/>
      </w:r>
      <w:r w:rsidRPr="00D306AF">
        <w:t xml:space="preserve">; desbalances en el pH podrían afectar actividades enzimáticas, el transporte de la membrana celular y el equilibrio de reacciones catalíticas </w:t>
      </w:r>
      <w:r w:rsidRPr="00D306AF">
        <w:fldChar w:fldCharType="begin"/>
      </w:r>
      <w:r w:rsidR="0085512D" w:rsidRPr="00D306AF">
        <w:instrText xml:space="preserve"> ADDIN ZOTERO_ITEM CSL_CITATION {"citationID":"3sy9UFBv","properties":{"unsorted":false,"formattedCitation":"(Fatehi et\\uc0\\u160{}al., 2021)","plainCitation":"(Fatehi et al., 2021)","noteIndex":0},"citationItems":[{"id":45,"uris":["http://zotero.org/users/local/fvn0idRM/items/YE6HHQKF"],"itemData":{"id":45,"type":"chapter","abstract":"Oil contamination in seawater, groundwater, and wastewater including vegetable oil, fat and grease, waste oil, gasoline, diesel, heavier fuels, oily white refuse, crude oil, and animal oil has become a serious global challenge in the last decades. The contaminants have negative effects on the marine life, leisure activities, tourism and aesthetic appeal. Some components of oil that are soluble can enter the organs of animals, accumulate, and thus enter the food chain, causing health problems for humans. Thus, remediation technologies to treat oil contamination have attracted great attention. There are two main categories of oil removal technology: remediation and bioremediation. The type and the quality of the contaminants, the type and the environmental situation of the contaminated site, and the cost of treatment determine the best remediation method.","container-title":"Water Pollution and Remediation: Organic Pollutants","DOI":"10.1007/978-3-030-52395-4_12","ISBN":"978-3-030-52395-4","language":"en","page":"387-499","publisher":"Springer International Publishing","publisher-place":"Cham","source":"Springer Link","title":"Remediation of Pollution by Oil Spills","URL":"https://doi.org/10.1007/978-3-030-52395-4_12","volume":"54","author":[{"family":"Fatehi","given":"Marzie"},{"family":"Mansoori Kermani","given":"Maryam"},{"family":"Mohebbi","given":"Ali"}],"editor":[{"literal":"Inamuddin"},{"family":"Ahamed","given":"Mohd Imran"},{"family":"Lichtfouse","given":"Eric"}],"accessed":{"date-parts":[["2026",2,18]]},"issued":{"date-parts":[["2021"]]}}}],"schema":"https://github.com/citation-style-language/schema/raw/master/csl-citation.json"} </w:instrText>
      </w:r>
      <w:r w:rsidRPr="00D306AF">
        <w:fldChar w:fldCharType="separate"/>
      </w:r>
      <w:r w:rsidR="00CB0CE4" w:rsidRPr="00D306AF">
        <w:t>(Fatehi et al., 2021)</w:t>
      </w:r>
      <w:r w:rsidRPr="00D306AF">
        <w:fldChar w:fldCharType="end"/>
      </w:r>
      <w:r w:rsidRPr="00D306AF">
        <w:t xml:space="preserve">, mientras que la falta de agua limita el movimiento y crecimiento de los microorganismos </w:t>
      </w:r>
      <w:r w:rsidRPr="00D306AF">
        <w:fldChar w:fldCharType="begin"/>
      </w:r>
      <w:r w:rsidR="00CB0CE4" w:rsidRPr="00D306AF">
        <w:instrText xml:space="preserve"> ADDIN ZOTERO_ITEM CSL_CITATION {"citationID":"QHBdleqE","properties":{"unsorted":false,"formattedCitation":"(Al-Hawash et\\uc0\\u160{}al., 2018)","plainCitation":"(Al-Hawash et al., 2018)","noteIndex":0},"citationItems":[{"id":11,"uris":["http://zotero.org/users/local/fvn0idRM/items/WS4HPBBF"],"itemData":{"id":11,"type":"article-journal","abstract":"Petroleum hydrocarbons (PHs) are a big group of chemicals that have caused a major concern because of their widespread distribution into the environment, bioaccumulation potential, harmful effects and biodegradation resistance. Soil and water pollution is mainly attributed to hydrocarbons from oil refineries, petrochemical industries, human activities and other sources. The mechanisms and factors that affect biodegradation should be further understood because the choice of bioremediation technique depends on them. This review described fungal PHs degradation, emphasized the relevant physicochemical and biological factors, and discussed the enzymatic systems influencing PHs biodegradation.","container-title":"Egyptian Journal of Aquatic Research","DOI":"10.1016/j.ejar.2018.06.001","ISSN":"1687-4285","issue":"2","journalAbbreviation":"Egyptian Journal of Aquatic Research","page":"71-76","source":"ScienceDirect","title":"Principles of microbial degradation of petroleum hydrocarbons in the environment","volume":"44","author":[{"family":"Al-Hawash","given":"Adnan B."},{"family":"Dragh","given":"Maytham A."},{"family":"Li","given":"Shue"},{"family":"Alhujaily","given":"Ahmad"},{"family":"Abbood","given":"Hayder A."},{"family":"Zhang","given":"Xiaoyu"},{"family":"Ma","given":"Fuying"}],"issued":{"date-parts":[["2018",6,1]]}}}],"schema":"https://github.com/citation-style-language/schema/raw/master/csl-citation.json"} </w:instrText>
      </w:r>
      <w:r w:rsidRPr="00D306AF">
        <w:fldChar w:fldCharType="separate"/>
      </w:r>
      <w:r w:rsidR="00CB0CE4" w:rsidRPr="00D306AF">
        <w:t>(Al-Hawash et al., 2018)</w:t>
      </w:r>
      <w:r w:rsidRPr="00D306AF">
        <w:fldChar w:fldCharType="end"/>
      </w:r>
      <w:r w:rsidRPr="00D306AF">
        <w:t xml:space="preserve">. </w:t>
      </w:r>
    </w:p>
    <w:p w14:paraId="54AB4A75" w14:textId="7212CC15" w:rsidR="00513BF3" w:rsidRPr="00D306AF" w:rsidRDefault="00513BF3" w:rsidP="00CE2DC0">
      <w:pPr>
        <w:spacing w:line="480" w:lineRule="auto"/>
        <w:jc w:val="both"/>
      </w:pPr>
      <w:r w:rsidRPr="00D306AF">
        <w:t xml:space="preserve">En </w:t>
      </w:r>
      <w:r w:rsidR="00E7508E" w:rsidRPr="00D306AF">
        <w:t>relación</w:t>
      </w:r>
      <w:r w:rsidRPr="00D306AF">
        <w:t xml:space="preserve"> con los metales pesados, </w:t>
      </w:r>
      <w:r w:rsidR="00282D45" w:rsidRPr="00D306AF">
        <w:t xml:space="preserve">se observó una redistribución de las </w:t>
      </w:r>
      <w:r w:rsidRPr="00D306AF">
        <w:t xml:space="preserve">concentraciones </w:t>
      </w:r>
      <w:r w:rsidR="00282D45" w:rsidRPr="00D306AF">
        <w:t xml:space="preserve">de metales </w:t>
      </w:r>
      <w:r w:rsidR="00413E5B" w:rsidRPr="00D306AF">
        <w:t xml:space="preserve">tras </w:t>
      </w:r>
      <w:r w:rsidRPr="00D306AF">
        <w:t>60 días de tratamiento.</w:t>
      </w:r>
      <w:r w:rsidR="00711378" w:rsidRPr="00D306AF">
        <w:t xml:space="preserve"> </w:t>
      </w:r>
      <w:r w:rsidR="005442FB" w:rsidRPr="00D306AF">
        <w:t xml:space="preserve">El comportamiento del </w:t>
      </w:r>
      <w:proofErr w:type="spellStart"/>
      <w:r w:rsidR="005442FB" w:rsidRPr="00D306AF">
        <w:t>bario</w:t>
      </w:r>
      <w:proofErr w:type="spellEnd"/>
      <w:r w:rsidR="005442FB" w:rsidRPr="00D306AF">
        <w:t xml:space="preserve"> resulta particularmente relevante debido a su asociación con la barita (</w:t>
      </w:r>
      <w:proofErr w:type="spellStart"/>
      <w:r w:rsidR="005442FB" w:rsidRPr="00D306AF">
        <w:t>BaSO</w:t>
      </w:r>
      <w:proofErr w:type="spellEnd"/>
      <w:r w:rsidR="005442FB" w:rsidRPr="00D306AF">
        <w:t xml:space="preserve">₄), un componente frecuente de los residuos de perforación. En este estudio, el bario </w:t>
      </w:r>
      <w:r w:rsidR="00413E5B" w:rsidRPr="00D306AF">
        <w:t>regist</w:t>
      </w:r>
      <w:r w:rsidR="005442FB" w:rsidRPr="00D306AF">
        <w:t xml:space="preserve">ró una leve tendencia a mayores concentraciones en la cuba B, lo que podría sugerir procesos de movilización o acumulación diferencial asociados al tratamiento </w:t>
      </w:r>
      <w:proofErr w:type="spellStart"/>
      <w:r w:rsidR="005442FB" w:rsidRPr="00D306AF">
        <w:t>electrocinético</w:t>
      </w:r>
      <w:proofErr w:type="spellEnd"/>
      <w:r w:rsidR="005442FB" w:rsidRPr="00D306AF">
        <w:t xml:space="preserve">. Se ha reportado que las variaciones de pH </w:t>
      </w:r>
      <w:r w:rsidR="00413E5B" w:rsidRPr="00D306AF">
        <w:t xml:space="preserve">pueden </w:t>
      </w:r>
      <w:r w:rsidR="005442FB" w:rsidRPr="00D306AF">
        <w:t>influ</w:t>
      </w:r>
      <w:r w:rsidR="00413E5B" w:rsidRPr="00D306AF">
        <w:t>ir</w:t>
      </w:r>
      <w:r w:rsidR="005442FB" w:rsidRPr="00D306AF">
        <w:t xml:space="preserve"> significativamente en la estabilidad y solubilidad de metales </w:t>
      </w:r>
      <w:r w:rsidR="00602C79" w:rsidRPr="00D306AF">
        <w:fldChar w:fldCharType="begin"/>
      </w:r>
      <w:r w:rsidR="00602C79" w:rsidRPr="00D306AF">
        <w:instrText xml:space="preserve"> ADDIN ZOTERO_ITEM CSL_CITATION {"citationID":"nt4VxNV0","properties":{"unsorted":false,"formattedCitation":"(Sun et\\uc0\\u160{}al., 2023)","plainCitation":"(Sun et al., 2023)","noteIndex":0},"citationItems":[{"id":131,"uris":["http://zotero.org/users/local/fvn0idRM/items/3GQJICA9"],"itemData":{"id":131,"type":"article-journal","abstract":"Electrokinetic remediation (EKR) technology is a promising method to remove heavy metals from low permeability soil, because it is environmentally friendly, efficient and economical, and can realize in-situ remediation. In this paper, the basic principles and related physical and chemical phenomena of EKR are systematically summarized, and three limiting problems of EKR technology are put forward: the weak ability of dissolving metals, focusing effect, and energy consumption. There are many methods to solve these technical problems, but there is a lack of systematic summary of the causes of problems and solutions. Based on various enhanced EKR technologies, this paper summarizes the main ideas to solve the limiting problems. The advantages and disadvantages of each technology are compared, which has guiding significance for the development of new technology in the future. This paper also discusses the dissolution of residual heavy metals, which is rare in other articles. The energy consumption of EKR and the remediation effect are equally important, and both can be used as indicators for evaluating the feasibility of new technologies. This paper reviews the influence of various electric field conditions on power consumption, such as renewable energy supply, new electrode materials and electrode configurations, suitable voltage values and functional electrolytes. In addition, a variety of energy consumption calculation methods are also introduced, which are suitable for ohmic heat loss, energy distribution when there is non-target ion competition, and power consumption of specific ions in various metal ions. Researchers can make selective reference according to their actual situations. This paper also systematically introduces the engineering design and cost calculation of EKR, lists the research progress of some engineering cases and pilot-scale tests, analyzes the reasons why it is difficult to apply EKR technology in large-scale engineering at present, and puts forward the future research direction.","container-title":"Science of The Total Environment","DOI":"10.1016/j.scitotenv.2023.165970","ISSN":"0048-9697","journalAbbreviation":"Science of The Total Environment","page":"165970","source":"ScienceDirect","title":"Electrokinetic remediation for the removal of heavy metals in soil: Limitations, solutions and prospection","title-short":"Electrokinetic remediation for the removal of heavy metals in soil","volume":"903","author":[{"family":"Sun","given":"Zeying"},{"family":"Zhao","given":"Miaomiao"},{"family":"Chen","given":"Li"},{"family":"Gong","given":"Zhiyang"},{"family":"Hu","given":"Junjie"},{"family":"Ma","given":"Degang"}],"issued":{"date-parts":[["2023",12,10]]}}}],"schema":"https://github.com/citation-style-language/schema/raw/master/csl-citation.json"} </w:instrText>
      </w:r>
      <w:r w:rsidR="00602C79" w:rsidRPr="00D306AF">
        <w:fldChar w:fldCharType="separate"/>
      </w:r>
      <w:r w:rsidR="00602C79" w:rsidRPr="00D306AF">
        <w:t>(Sun et al., 2023)</w:t>
      </w:r>
      <w:r w:rsidR="00602C79" w:rsidRPr="00D306AF">
        <w:fldChar w:fldCharType="end"/>
      </w:r>
      <w:r w:rsidR="00602C79" w:rsidRPr="00D306AF">
        <w:t>.</w:t>
      </w:r>
      <w:r w:rsidR="005442FB" w:rsidRPr="00D306AF">
        <w:t xml:space="preserve"> No obstante, las concentraciones determinadas se mantuvieron dentro de los niveles guía establecidos y no se evidenció un efecto inhibitorio sobre la degradación de HAP.</w:t>
      </w:r>
      <w:r w:rsidR="00282D45" w:rsidRPr="00D306AF">
        <w:t xml:space="preserve"> </w:t>
      </w:r>
    </w:p>
    <w:p w14:paraId="2F20E394" w14:textId="29D883A4" w:rsidR="00513BF3" w:rsidRPr="00D306AF" w:rsidRDefault="00513BF3" w:rsidP="002B4DEB">
      <w:pPr>
        <w:spacing w:after="240" w:line="480" w:lineRule="auto"/>
        <w:jc w:val="both"/>
      </w:pPr>
      <w:r w:rsidRPr="00D306AF">
        <w:t xml:space="preserve">Si bien, se produjeron cambios fisicoquímicos asociados a la aplicación del campo </w:t>
      </w:r>
      <w:r w:rsidR="00E7508E" w:rsidRPr="00D306AF">
        <w:t>eléctrico</w:t>
      </w:r>
      <w:r w:rsidRPr="00D306AF">
        <w:t xml:space="preserve">, estas no generaron condiciones extremas </w:t>
      </w:r>
      <w:r w:rsidR="00E7508E" w:rsidRPr="00D306AF">
        <w:t>que pudiesen</w:t>
      </w:r>
      <w:r w:rsidRPr="00D306AF">
        <w:t xml:space="preserve"> inhibir la actividad microbiana</w:t>
      </w:r>
      <w:r w:rsidR="00E7508E" w:rsidRPr="00D306AF">
        <w:t xml:space="preserve"> </w:t>
      </w:r>
      <w:r w:rsidR="00E7508E" w:rsidRPr="00D306AF">
        <w:lastRenderedPageBreak/>
        <w:t>responsable de la degradación</w:t>
      </w:r>
      <w:r w:rsidRPr="00D306AF">
        <w:t xml:space="preserve"> HAP en el suelo</w:t>
      </w:r>
      <w:r w:rsidR="00C44E52" w:rsidRPr="00D306AF">
        <w:t xml:space="preserve"> </w:t>
      </w:r>
      <w:r w:rsidR="00C44E52" w:rsidRPr="00D306AF">
        <w:fldChar w:fldCharType="begin"/>
      </w:r>
      <w:r w:rsidR="00CB0CE4" w:rsidRPr="00D306AF">
        <w:instrText xml:space="preserve"> ADDIN ZOTERO_ITEM CSL_CITATION {"citationID":"TSHRqvyF","properties":{"unsorted":false,"formattedCitation":"(Sayara y S\\uc0\\u225{}nchez, 2020)","plainCitation":"(Sayara y Sánchez, 2020)","noteIndex":0},"citationItems":[{"id":117,"uris":["http://zotero.org/users/local/fvn0idRM/items/W7W4Y3VY"],"itemData":{"id":117,"type":"article-journal","abstract":"Bioremediation of contaminated soils has gained increasing interest in recent years as a low-cost and environmentally friendly technology to clean soils polluted with anthropogenic contaminants. However, some organic pollutants in soil have a low biodegradability or are not bioavailable, which hampers the use of bioremediation for their removal. This is the case of polycyclic aromatic hydrocarbons (PAHs), which normally are stable and hydrophobic chemical structures. In this review, several approaches for the decontamination of PAH-polluted soil are presented and discussed in detail. The use of compost as biostimulation- and bioaugmentation-coupled technologies are described in detail, and some parameters, such as the stability of compost, deserve special attention to obtain better results. Composting as an ex situ technology, with the use of some specific products like surfactants, is also discussed. In summary, the use of compost and composting are promising technologies (in all the approaches presented) for the bioremediation of PAH-contaminated soils.","container-title":"Applied Sciences","DOI":"10.3390/app10113684","ISSN":"2076-3417","issue":"11","language":"en","license":"http://creativecommons.org/licenses/by/3.0/","page":"3684","publisher":"Multidisciplinary Digital Publishing Institute","source":"www.mdpi.com","title":"Bioremediation of PAH-Contaminated Soils: Process Enhancement through Composting/Compost","title-short":"Bioremediation of PAH-Contaminated Soils","volume":"10","author":[{"family":"Sayara","given":"Tahseen"},{"family":"Sánchez","given":"Antoni"}],"issued":{"date-parts":[["2020",1]]}}}],"schema":"https://github.com/citation-style-language/schema/raw/master/csl-citation.json"} </w:instrText>
      </w:r>
      <w:r w:rsidR="00C44E52" w:rsidRPr="00D306AF">
        <w:fldChar w:fldCharType="separate"/>
      </w:r>
      <w:r w:rsidR="00CB0CE4" w:rsidRPr="00D306AF">
        <w:t>(Sayara y Sánchez, 2020)</w:t>
      </w:r>
      <w:r w:rsidR="00C44E52" w:rsidRPr="00D306AF">
        <w:fldChar w:fldCharType="end"/>
      </w:r>
      <w:r w:rsidR="00C44E52" w:rsidRPr="00D306AF">
        <w:t>.</w:t>
      </w:r>
      <w:r w:rsidR="005442FB" w:rsidRPr="00D306AF">
        <w:t xml:space="preserve"> Estos resultados respaldan la viabilidad del tratamiento EB bajo parámetros controlados.</w:t>
      </w:r>
    </w:p>
    <w:p w14:paraId="4B86ACAC" w14:textId="77777777" w:rsidR="00E7508E" w:rsidRPr="00D306AF" w:rsidRDefault="00E7508E" w:rsidP="00826E7C">
      <w:pPr>
        <w:spacing w:after="240" w:line="480" w:lineRule="auto"/>
        <w:jc w:val="both"/>
        <w:rPr>
          <w:b/>
        </w:rPr>
      </w:pPr>
      <w:r w:rsidRPr="00D306AF">
        <w:rPr>
          <w:b/>
        </w:rPr>
        <w:t>Estructura de la comunidad bacteriana</w:t>
      </w:r>
    </w:p>
    <w:p w14:paraId="4FE4902C" w14:textId="0138D1D1" w:rsidR="00513BF3" w:rsidRPr="00D306AF" w:rsidRDefault="00E7508E" w:rsidP="00CE2DC0">
      <w:pPr>
        <w:spacing w:line="480" w:lineRule="auto"/>
        <w:jc w:val="both"/>
      </w:pPr>
      <w:r w:rsidRPr="00D306AF">
        <w:t>La biodegradación de hidrocarburos depende de la presencia de organismos autóctonos capaces de metabolizar el contaminante</w:t>
      </w:r>
      <w:r w:rsidR="00D2716C" w:rsidRPr="00D306AF">
        <w:t xml:space="preserve"> </w:t>
      </w:r>
      <w:r w:rsidR="00D2716C" w:rsidRPr="00D306AF">
        <w:fldChar w:fldCharType="begin"/>
      </w:r>
      <w:r w:rsidR="00CB0CE4" w:rsidRPr="00D306AF">
        <w:instrText xml:space="preserve"> ADDIN ZOTERO_ITEM CSL_CITATION {"citationID":"vuyB3L2W","properties":{"unsorted":false,"formattedCitation":"(Ossai et\\uc0\\u160{}al., 2020)","plainCitation":"(Ossai et al., 2020)","noteIndex":0},"citationItems":[{"id":1,"uris":["http://zotero.org/users/local/fvn0idRM/items/MYQYTRSC"],"itemData":{"id":1,"type":"article-journal","abstract":"The global use of petroleum hydrocarbons for energy and raw materials in various applications has increased with extensive release of a wide variety of contaminants into the environment, affecting soil, surface water and groundwater. The effect results to numerous health, ecological and environmental issues. However, treatment of contamination and pollution caused by petroleum hydrocarbons is a huge and laborious work. It involves several in situ or ex situ treatments comprising containment, separation and destruction which include biological, chemical, physico-chemical, thermal and heat, electric and electromagnetic, acoustic and ultrasonic treatment methods. These treatment methods involve several other techniques and strategies as listed in this review. The health risks pose by petroleum hydrocarbon pollution have driven scientists to research, develop and implement risk-based remediation strategies for restoration and reclamation of affected environments. To select the best treatment option for remediation, it is important to comprehend the nature, composition, properties, sources of pollution, type of environment, fate, transport and distribution of the pollutants, mechanism of degradation, interaction and relationships with microorganisms, the intrinsic and extrinsic factors affecting remediation. It helps to evaluate and predict the chemical behaviour of the pollutants with the short and long-term effects and mitigate the effects of pollution and limit exposure to the pollutants. Despite the available remediation options for petroleum hydrocarbon management and removal, sufficient and complete remediation can be implemented by adoption of proper approach derived from risk-based management procedure that can be practical, scientifically defensible, widely adapted, sustainable, non-invasive, eco-friendly and cost-efficient. This paper provides an overview of the various remediation and treatment technologies derived from risk-based approaches that are used for isolation, containment, separation, restoration reclamation and remediation of soil, sediments, surface water and groundwater contaminated by petroleum hydrocarbons and organic compounds.","container-title":"Environmental Technology &amp; Innovation","DOI":"10.1016/j.eti.2019.100526","ISSN":"2352-1864","journalAbbreviation":"Environmental Technology &amp; Innovation","page":"100526","source":"ScienceDirect","title":"Remediation of soil and water contaminated with petroleum hydrocarbon: A review","title-short":"Remediation of soil and water contaminated with petroleum hydrocarbon","volume":"17","author":[{"family":"Ossai","given":"Innocent Chukwunonso"},{"family":"Ahmed","given":"Aziz"},{"family":"Hassan","given":"Auwalu"},{"family":"Hamid","given":"Fauziah Shahul"}],"issued":{"date-parts":[["2020",2,1]]}}}],"schema":"https://github.com/citation-style-language/schema/raw/master/csl-citation.json"} </w:instrText>
      </w:r>
      <w:r w:rsidR="00D2716C" w:rsidRPr="00D306AF">
        <w:fldChar w:fldCharType="separate"/>
      </w:r>
      <w:r w:rsidR="00CB0CE4" w:rsidRPr="00D306AF">
        <w:t>(Ossai et al., 2020)</w:t>
      </w:r>
      <w:r w:rsidR="00D2716C" w:rsidRPr="00D306AF">
        <w:fldChar w:fldCharType="end"/>
      </w:r>
      <w:r w:rsidR="00D2716C" w:rsidRPr="00D306AF">
        <w:t>.</w:t>
      </w:r>
      <w:r w:rsidRPr="00D306AF">
        <w:t xml:space="preserve"> La abundancia y riqueza de especies están influenciadas por el tipo de hidrocarburos y los factores ambientales circundantes </w:t>
      </w:r>
      <w:r w:rsidRPr="00D306AF">
        <w:fldChar w:fldCharType="begin"/>
      </w:r>
      <w:r w:rsidR="00CB0CE4" w:rsidRPr="00D306AF">
        <w:instrText xml:space="preserve"> ADDIN ZOTERO_ITEM CSL_CITATION {"citationID":"abogP8bt","properties":{"unsorted":false,"formattedCitation":"(Chunyan et\\uc0\\u160{}al., 2023)","plainCitation":"(Chunyan et al., 2023)","noteIndex":0},"citationItems":[{"id":60,"uris":["http://zotero.org/users/local/fvn0idRM/items/ZQ4YW5A6"],"itemData":{"id":60,"type":"article-journal","abstract":"Petroleum hydrocarbon compounds are persistent organic pollutants, which can cause permanent damage to ecosystems due to their biomagnification. Bioremediation of oil is currently the main solution for the remediation of petroleum hydrocarbon pollutants in ecosystems. Despite several lab studies on oil microbial biodegradation efficiency, still there are various challenges for microorganisms to perform efficiently in outside environments. Herewith, investigating efficient biodegradation technologies through discovering new microorganisms, biodegradation pathways modification, and new bioremediations technologies are in great demand. The degradation of petroleum pollutants by microorganisms and the remediation of contaminated soils are achieved through their key enzymes and metabolic pathways. Although, several challenges hinder the effective biodegradation processes such as the toxic environment, long chains and versatility of petroleum hydrocarbons and the existence of the full metabolism pathways in a single microorganism. There are several developed oil biodegradation strategies by microorganisms such as synthetic biology, biofilm, recombinant technology and microbial consortia. Herewith, the application of multi-omics technology to discover oil-contaminated environments microbial communities, synthetic biology, microbial consortia, and other technologies would help improve the efficiency of microbial remediation.","container-title":"Science of The Total Environment","DOI":"10.1016/j.scitotenv.2022.161112","ISSN":"0048-9697","journalAbbreviation":"Science of The Total Environment","page":"161112","source":"ScienceDirect","title":"The role of microorganisms in petroleum degradation: Current development and prospects","title-short":"The role of microorganisms in petroleum degradation","volume":"865","author":[{"family":"Chunyan","given":"Xu"},{"family":"Qaria","given":"Majjid A."},{"family":"Qi","given":"Xu"},{"family":"Daochen","given":"Zhu"}],"issued":{"date-parts":[["2023",3,20]]}}}],"schema":"https://github.com/citation-style-language/schema/raw/master/csl-citation.json"} </w:instrText>
      </w:r>
      <w:r w:rsidRPr="00D306AF">
        <w:fldChar w:fldCharType="separate"/>
      </w:r>
      <w:r w:rsidR="00CB0CE4" w:rsidRPr="00D306AF">
        <w:t>(Chunyan et al., 2023)</w:t>
      </w:r>
      <w:r w:rsidRPr="00D306AF">
        <w:fldChar w:fldCharType="end"/>
      </w:r>
      <w:r w:rsidRPr="00D306AF">
        <w:t>.</w:t>
      </w:r>
    </w:p>
    <w:p w14:paraId="3DD4AEED" w14:textId="7567F2EB" w:rsidR="006349B6" w:rsidRPr="00D306AF" w:rsidRDefault="00E7508E" w:rsidP="00CE2DC0">
      <w:pPr>
        <w:spacing w:line="480" w:lineRule="auto"/>
        <w:jc w:val="both"/>
      </w:pPr>
      <w:r w:rsidRPr="00D306AF">
        <w:t xml:space="preserve">En este estudio, los recuentos de BAT y BDH indicaron que, </w:t>
      </w:r>
      <w:r w:rsidR="001968EC" w:rsidRPr="00D306AF">
        <w:t>aunque la</w:t>
      </w:r>
      <w:r w:rsidRPr="00D306AF">
        <w:t xml:space="preserve"> cuba B se vio afectada por una disminución del </w:t>
      </w:r>
      <w:r w:rsidR="001968EC" w:rsidRPr="00D306AF">
        <w:t>pH,</w:t>
      </w:r>
      <w:r w:rsidRPr="00D306AF">
        <w:t xml:space="preserve"> la población bacteriana se mantuvo en valores compatibles con </w:t>
      </w:r>
      <w:r w:rsidR="001968EC" w:rsidRPr="00D306AF">
        <w:t>la actividad</w:t>
      </w:r>
      <w:r w:rsidRPr="00D306AF">
        <w:t xml:space="preserve"> degradadora de los contaminantes.</w:t>
      </w:r>
      <w:r w:rsidR="006349B6" w:rsidRPr="00D306AF">
        <w:t xml:space="preserve"> Esto sugiere que las variaciones fisicoquímicas inducidas por el campo eléctrico no generaron condiciones suficientemente adversas como para comprometer la capacidad metabólica de la comunidad.</w:t>
      </w:r>
    </w:p>
    <w:p w14:paraId="32C94B14" w14:textId="0257A387" w:rsidR="005F4CF8" w:rsidRPr="00D306AF" w:rsidRDefault="0037174C" w:rsidP="00CE2DC0">
      <w:pPr>
        <w:spacing w:line="480" w:lineRule="auto"/>
        <w:jc w:val="both"/>
      </w:pPr>
      <w:r w:rsidRPr="00D306AF">
        <w:t xml:space="preserve">Se identificaron </w:t>
      </w:r>
      <w:r w:rsidR="00CE2DC0" w:rsidRPr="00D306AF">
        <w:t>13</w:t>
      </w:r>
      <w:r w:rsidRPr="00D306AF">
        <w:t xml:space="preserve"> géneros bacterianos</w:t>
      </w:r>
      <w:r w:rsidR="00BA6B9B" w:rsidRPr="00D306AF">
        <w:t xml:space="preserve">, comúnmente asociados a suelos contaminados con hidrocarburos </w:t>
      </w:r>
      <w:r w:rsidR="00BA6B9B" w:rsidRPr="00D306AF">
        <w:fldChar w:fldCharType="begin"/>
      </w:r>
      <w:r w:rsidR="00CB0CE4" w:rsidRPr="00D306AF">
        <w:instrText xml:space="preserve"> ADDIN ZOTERO_ITEM CSL_CITATION {"citationID":"qS3EjeqR","properties":{"unsorted":false,"formattedCitation":"(Kong et\\uc0\\u160{}al., 2022)","plainCitation":"(Kong et al., 2022)","noteIndex":0},"citationItems":[{"id":66,"uris":["http://zotero.org/users/local/fvn0idRM/items/CQNFVJMS"],"itemData":{"id":66,"type":"article-journal","abstract":"Microbial degradation is a useful tool for inhibiting or preventing polycyclic aromatic hydrocarbons (PAHs) widely distributed in marine environment after oil spill accidents. This study aimed to evaluate the potential and diversity of bacteria Bacillus sp. PAH-2 on Benzo (a) anthracene (BaA), Pyrene (Pyr), and Benzo (a) pyrene (BaP), their composite system, aromatic components system, and crude oil. The seven-day degradation rates against BaA, Pyr, and BaP were 20.6%, 12.83%, and 17.49%, respectively. Further degradation study of aromatic components demonstrated PAH-2 had a high degradation rate of substances with poor stability of molecular structure. In addition, the degradation of PAHs in crude oil suggested PAH-2 not only made good use of PAHs in such a more complex structure of pollutants but the saturated hydrocarbons in the crude oil also showed a good application potential.","container-title":"Molecules","DOI":"10.3390/molecules27030687","ISSN":"1420-3049","issue":"3","language":"en","license":"http://creativecommons.org/licenses/by/3.0/","page":"687","publisher":"Multidisciplinary Digital Publishing Institute","source":"www.mdpi.com","title":"Biodegradation Potential of Bacillus sp. PAH-2 on PAHs for Oil-Contaminated Seawater","volume":"27","author":[{"family":"Kong","given":"Xianghui"},{"family":"Dong","given":"Ranran"},{"family":"King","given":"Thomas"},{"family":"Chen","given":"Feifei"},{"family":"Li","given":"Haoshuai"}],"issued":{"date-parts":[["2022",1]]}}}],"schema":"https://github.com/citation-style-language/schema/raw/master/csl-citation.json"} </w:instrText>
      </w:r>
      <w:r w:rsidR="00BA6B9B" w:rsidRPr="00D306AF">
        <w:fldChar w:fldCharType="separate"/>
      </w:r>
      <w:r w:rsidR="00CB0CE4" w:rsidRPr="00D306AF">
        <w:t>(Kong et al., 2022)</w:t>
      </w:r>
      <w:r w:rsidR="00BA6B9B" w:rsidRPr="00D306AF">
        <w:fldChar w:fldCharType="end"/>
      </w:r>
      <w:r w:rsidR="00413E5B" w:rsidRPr="00D306AF">
        <w:t>. Entre ellos</w:t>
      </w:r>
      <w:r w:rsidR="00BA6B9B" w:rsidRPr="00D306AF">
        <w:t>,</w:t>
      </w:r>
      <w:r w:rsidR="00413E5B" w:rsidRPr="00D306AF">
        <w:rPr>
          <w:i/>
        </w:rPr>
        <w:t xml:space="preserve"> </w:t>
      </w:r>
      <w:r w:rsidR="005F4CF8" w:rsidRPr="00D306AF">
        <w:rPr>
          <w:i/>
        </w:rPr>
        <w:t>Pseudomonas</w:t>
      </w:r>
      <w:r w:rsidR="005F4CF8" w:rsidRPr="00D306AF">
        <w:t xml:space="preserve"> </w:t>
      </w:r>
      <w:r w:rsidR="00413E5B" w:rsidRPr="00D306AF">
        <w:t>es</w:t>
      </w:r>
      <w:r w:rsidR="005F4CF8" w:rsidRPr="00D306AF">
        <w:t xml:space="preserve"> reconocid</w:t>
      </w:r>
      <w:r w:rsidR="00413E5B" w:rsidRPr="00D306AF">
        <w:t>o</w:t>
      </w:r>
      <w:r w:rsidR="005F4CF8" w:rsidRPr="00D306AF">
        <w:t xml:space="preserve"> por su capacidad para degradar compuestos aromáticos</w:t>
      </w:r>
      <w:r w:rsidR="00F36F2C" w:rsidRPr="00D306AF">
        <w:t>,</w:t>
      </w:r>
      <w:r w:rsidR="005F4CF8" w:rsidRPr="00D306AF">
        <w:t xml:space="preserve"> mientras que </w:t>
      </w:r>
      <w:proofErr w:type="spellStart"/>
      <w:r w:rsidR="005F4CF8" w:rsidRPr="00D306AF">
        <w:rPr>
          <w:i/>
        </w:rPr>
        <w:t>Bacillus</w:t>
      </w:r>
      <w:proofErr w:type="spellEnd"/>
      <w:r w:rsidR="005F4CF8" w:rsidRPr="00D306AF">
        <w:t xml:space="preserve"> y </w:t>
      </w:r>
      <w:proofErr w:type="spellStart"/>
      <w:r w:rsidR="005F4CF8" w:rsidRPr="00D306AF">
        <w:rPr>
          <w:i/>
        </w:rPr>
        <w:t>Paenibacillus</w:t>
      </w:r>
      <w:proofErr w:type="spellEnd"/>
      <w:r w:rsidR="005F4CF8" w:rsidRPr="00D306AF">
        <w:t xml:space="preserve"> han sido descritos como integrantes frecuentes de consorcios degradadores</w:t>
      </w:r>
      <w:r w:rsidR="00D2716C" w:rsidRPr="00D306AF">
        <w:t xml:space="preserve"> </w:t>
      </w:r>
      <w:r w:rsidR="00BF6A75" w:rsidRPr="00D306AF">
        <w:t xml:space="preserve"> </w:t>
      </w:r>
      <w:r w:rsidR="00D2716C" w:rsidRPr="00D306AF">
        <w:fldChar w:fldCharType="begin"/>
      </w:r>
      <w:r w:rsidR="00CB0CE4" w:rsidRPr="00D306AF">
        <w:instrText xml:space="preserve"> ADDIN ZOTERO_ITEM CSL_CITATION {"citationID":"fc0hJVmL","properties":{"unsorted":false,"formattedCitation":"(Brzeszcz et\\uc0\\u160{}al., 2024)","plainCitation":"(Brzeszcz et al., 2024)","noteIndex":0},"citationItems":[{"id":119,"uris":["http://zotero.org/users/local/fvn0idRM/items/38SJPX4P"],"itemData":{"id":119,"type":"article-journal","abstract":"This study was undertaken to determine the distribution of soil bacteria capable of utilizing both n-alkanes and aromatic hydrocarbons. These microorganisms have not been comprehensively investigated so far. Ten contaminated (4046–43,861 mg of total petroleum hydrocarbons (TPH) kg−1 of dry weight of soil) and five unpolluted (320–2754 mg TPH kg−1 of dry weight of soil) soil samples from temperate, arid, and Alpine soils were subjected to isolation of degraders with extended preferences and shotgun metagenomic sequencing (selected samples). The applied approach allowed to reveal that (a) these bacteria can be isolated from pristine and polluted soils, and (b) the distribution of alkane monooxygenase (alkB) and aromatic ring hydroxylating dioxygenases (ARHDs) encoding genes is not associated with the contamination presence. Some alkB and ARHD genes shared the same taxonomic affiliation; they were most often linked with the Rhodococcus, Pseudomonas, and Mycolicibacterium genera. Moreover, these taxa together with the Paeniglutamicibacter genus constituted the most numerous groups among 132 culturable strains growing in the presence of both n-alkanes and aromatic hydrocarbons. All those results indicate (a) the prevalence of the hydrocarbon degraders with extended preferences and (b) the potential of uncontaminated soil as a source of hydrocarbon degraders applied for bioremediation purposes.","container-title":"Environmental Science and Pollution Research","DOI":"10.1007/s11356-023-31405-8","ISSN":"1614-7499","issue":"4","journalAbbreviation":"Environ Sci Pollut Res","language":"en","page":"5668-5683","source":"Springer Link","title":"Bacteria degrading both n-alkanes and aromatic hydrocarbons are prevalent in soils","volume":"31","author":[{"family":"Brzeszcz","given":"Joanna"},{"family":"Steliga","given":"Teresa"},{"family":"Ryszka","given":"Przemysław"},{"family":"Kaszycki","given":"Paweł"},{"family":"Kapusta","given":"Piotr"}],"issued":{"date-parts":[["2024",1,1]]}}}],"schema":"https://github.com/citation-style-language/schema/raw/master/csl-citation.json"} </w:instrText>
      </w:r>
      <w:r w:rsidR="00D2716C" w:rsidRPr="00D306AF">
        <w:fldChar w:fldCharType="separate"/>
      </w:r>
      <w:r w:rsidR="00CB0CE4" w:rsidRPr="00D306AF">
        <w:t>(Brzeszcz et al., 2024)</w:t>
      </w:r>
      <w:r w:rsidR="00D2716C" w:rsidRPr="00D306AF">
        <w:fldChar w:fldCharType="end"/>
      </w:r>
      <w:r w:rsidR="00D2716C" w:rsidRPr="00D306AF">
        <w:t>.</w:t>
      </w:r>
    </w:p>
    <w:p w14:paraId="1E29AD75" w14:textId="00178474" w:rsidR="00BA6B9B" w:rsidRPr="00D306AF" w:rsidRDefault="005F4CF8" w:rsidP="00CE2DC0">
      <w:pPr>
        <w:spacing w:line="480" w:lineRule="auto"/>
        <w:jc w:val="both"/>
      </w:pPr>
      <w:r w:rsidRPr="00D306AF">
        <w:t>D</w:t>
      </w:r>
      <w:r w:rsidR="00BA6B9B" w:rsidRPr="00D306AF">
        <w:t xml:space="preserve">e los </w:t>
      </w:r>
      <w:r w:rsidRPr="00D306AF">
        <w:t xml:space="preserve">géneros identificados en este </w:t>
      </w:r>
      <w:r w:rsidR="004E29C6" w:rsidRPr="00D306AF">
        <w:t>estudio,</w:t>
      </w:r>
      <w:r w:rsidR="00BA6B9B" w:rsidRPr="00D306AF">
        <w:t xml:space="preserve"> </w:t>
      </w:r>
      <w:r w:rsidR="0037174C" w:rsidRPr="00D306AF">
        <w:t>s</w:t>
      </w:r>
      <w:r w:rsidR="006D3379" w:rsidRPr="00D306AF">
        <w:t>ó</w:t>
      </w:r>
      <w:r w:rsidR="0037174C" w:rsidRPr="00D306AF">
        <w:t>lo dos pertenec</w:t>
      </w:r>
      <w:r w:rsidR="00362596" w:rsidRPr="00D306AF">
        <w:t>ieron</w:t>
      </w:r>
      <w:r w:rsidR="0037174C" w:rsidRPr="00D306AF">
        <w:t xml:space="preserve"> a bacterias Gram negativas. </w:t>
      </w:r>
      <w:r w:rsidR="00BA6B9B" w:rsidRPr="00D306AF">
        <w:t xml:space="preserve">La predominancia de bacterias Gram positivas podría </w:t>
      </w:r>
      <w:r w:rsidR="00362596" w:rsidRPr="00D306AF">
        <w:t>relacionarse con</w:t>
      </w:r>
      <w:r w:rsidR="00BA6B9B" w:rsidRPr="00D306AF">
        <w:t xml:space="preserve"> </w:t>
      </w:r>
      <w:r w:rsidR="00362596" w:rsidRPr="00D306AF">
        <w:t>la naturaleza crónica de la contaminación</w:t>
      </w:r>
      <w:r w:rsidR="00BA6B9B" w:rsidRPr="00D306AF">
        <w:t>, favoreciendo la permanencia de bacterias con mayor resistencia estructural y capacidad de formar esporas que poseen, por ejemplo, algunas especies de</w:t>
      </w:r>
      <w:r w:rsidR="00D96BDD">
        <w:t>l género</w:t>
      </w:r>
      <w:r w:rsidR="00BA6B9B" w:rsidRPr="00D306AF">
        <w:t xml:space="preserve"> </w:t>
      </w:r>
      <w:proofErr w:type="spellStart"/>
      <w:r w:rsidR="00BA6B9B" w:rsidRPr="00D306AF">
        <w:rPr>
          <w:i/>
        </w:rPr>
        <w:t>Bacillus</w:t>
      </w:r>
      <w:proofErr w:type="spellEnd"/>
      <w:r w:rsidR="001968EC" w:rsidRPr="00D306AF">
        <w:t xml:space="preserve"> </w:t>
      </w:r>
      <w:r w:rsidR="00E20E60" w:rsidRPr="00D306AF">
        <w:rPr>
          <w:i/>
        </w:rPr>
        <w:fldChar w:fldCharType="begin"/>
      </w:r>
      <w:r w:rsidR="00BD43BF" w:rsidRPr="00D306AF">
        <w:rPr>
          <w:i/>
        </w:rPr>
        <w:instrText xml:space="preserve"> ADDIN ZOTERO_ITEM CSL_CITATION {"citationID":"nbqm0IgT","properties":{"unsorted":false,"formattedCitation":"(Das et\\uc0\\u160{}al., 2024)","plainCitation":"(Das et al., 2024)","noteIndex":0},"citationItems":[{"id":128,"uris":["http://zotero.org/users/local/fvn0idRM/items/NLIWXXZJ"],"itemData":{"id":128,"type":"article-journal","container-title":"Environmental Sustainability","page":"135-156","title":"Exploring the bioremediation potential of Bacillus spp. for sustainable mitigation of hydrocarbon contaminants","volume":"7","author":[{"family":"Das","given":"Ankita"},{"family":"Das","given":"Nandita"},{"family":"Rajkumari","given":"Jina"},{"family":"Pandey","given":"Prisha"},{"family":"Pandey","given":"Piyush"}],"issued":{"date-parts":[["2024"]]}}}],"schema":"https://github.com/citation-style-language/schema/raw/master/csl-citation.json"} </w:instrText>
      </w:r>
      <w:r w:rsidR="00E20E60" w:rsidRPr="00D306AF">
        <w:rPr>
          <w:i/>
        </w:rPr>
        <w:fldChar w:fldCharType="separate"/>
      </w:r>
      <w:r w:rsidR="00CB0CE4" w:rsidRPr="00D306AF">
        <w:t>(Das et al., 2024)</w:t>
      </w:r>
      <w:r w:rsidR="00E20E60" w:rsidRPr="00D306AF">
        <w:rPr>
          <w:i/>
        </w:rPr>
        <w:fldChar w:fldCharType="end"/>
      </w:r>
      <w:r w:rsidR="00BA6B9B" w:rsidRPr="00D306AF">
        <w:rPr>
          <w:i/>
        </w:rPr>
        <w:t>.</w:t>
      </w:r>
      <w:r w:rsidR="00BA6B9B" w:rsidRPr="00D306AF">
        <w:t xml:space="preserve"> No obstante, si bien las bacterias Gram negativas suelen destacarse por su eficiencia en la biodegradación de hidrocarburos debido a </w:t>
      </w:r>
      <w:r w:rsidR="00BA6B9B" w:rsidRPr="00D306AF">
        <w:lastRenderedPageBreak/>
        <w:t>la presencia de lipopolisacáridos en su membrana externa</w:t>
      </w:r>
      <w:r w:rsidR="00D2716C" w:rsidRPr="00D306AF">
        <w:t xml:space="preserve"> </w:t>
      </w:r>
      <w:r w:rsidR="00D2716C" w:rsidRPr="00D306AF">
        <w:fldChar w:fldCharType="begin"/>
      </w:r>
      <w:r w:rsidR="00CB0CE4" w:rsidRPr="00D306AF">
        <w:instrText xml:space="preserve"> ADDIN ZOTERO_ITEM CSL_CITATION {"citationID":"j2MVBFYL","properties":{"unsorted":false,"formattedCitation":"(Florez y G\\uc0\\u243{}mez, 2020)","plainCitation":"(Florez y Gómez, 2020)","noteIndex":0},"citationItems":[{"id":68,"uris":["http://zotero.org/users/local/fvn0idRM/items/YMRLQAMD"],"itemData":{"id":68,"type":"article-journal","abstract":"The objective of this article is to review the most relevant Gram-negative bacteria capable of biodegrading hydrocarbon and to review the biodegradation techniques used. This review was developed in two stages. The first is a scientific mapping of the subject, through databases like Scopus, Redalyc, Scielo, Dialnet, Latin-dex, Nature Microbiology, among others, and the Google Academic. The second stage is an analysis to identify the most relevant documents. In this process, it was found that the most representative Gram-negative bacterial genera in hydrocarbon biodegradation are Alcanivorax spp., Bacteriovorax spp., Burkholderia spp., Chromobacterium spp., Citrobacter spp., among others. These bacteria can biodegrade hydrocarbons through biosurfactants synthesis by in situ and ex situ techniques. This review is important because it provides sufficient information on the bacteria that biodegrade oil and its derivatives, lists the main biosurfactants used, and describes the biodegradation techniques.","container-title":"Revista de Ciencias","DOI":"10.25100/rc.v24i2.9935","ISSN":"2248-4000","issue":"2","language":"es","license":"Derechos de autor 2022 Revista de Ciencias","page":"e9935-e9935","source":"revistaciencias.univalle.edu.co","title":"Bacterias Gram negativas biodegradadoras de hidrocarburos","volume":"24","author":[{"family":"Florez","given":"Roger Alberto Rabelo"},{"family":"Gómez","given":"Marco Antonio Márquez"}],"issued":{"date-parts":[["2020",7,15]]}}}],"schema":"https://github.com/citation-style-language/schema/raw/master/csl-citation.json"} </w:instrText>
      </w:r>
      <w:r w:rsidR="00D2716C" w:rsidRPr="00D306AF">
        <w:fldChar w:fldCharType="separate"/>
      </w:r>
      <w:r w:rsidR="00CB0CE4" w:rsidRPr="00D306AF">
        <w:t>(</w:t>
      </w:r>
      <w:r w:rsidR="00E14245" w:rsidRPr="00D306AF">
        <w:t>Rabelo</w:t>
      </w:r>
      <w:r w:rsidR="00CB0CE4" w:rsidRPr="00D306AF">
        <w:t xml:space="preserve"> y </w:t>
      </w:r>
      <w:r w:rsidR="00E14245" w:rsidRPr="00D306AF">
        <w:t>Márquez</w:t>
      </w:r>
      <w:r w:rsidR="00CB0CE4" w:rsidRPr="00D306AF">
        <w:t>, 2020)</w:t>
      </w:r>
      <w:r w:rsidR="00D2716C" w:rsidRPr="00D306AF">
        <w:fldChar w:fldCharType="end"/>
      </w:r>
      <w:r w:rsidR="00BA6B9B" w:rsidRPr="00D306AF">
        <w:t xml:space="preserve">, también </w:t>
      </w:r>
      <w:r w:rsidR="007536B2" w:rsidRPr="00D306AF">
        <w:t xml:space="preserve">se </w:t>
      </w:r>
      <w:r w:rsidR="00BA6B9B" w:rsidRPr="00D306AF">
        <w:t>han documentado mecanismos de tolerancia a solventes orgánicos en bacterias Gram positivas</w:t>
      </w:r>
      <w:r w:rsidR="00D2716C" w:rsidRPr="00D306AF">
        <w:t xml:space="preserve"> </w:t>
      </w:r>
      <w:r w:rsidR="00D2716C" w:rsidRPr="00D306AF">
        <w:fldChar w:fldCharType="begin"/>
      </w:r>
      <w:r w:rsidR="00CB0CE4" w:rsidRPr="00D306AF">
        <w:instrText xml:space="preserve"> ADDIN ZOTERO_ITEM CSL_CITATION {"citationID":"4kfDK2Nc","properties":{"unsorted":false,"formattedCitation":"(Qattan, 2025)","plainCitation":"(Qattan, 2025)","noteIndex":0},"citationItems":[{"id":111,"uris":["http://zotero.org/users/local/fvn0idRM/items/ASMIG67S"],"itemData":{"id":111,"type":"article-journal","abstract":"Industrial activities, agricultural runoff, municipal waste, and mining generate toxic pollutants that threaten ecosystems and human health, necessitating sustainable remediation strategies to mitigate their impact. Bacterial bioremediation is an eco-friendly and cost-effective method for treating metal-contaminated industrial effluent. It uses biosorption and bioaccumulation mechanisms, redox reactions, and enzymatic transformation methods, with bacterial cell walls as potential chemisorption sites. Simultaneously, bacteria employing various ways to tolerate and detoxify metalloid pollutants play a crucial role in mitigating hazards. This review highlights the most effective bacterial consortia for removing heavy metals, hydrocarbons, and persistent pollutants, emphasizing their mechanisms and applications. In addition, it explores emerging technologies, including synthetic biology, genetic engineering, nanotechnology, and CRISPR-Cas9, to enhance biodegradation efficiency, particularly in underexplored areas like plastic decomposition. These advancements hold significant promises for improving bioremediation efficacy and expanding its industrial and environmental applications.","container-title":"Environmental Sciences Europe","DOI":"10.1186/s12302-025-01103-y","ISSN":"2190-4715","issue":"1","journalAbbreviation":"Environ Sci Eur","language":"en","page":"85","source":"Springer Link","title":"Harnessing bacterial consortia for effective bioremediation: targeted removal of heavy metals, hydrocarbons, and persistent pollutants","title-short":"Harnessing bacterial consortia for effective bioremediation","volume":"37","author":[{"family":"Qattan","given":"Shaza Y. A."}],"issued":{"date-parts":[["2025",6,4]]}}}],"schema":"https://github.com/citation-style-language/schema/raw/master/csl-citation.json"} </w:instrText>
      </w:r>
      <w:r w:rsidR="00D2716C" w:rsidRPr="00D306AF">
        <w:fldChar w:fldCharType="separate"/>
      </w:r>
      <w:r w:rsidR="00CB0CE4" w:rsidRPr="00D306AF">
        <w:t>(Qattan, 2025)</w:t>
      </w:r>
      <w:r w:rsidR="00D2716C" w:rsidRPr="00D306AF">
        <w:fldChar w:fldCharType="end"/>
      </w:r>
      <w:r w:rsidR="007536B2" w:rsidRPr="00D306AF">
        <w:t>, lo que</w:t>
      </w:r>
      <w:r w:rsidR="00BA6B9B" w:rsidRPr="00D306AF">
        <w:t xml:space="preserve"> indicaría, que se trata de una comunidad adaptada a las condiciones ambientales presentes.</w:t>
      </w:r>
      <w:r w:rsidRPr="00D306AF">
        <w:t xml:space="preserve"> </w:t>
      </w:r>
    </w:p>
    <w:p w14:paraId="45B1101B" w14:textId="6FB31D5F" w:rsidR="00BA6B9B" w:rsidRPr="00D306AF" w:rsidRDefault="00BA6B9B" w:rsidP="002B4DEB">
      <w:pPr>
        <w:spacing w:after="240" w:line="480" w:lineRule="auto"/>
        <w:jc w:val="both"/>
      </w:pPr>
      <w:r w:rsidRPr="00D306AF">
        <w:t xml:space="preserve">La metodología de DGGE </w:t>
      </w:r>
      <w:r w:rsidR="007536B2" w:rsidRPr="00D306AF">
        <w:t xml:space="preserve">proporcionó </w:t>
      </w:r>
      <w:r w:rsidRPr="00D306AF">
        <w:t>una aproximación</w:t>
      </w:r>
      <w:r w:rsidR="007536B2" w:rsidRPr="00D306AF">
        <w:t xml:space="preserve"> </w:t>
      </w:r>
      <w:r w:rsidRPr="00D306AF">
        <w:t xml:space="preserve">de la estructura de las comunidades bacterianas presentes al final de los tratamientos de EB y los sistemas control. Los resultados indicaron que los sistemas control SS y SH presentaron perfiles similares, mientras que en el sistema SN, mostró variaciones más marcadas. Los perfiles revelaron ligeros cambios entre las cubas A y B. La cuba B evidenció </w:t>
      </w:r>
      <w:r w:rsidR="00704B63" w:rsidRPr="00D306AF">
        <w:t>un mayor</w:t>
      </w:r>
      <w:r w:rsidRPr="00D306AF">
        <w:t xml:space="preserve"> número e intensidad de bandas, </w:t>
      </w:r>
      <w:r w:rsidR="007536B2" w:rsidRPr="00D306AF">
        <w:t xml:space="preserve">que coincidió con mayores porcentajes de degradación. </w:t>
      </w:r>
      <w:r w:rsidRPr="00D306AF">
        <w:t>Estas diferencias sugiere</w:t>
      </w:r>
      <w:r w:rsidR="007536B2" w:rsidRPr="00D306AF">
        <w:t>n</w:t>
      </w:r>
      <w:r w:rsidRPr="00D306AF">
        <w:t xml:space="preserve"> que la adición de nutrientes y la aplicación del campo eléctrico no solo influyeron en la eficiencia del proceso, sino también en la estructura de la comunidad bacteriana. Dado que la concentración inicial de HAP fue equivalente en todos los sistemas, las variaciones detectadas probablemente reflejen el efecto combinado de los nutrientes y las condiciones electrocinéticas sobre la dinámica microbiana</w:t>
      </w:r>
      <w:r w:rsidR="00D2716C" w:rsidRPr="00D306AF">
        <w:t xml:space="preserve"> </w:t>
      </w:r>
      <w:r w:rsidR="00D2716C" w:rsidRPr="00D306AF">
        <w:fldChar w:fldCharType="begin"/>
      </w:r>
      <w:r w:rsidR="00CB0CE4" w:rsidRPr="00D306AF">
        <w:instrText xml:space="preserve"> ADDIN ZOTERO_ITEM CSL_CITATION {"citationID":"eRITr80y","properties":{"unsorted":false,"formattedCitation":"(Chicca et\\uc0\\u160{}al., 2022)","plainCitation":"(Chicca et al., 2022)","noteIndex":0},"citationItems":[{"id":80,"uris":["http://zotero.org/users/local/fvn0idRM/items/3S94456K"],"itemData":{"id":80,"type":"article-journal","abstract":"Nowadays, soil contamination by total petroleum hydrocarbons is still one of the most widespread forms of contamination. Intervention technologies are consolidated; however, full-scale interventions turn out to be not sustainable. Sustainability is essential not only in terms of costs, but also in terms of restoration of the soil resilience. Bioremediation has the possibility to fill the gap of sustainability with proper knowledge. Bioremediation should be optimized by the exploitation of the recent “omic” approaches to the study of hydrocarburoclastic microbiomes. To reach the goal, an extensive and deep knowledge in the study of bacterial and fungal degradative pathways, their interactions within microbiomes and of microbiomes with the soil matrix has to be gained. “Omic” approaches permits to study both the culturable and the unculturable soil microbial communities active in degradation processes, offering the instruments to identify the key organisms responsible for soil contaminant depletion and restoration of soil resilience. Tools for the investigation of both microbial communities, their degradation pathways and their interaction, will be discussed, describing the dedicated genomic and metagenomic approaches, as well as the interpretative tools of the deriving data, that are exploitable for both optimizing bio-based approaches for the treatment of total petroleum hydrocarbon contaminated soils and for the correct scaling up of the technologies at the industrial scale.","container-title":"Environments","DOI":"10.3390/environments9040052","ISSN":"2076-3298","issue":"4","language":"en","license":"http://creativecommons.org/licenses/by/3.0/","page":"52","publisher":"Multidisciplinary Digital Publishing Institute","source":"www.mdpi.com","title":"Microbial Involvement in the Bioremediation of Total Petroleum Hydrocarbon Polluted Soils: Challenges and Perspectives","title-short":"Microbial Involvement in the Bioremediation of Total Petroleum Hydrocarbon Polluted Soils","volume":"9","author":[{"family":"Chicca","given":"Ilaria"},{"family":"Becarelli","given":"Simone"},{"family":"Di Gregorio","given":"Simona"}],"issued":{"date-parts":[["2022",4]]}}}],"schema":"https://github.com/citation-style-language/schema/raw/master/csl-citation.json"} </w:instrText>
      </w:r>
      <w:r w:rsidR="00D2716C" w:rsidRPr="00D306AF">
        <w:fldChar w:fldCharType="separate"/>
      </w:r>
      <w:r w:rsidR="00CB0CE4" w:rsidRPr="00D306AF">
        <w:t>(Chicca et al., 2022)</w:t>
      </w:r>
      <w:r w:rsidR="00D2716C" w:rsidRPr="00D306AF">
        <w:fldChar w:fldCharType="end"/>
      </w:r>
      <w:r w:rsidR="00D2716C" w:rsidRPr="00D306AF">
        <w:t>.</w:t>
      </w:r>
      <w:r w:rsidRPr="00D306AF">
        <w:t xml:space="preserve"> </w:t>
      </w:r>
      <w:r w:rsidR="00D57F4C" w:rsidRPr="00D306AF">
        <w:t xml:space="preserve">No obstante, dado el carácter cualitativo de la técnica DGGE, estos resultados deben interpretarse como una aproximación general a la estructura </w:t>
      </w:r>
      <w:r w:rsidR="006A19AA" w:rsidRPr="00D306AF">
        <w:t>de la</w:t>
      </w:r>
      <w:r w:rsidR="009E1736" w:rsidRPr="00D306AF">
        <w:t xml:space="preserve"> </w:t>
      </w:r>
      <w:r w:rsidR="00D57F4C" w:rsidRPr="00D306AF">
        <w:t>comuni</w:t>
      </w:r>
      <w:r w:rsidR="009E1736" w:rsidRPr="00D306AF">
        <w:t>dad</w:t>
      </w:r>
      <w:r w:rsidR="00D57F4C" w:rsidRPr="00D306AF">
        <w:t xml:space="preserve">. </w:t>
      </w:r>
    </w:p>
    <w:p w14:paraId="734F698D" w14:textId="5A42B93F" w:rsidR="00EB279B" w:rsidRPr="00D306AF" w:rsidRDefault="00330820" w:rsidP="00171EEA">
      <w:pPr>
        <w:pStyle w:val="NormalWeb"/>
        <w:spacing w:before="0" w:beforeAutospacing="0" w:after="0" w:afterAutospacing="0" w:line="480" w:lineRule="auto"/>
        <w:rPr>
          <w:b/>
        </w:rPr>
      </w:pPr>
      <w:r w:rsidRPr="00D306AF">
        <w:rPr>
          <w:b/>
        </w:rPr>
        <w:t>CONCLUSI</w:t>
      </w:r>
      <w:r w:rsidR="00570047">
        <w:rPr>
          <w:b/>
        </w:rPr>
        <w:t>ONES</w:t>
      </w:r>
    </w:p>
    <w:p w14:paraId="05FDC057" w14:textId="79A02894" w:rsidR="009E4A3C" w:rsidRPr="00D306AF" w:rsidRDefault="009E4A3C" w:rsidP="00D57F4C">
      <w:pPr>
        <w:pStyle w:val="NormalWeb"/>
        <w:spacing w:line="480" w:lineRule="auto"/>
        <w:jc w:val="both"/>
      </w:pPr>
      <w:r w:rsidRPr="00D306AF">
        <w:t xml:space="preserve">Los resultados obtenidos </w:t>
      </w:r>
      <w:r w:rsidR="001349CC" w:rsidRPr="00D306AF">
        <w:t>sugieren</w:t>
      </w:r>
      <w:r w:rsidRPr="00D306AF">
        <w:t xml:space="preserve"> que el tratamiento de EB </w:t>
      </w:r>
      <w:r w:rsidR="00D57F4C" w:rsidRPr="00D306AF">
        <w:t xml:space="preserve">favorece la degradación de HAP </w:t>
      </w:r>
      <w:r w:rsidRPr="00D306AF">
        <w:t>cuando se estimula mediante la adición de nutrientes esenciales</w:t>
      </w:r>
      <w:r w:rsidR="00D57F4C" w:rsidRPr="00D306AF">
        <w:t xml:space="preserve">. Si bien las diferencias entre tratamientos no fueron estadísticamente significativas, la combinación de campo eléctrico y la adición de nutrientes mostró un efecto positivo en la tasa de degradación de HAP, en un </w:t>
      </w:r>
      <w:r w:rsidR="00D57F4C" w:rsidRPr="00D306AF">
        <w:lastRenderedPageBreak/>
        <w:t>periodo de 60 días.</w:t>
      </w:r>
      <w:r w:rsidRPr="00D306AF">
        <w:t xml:space="preserve"> </w:t>
      </w:r>
      <w:r w:rsidR="00B068AD" w:rsidRPr="00D306AF">
        <w:t xml:space="preserve">La presencia de metales pesados no </w:t>
      </w:r>
      <w:r w:rsidR="00C54F3C" w:rsidRPr="00D306AF">
        <w:t>evidenció un efecto inhibitorio en</w:t>
      </w:r>
      <w:r w:rsidR="00B068AD" w:rsidRPr="00D306AF">
        <w:t xml:space="preserve"> la comunidad bacteriana autóctona del suelo, que se mantuvo en condiciones óptimas para llevar a cabo la degradación. </w:t>
      </w:r>
      <w:r w:rsidRPr="00D306AF">
        <w:t>El análisis de la comunidad bacteriana, realizado a través de técnicas moleculares, reveló que la adició</w:t>
      </w:r>
      <w:r w:rsidR="00B068AD" w:rsidRPr="00D306AF">
        <w:t>n de nutrientes provoca ca</w:t>
      </w:r>
      <w:r w:rsidR="00827A37" w:rsidRPr="00D306AF">
        <w:t>m</w:t>
      </w:r>
      <w:r w:rsidR="00B068AD" w:rsidRPr="00D306AF">
        <w:t xml:space="preserve">bios, </w:t>
      </w:r>
      <w:r w:rsidRPr="00D306AF">
        <w:t xml:space="preserve">tanto en el número de bandas como en </w:t>
      </w:r>
      <w:r w:rsidR="002E66B0" w:rsidRPr="00D306AF">
        <w:t>su concentración</w:t>
      </w:r>
      <w:r w:rsidRPr="00D306AF">
        <w:t xml:space="preserve">, lo que sugiere una </w:t>
      </w:r>
      <w:r w:rsidR="00D57F4C" w:rsidRPr="00D306AF">
        <w:t xml:space="preserve">adaptación de la comunidad microbiana al tratamiento aplicado. </w:t>
      </w:r>
      <w:r w:rsidRPr="00D306AF">
        <w:t>Estos resultados</w:t>
      </w:r>
      <w:r w:rsidR="00D57F4C" w:rsidRPr="00D306AF">
        <w:t xml:space="preserve"> destacan la importancia de combinar estrategias para optimizar la biorremediación de matrices complejas contaminadas con HAP.</w:t>
      </w:r>
    </w:p>
    <w:p w14:paraId="1BA2230B" w14:textId="5C180028" w:rsidR="008043CB" w:rsidRPr="00D306AF" w:rsidRDefault="008043CB" w:rsidP="00171EEA">
      <w:pPr>
        <w:spacing w:before="100" w:beforeAutospacing="1" w:after="100" w:afterAutospacing="1" w:line="480" w:lineRule="auto"/>
        <w:rPr>
          <w:b/>
        </w:rPr>
      </w:pPr>
      <w:r w:rsidRPr="00D306AF">
        <w:rPr>
          <w:b/>
        </w:rPr>
        <w:t>AGRADECIMIENTOS</w:t>
      </w:r>
    </w:p>
    <w:p w14:paraId="5A5CF922" w14:textId="6E3554FA" w:rsidR="002B4DEB" w:rsidRDefault="002B4DEB" w:rsidP="00826E7C">
      <w:pPr>
        <w:pStyle w:val="NormalWeb"/>
        <w:spacing w:line="480" w:lineRule="auto"/>
        <w:jc w:val="both"/>
      </w:pPr>
      <w:r w:rsidRPr="00D306AF">
        <w:t xml:space="preserve">Este trabajo fue financiado por el proyecto PICTO Golfo San Jorge y Centro de Investigación CEIMA. </w:t>
      </w:r>
      <w:r w:rsidR="001A5251" w:rsidRPr="00D306AF">
        <w:t xml:space="preserve">Los autores </w:t>
      </w:r>
      <w:r w:rsidRPr="00D306AF">
        <w:t>agradece</w:t>
      </w:r>
      <w:r w:rsidR="001A5251" w:rsidRPr="00D306AF">
        <w:t>n</w:t>
      </w:r>
      <w:r w:rsidRPr="00D306AF">
        <w:t xml:space="preserve"> al personal no docente</w:t>
      </w:r>
      <w:r w:rsidR="00826E7C" w:rsidRPr="00D306AF">
        <w:t xml:space="preserve"> del CEIMA</w:t>
      </w:r>
      <w:r w:rsidRPr="00D306AF">
        <w:t xml:space="preserve"> por </w:t>
      </w:r>
      <w:r w:rsidR="00E33515" w:rsidRPr="00D306AF">
        <w:t>su</w:t>
      </w:r>
      <w:r w:rsidRPr="00D306AF">
        <w:t xml:space="preserve"> </w:t>
      </w:r>
      <w:r w:rsidR="001F0C50" w:rsidRPr="00D306AF">
        <w:t xml:space="preserve">colaboración en la </w:t>
      </w:r>
      <w:r w:rsidRPr="00D306AF">
        <w:t>preparación de los medios de cultivo y limpieza del material</w:t>
      </w:r>
      <w:r w:rsidR="00E33515" w:rsidRPr="00D306AF">
        <w:t xml:space="preserve">, así como </w:t>
      </w:r>
      <w:r w:rsidR="00826E7C" w:rsidRPr="00D306AF">
        <w:t>a la Universidad Nacional de la Patagonia San Juan Bosco por permitir llevar a cabo esta investigación.</w:t>
      </w:r>
    </w:p>
    <w:p w14:paraId="039761CB" w14:textId="77777777" w:rsidR="00CE2C59" w:rsidRPr="00D306AF" w:rsidRDefault="00CE2C59" w:rsidP="00CE2C59">
      <w:pPr>
        <w:pStyle w:val="NormalWeb"/>
        <w:spacing w:line="480" w:lineRule="auto"/>
      </w:pPr>
      <w:r w:rsidRPr="00CE2C59">
        <w:rPr>
          <w:b/>
          <w:bCs/>
          <w:lang w:val="es-CO"/>
        </w:rPr>
        <w:t>CONTRIBUCIONES DE LOS AUTORES</w:t>
      </w:r>
    </w:p>
    <w:p w14:paraId="60C88544" w14:textId="5BD5B987" w:rsidR="00CA5A92" w:rsidRPr="00BD2B01" w:rsidRDefault="00CA5A92" w:rsidP="00CA5A92">
      <w:pPr>
        <w:pStyle w:val="NormalWeb"/>
        <w:spacing w:line="480" w:lineRule="auto"/>
        <w:jc w:val="both"/>
      </w:pPr>
      <w:bookmarkStart w:id="1" w:name="_Hlk225368454"/>
      <w:r>
        <w:t>R.A.D.: Conceptualización, Metodología, Investigación, Análisis formal, Visualización, Redacción – borrador original, Redacción – revisión y edición</w:t>
      </w:r>
      <w:r w:rsidR="00570047">
        <w:t xml:space="preserve">. </w:t>
      </w:r>
      <w:r>
        <w:t>M.G.: Metodología.</w:t>
      </w:r>
      <w:r w:rsidR="00570047">
        <w:t xml:space="preserve"> </w:t>
      </w:r>
      <w:r>
        <w:t>J.Q.: Metodología.</w:t>
      </w:r>
      <w:r w:rsidR="00570047">
        <w:t xml:space="preserve"> </w:t>
      </w:r>
      <w:r>
        <w:t>A.A.: Supervisión, Adquisición de fondos, Redacción. G.P.: Conceptualización, Supervisión, Adquisición de fondos, Redacción.</w:t>
      </w:r>
    </w:p>
    <w:bookmarkEnd w:id="1"/>
    <w:p w14:paraId="0457572D" w14:textId="6ABCC2A7" w:rsidR="008043CB" w:rsidRPr="00D306AF" w:rsidRDefault="008043CB" w:rsidP="00171EEA">
      <w:pPr>
        <w:pStyle w:val="NormalWeb"/>
        <w:spacing w:line="480" w:lineRule="auto"/>
        <w:rPr>
          <w:b/>
        </w:rPr>
      </w:pPr>
      <w:r w:rsidRPr="00D306AF">
        <w:rPr>
          <w:b/>
        </w:rPr>
        <w:t>CONFLICTO DE INTERES</w:t>
      </w:r>
      <w:r w:rsidR="00570047">
        <w:rPr>
          <w:b/>
        </w:rPr>
        <w:t>É</w:t>
      </w:r>
      <w:r w:rsidRPr="00D306AF">
        <w:rPr>
          <w:b/>
        </w:rPr>
        <w:t>S</w:t>
      </w:r>
    </w:p>
    <w:p w14:paraId="19660122" w14:textId="2B742864" w:rsidR="005B51C6" w:rsidRDefault="008043CB" w:rsidP="00171EEA">
      <w:pPr>
        <w:pStyle w:val="NormalWeb"/>
        <w:spacing w:line="480" w:lineRule="auto"/>
      </w:pPr>
      <w:r w:rsidRPr="00D306AF">
        <w:lastRenderedPageBreak/>
        <w:t>Los autores expresan que no hay conflictos de interés para la publicación de este artículo, de forma personal ni de las entidades vinculadas</w:t>
      </w:r>
      <w:r w:rsidR="002B4DEB" w:rsidRPr="00D306AF">
        <w:t>.</w:t>
      </w:r>
    </w:p>
    <w:p w14:paraId="08CC3746" w14:textId="36516F70" w:rsidR="0037235E" w:rsidRPr="00D306AF" w:rsidRDefault="00330820" w:rsidP="00171EEA">
      <w:pPr>
        <w:pStyle w:val="NormalWeb"/>
        <w:spacing w:line="480" w:lineRule="auto"/>
        <w:rPr>
          <w:b/>
          <w:shd w:val="clear" w:color="auto" w:fill="FFFFFF"/>
        </w:rPr>
      </w:pPr>
      <w:r w:rsidRPr="00D306AF">
        <w:rPr>
          <w:b/>
        </w:rPr>
        <w:t>REFERENCIAS</w:t>
      </w:r>
    </w:p>
    <w:p w14:paraId="492A742F" w14:textId="71EDF5C8" w:rsidR="006645BE" w:rsidRPr="00D306AF" w:rsidRDefault="00482700" w:rsidP="006645BE">
      <w:pPr>
        <w:pStyle w:val="Bibliografa"/>
        <w:jc w:val="both"/>
      </w:pPr>
      <w:r w:rsidRPr="00D306AF">
        <w:rPr>
          <w:lang w:val="en-US"/>
        </w:rPr>
        <w:fldChar w:fldCharType="begin"/>
      </w:r>
      <w:r w:rsidR="006645BE" w:rsidRPr="00D306AF">
        <w:instrText xml:space="preserve"> ADDIN ZOTERO_BIBL {"uncited":[],"omitted":[],"custom":[]} CSL_BIBLIOGRAPHY </w:instrText>
      </w:r>
      <w:r w:rsidRPr="00D306AF">
        <w:rPr>
          <w:lang w:val="en-US"/>
        </w:rPr>
        <w:fldChar w:fldCharType="separate"/>
      </w:r>
      <w:r w:rsidR="006645BE" w:rsidRPr="00D306AF">
        <w:t xml:space="preserve">Acuña, A. J., Krenek, J. F. P., Pucci, O. H. y Pucci, G. N. (2007). Biodegradación de hidrocarburos. Influencia de la fertilización en el proceso de biorremediación. </w:t>
      </w:r>
      <w:r w:rsidR="006645BE" w:rsidRPr="00D306AF">
        <w:rPr>
          <w:i/>
          <w:iCs/>
        </w:rPr>
        <w:t>Ingeniería Sanitaria y Ambiental</w:t>
      </w:r>
      <w:r w:rsidR="006645BE" w:rsidRPr="00D306AF">
        <w:t xml:space="preserve">, </w:t>
      </w:r>
      <w:r w:rsidR="006645BE" w:rsidRPr="00D306AF">
        <w:rPr>
          <w:i/>
          <w:iCs/>
        </w:rPr>
        <w:t>84</w:t>
      </w:r>
      <w:r w:rsidR="006645BE" w:rsidRPr="00D306AF">
        <w:t>, 82-86.</w:t>
      </w:r>
      <w:r w:rsidR="00A675B8" w:rsidRPr="00D306AF">
        <w:t xml:space="preserve"> </w:t>
      </w:r>
    </w:p>
    <w:p w14:paraId="7CB80550" w14:textId="2E4706EA" w:rsidR="006645BE" w:rsidRPr="00D306AF" w:rsidRDefault="006645BE" w:rsidP="006645BE">
      <w:pPr>
        <w:pStyle w:val="Bibliografa"/>
        <w:jc w:val="both"/>
      </w:pPr>
      <w:r w:rsidRPr="00D306AF">
        <w:t xml:space="preserve">Acuña, A. J., Tonín, N. L., Díaz, V., Pucci, G. N. y Pucci, O. H. (2012). Optimización de un sistema de biorremediación de hidrocarburos a escala de laboratorio. </w:t>
      </w:r>
      <w:r w:rsidRPr="00D306AF">
        <w:rPr>
          <w:i/>
          <w:iCs/>
        </w:rPr>
        <w:t>Ingeniería, investigación y tecnología</w:t>
      </w:r>
      <w:r w:rsidRPr="00D306AF">
        <w:t xml:space="preserve">, </w:t>
      </w:r>
      <w:r w:rsidRPr="00D306AF">
        <w:rPr>
          <w:i/>
          <w:iCs/>
        </w:rPr>
        <w:t>13</w:t>
      </w:r>
      <w:r w:rsidRPr="00D306AF">
        <w:t>(1), 105-112.</w:t>
      </w:r>
      <w:r w:rsidR="00A675B8" w:rsidRPr="00D306AF">
        <w:t xml:space="preserve"> https://doi.org/10.22201/fi.25940732e.2012.13n1.011</w:t>
      </w:r>
    </w:p>
    <w:p w14:paraId="3AB0D0E3" w14:textId="1B21C73E" w:rsidR="006645BE" w:rsidRPr="00D306AF" w:rsidRDefault="006645BE" w:rsidP="006645BE">
      <w:pPr>
        <w:pStyle w:val="Bibliografa"/>
        <w:jc w:val="both"/>
        <w:rPr>
          <w:lang w:val="en-US"/>
        </w:rPr>
      </w:pPr>
      <w:r w:rsidRPr="001D334F">
        <w:rPr>
          <w:lang w:val="en-US"/>
        </w:rPr>
        <w:t xml:space="preserve">Al-Hawash, A. B., Dragh, M. A., Li, S., Alhujaily, A., Abbood, H. A., Zhang, X. </w:t>
      </w:r>
      <w:r w:rsidR="007B6DBD" w:rsidRPr="001D334F">
        <w:rPr>
          <w:lang w:val="en-US"/>
        </w:rPr>
        <w:t>and</w:t>
      </w:r>
      <w:r w:rsidRPr="001D334F">
        <w:rPr>
          <w:lang w:val="en-US"/>
        </w:rPr>
        <w:t xml:space="preserve"> Ma, F. (2018). </w:t>
      </w:r>
      <w:r w:rsidRPr="00D306AF">
        <w:rPr>
          <w:lang w:val="en-US"/>
        </w:rPr>
        <w:t xml:space="preserve">Principles of microbial degradation of petroleum hydrocarbons in the environment. </w:t>
      </w:r>
      <w:r w:rsidRPr="00D306AF">
        <w:rPr>
          <w:i/>
          <w:iCs/>
          <w:lang w:val="en-US"/>
        </w:rPr>
        <w:t>Egyptian Journal of Aquatic Research</w:t>
      </w:r>
      <w:r w:rsidRPr="00D306AF">
        <w:rPr>
          <w:lang w:val="en-US"/>
        </w:rPr>
        <w:t xml:space="preserve">, </w:t>
      </w:r>
      <w:r w:rsidRPr="00D306AF">
        <w:rPr>
          <w:i/>
          <w:iCs/>
          <w:lang w:val="en-US"/>
        </w:rPr>
        <w:t>44</w:t>
      </w:r>
      <w:r w:rsidRPr="00D306AF">
        <w:rPr>
          <w:lang w:val="en-US"/>
        </w:rPr>
        <w:t>(2), 71-76. https://doi.org/10.1016/j.ejar.2018.06.001</w:t>
      </w:r>
      <w:r w:rsidR="007B6DBD" w:rsidRPr="00D306AF">
        <w:rPr>
          <w:lang w:val="en-US"/>
        </w:rPr>
        <w:t xml:space="preserve"> </w:t>
      </w:r>
    </w:p>
    <w:p w14:paraId="2C4A7400" w14:textId="389B43A3" w:rsidR="006645BE" w:rsidRPr="00D306AF" w:rsidRDefault="006645BE" w:rsidP="006645BE">
      <w:pPr>
        <w:pStyle w:val="Bibliografa"/>
        <w:jc w:val="both"/>
        <w:rPr>
          <w:lang w:val="en-US"/>
        </w:rPr>
      </w:pPr>
      <w:r w:rsidRPr="00D306AF">
        <w:rPr>
          <w:lang w:val="en-US"/>
        </w:rPr>
        <w:t>Aziz, Z. S., Jazza, S. H., Dageem, H. N., Banoon, S. R., Balboul, B. A.</w:t>
      </w:r>
      <w:r w:rsidR="00A24D53" w:rsidRPr="00D306AF">
        <w:rPr>
          <w:lang w:val="en-US"/>
        </w:rPr>
        <w:t xml:space="preserve"> and</w:t>
      </w:r>
      <w:r w:rsidRPr="00D306AF">
        <w:rPr>
          <w:lang w:val="en-US"/>
        </w:rPr>
        <w:t xml:space="preserve"> Abdelzaher, M. A. (2024). Bacterial biodegradation of oil-contaminated soil for pollutant abatement contributing to achieve sustainable development goals: A comprehensive review. </w:t>
      </w:r>
      <w:r w:rsidRPr="00D306AF">
        <w:rPr>
          <w:i/>
          <w:iCs/>
          <w:lang w:val="en-US"/>
        </w:rPr>
        <w:t>Results in Engineering</w:t>
      </w:r>
      <w:r w:rsidRPr="00D306AF">
        <w:rPr>
          <w:lang w:val="en-US"/>
        </w:rPr>
        <w:t xml:space="preserve">, </w:t>
      </w:r>
      <w:r w:rsidRPr="00D306AF">
        <w:rPr>
          <w:i/>
          <w:iCs/>
          <w:lang w:val="en-US"/>
        </w:rPr>
        <w:t>22</w:t>
      </w:r>
      <w:r w:rsidRPr="00D306AF">
        <w:rPr>
          <w:lang w:val="en-US"/>
        </w:rPr>
        <w:t>, 102083. https://doi.org/10.1016/j.rineng.2024.102083</w:t>
      </w:r>
      <w:r w:rsidR="00A24D53" w:rsidRPr="00D306AF">
        <w:rPr>
          <w:lang w:val="en-US"/>
        </w:rPr>
        <w:t xml:space="preserve"> </w:t>
      </w:r>
    </w:p>
    <w:p w14:paraId="3F50EE2E" w14:textId="04181584" w:rsidR="006645BE" w:rsidRPr="00D306AF" w:rsidRDefault="006645BE" w:rsidP="006645BE">
      <w:pPr>
        <w:pStyle w:val="Bibliografa"/>
        <w:jc w:val="both"/>
      </w:pPr>
      <w:r w:rsidRPr="00D306AF">
        <w:rPr>
          <w:lang w:val="en-US"/>
        </w:rPr>
        <w:t>Bala, S., Garg, D., Thirumalesh, B. V., Sharma, M., Sridhar, K., Inbaraj, B. S.</w:t>
      </w:r>
      <w:r w:rsidR="00A24D53" w:rsidRPr="00D306AF">
        <w:rPr>
          <w:lang w:val="en-US"/>
        </w:rPr>
        <w:t xml:space="preserve"> and</w:t>
      </w:r>
      <w:r w:rsidRPr="00D306AF">
        <w:rPr>
          <w:lang w:val="en-US"/>
        </w:rPr>
        <w:t xml:space="preserve"> Tripathi, M. (2022). Recent Strategies for Bioremediation of Emerging Pollutants: A Review for a Green and Sustainable Environment. </w:t>
      </w:r>
      <w:r w:rsidRPr="00D306AF">
        <w:rPr>
          <w:i/>
          <w:iCs/>
        </w:rPr>
        <w:t>Toxic</w:t>
      </w:r>
      <w:r w:rsidRPr="00D306AF">
        <w:t xml:space="preserve">, </w:t>
      </w:r>
      <w:r w:rsidRPr="00D306AF">
        <w:rPr>
          <w:i/>
          <w:iCs/>
        </w:rPr>
        <w:t>10</w:t>
      </w:r>
      <w:r w:rsidRPr="00D306AF">
        <w:t>(8), 484. https://doi.org/https://doi.org/10.3390/toxics10080484</w:t>
      </w:r>
      <w:r w:rsidR="00A24D53" w:rsidRPr="00D306AF">
        <w:t xml:space="preserve"> </w:t>
      </w:r>
    </w:p>
    <w:p w14:paraId="1ECE2DCF" w14:textId="07249EB5" w:rsidR="006645BE" w:rsidRPr="001D334F" w:rsidRDefault="006645BE" w:rsidP="006645BE">
      <w:pPr>
        <w:pStyle w:val="Bibliografa"/>
        <w:jc w:val="both"/>
        <w:rPr>
          <w:lang w:val="en-US"/>
        </w:rPr>
      </w:pPr>
      <w:r w:rsidRPr="00D306AF">
        <w:lastRenderedPageBreak/>
        <w:t>Barba, S., Villaseñor, J., Rodrigo, M. A.</w:t>
      </w:r>
      <w:r w:rsidR="00A24D53" w:rsidRPr="00D306AF">
        <w:t xml:space="preserve"> and</w:t>
      </w:r>
      <w:r w:rsidRPr="00D306AF">
        <w:t xml:space="preserve"> Cañizares, P. (2017). </w:t>
      </w:r>
      <w:r w:rsidRPr="00D306AF">
        <w:rPr>
          <w:lang w:val="en-US"/>
        </w:rPr>
        <w:t xml:space="preserve">Effect of the polarity reversal frequency in the electrokinetic-biological remediation of oxyfluorfen polluted soil. </w:t>
      </w:r>
      <w:r w:rsidRPr="001D334F">
        <w:rPr>
          <w:i/>
          <w:iCs/>
          <w:lang w:val="en-US"/>
        </w:rPr>
        <w:t>Chemosphere</w:t>
      </w:r>
      <w:r w:rsidRPr="001D334F">
        <w:rPr>
          <w:lang w:val="en-US"/>
        </w:rPr>
        <w:t xml:space="preserve">, </w:t>
      </w:r>
      <w:r w:rsidRPr="001D334F">
        <w:rPr>
          <w:i/>
          <w:iCs/>
          <w:lang w:val="en-US"/>
        </w:rPr>
        <w:t>177</w:t>
      </w:r>
      <w:r w:rsidRPr="001D334F">
        <w:rPr>
          <w:lang w:val="en-US"/>
        </w:rPr>
        <w:t>, 120-127. https://doi.org/10.1016/j.chemosphere.2017.03.002</w:t>
      </w:r>
      <w:r w:rsidR="00A24D53" w:rsidRPr="001D334F">
        <w:rPr>
          <w:lang w:val="en-US"/>
        </w:rPr>
        <w:t xml:space="preserve"> </w:t>
      </w:r>
    </w:p>
    <w:p w14:paraId="66C02288" w14:textId="6B247FEA" w:rsidR="006645BE" w:rsidRPr="00D306AF" w:rsidRDefault="006645BE" w:rsidP="006645BE">
      <w:pPr>
        <w:pStyle w:val="Bibliografa"/>
        <w:jc w:val="both"/>
      </w:pPr>
      <w:r w:rsidRPr="00ED3969">
        <w:rPr>
          <w:lang w:val="en-US"/>
        </w:rPr>
        <w:t>Baztan, M. S., Pucci, O. H.</w:t>
      </w:r>
      <w:r w:rsidR="00A24D53" w:rsidRPr="00ED3969">
        <w:rPr>
          <w:lang w:val="en-US"/>
        </w:rPr>
        <w:t xml:space="preserve"> and</w:t>
      </w:r>
      <w:r w:rsidRPr="00ED3969">
        <w:rPr>
          <w:lang w:val="en-US"/>
        </w:rPr>
        <w:t xml:space="preserve"> Pucci, G. N. (2015). </w:t>
      </w:r>
      <w:r w:rsidRPr="00D306AF">
        <w:rPr>
          <w:lang w:val="en-US"/>
        </w:rPr>
        <w:t xml:space="preserve">Electrobiorremediation of a Soil with an Old Hydrocarbon Contamination. </w:t>
      </w:r>
      <w:r w:rsidRPr="00D306AF">
        <w:rPr>
          <w:i/>
          <w:iCs/>
        </w:rPr>
        <w:t>Acta Biológica Colombiana</w:t>
      </w:r>
      <w:r w:rsidRPr="00D306AF">
        <w:t xml:space="preserve">, </w:t>
      </w:r>
      <w:r w:rsidRPr="00D306AF">
        <w:rPr>
          <w:i/>
          <w:iCs/>
        </w:rPr>
        <w:t>20</w:t>
      </w:r>
      <w:r w:rsidRPr="00D306AF">
        <w:t>(2), 145-152. https://doi.org/10.15446/abc.v20n2.4525</w:t>
      </w:r>
      <w:r w:rsidR="00A24D53" w:rsidRPr="00D306AF">
        <w:t xml:space="preserve"> </w:t>
      </w:r>
    </w:p>
    <w:p w14:paraId="73F9AE6B" w14:textId="1D176CFC" w:rsidR="006645BE" w:rsidRPr="00D306AF" w:rsidRDefault="006645BE" w:rsidP="006645BE">
      <w:pPr>
        <w:pStyle w:val="Bibliografa"/>
        <w:jc w:val="both"/>
        <w:rPr>
          <w:lang w:val="en-US"/>
        </w:rPr>
      </w:pPr>
      <w:r w:rsidRPr="00D306AF">
        <w:t>Bellagamba, M., Cruz Viggi, C., Ademollo, N., Rossetti, S.</w:t>
      </w:r>
      <w:r w:rsidR="00A24D53" w:rsidRPr="00D306AF">
        <w:t xml:space="preserve"> and</w:t>
      </w:r>
      <w:r w:rsidRPr="00D306AF">
        <w:t xml:space="preserve"> Aulenta, F. (2017). </w:t>
      </w:r>
      <w:r w:rsidRPr="00D306AF">
        <w:rPr>
          <w:lang w:val="en-US"/>
        </w:rPr>
        <w:t xml:space="preserve">Electrolysis-driven bioremediation of crude oil-contaminated marine sediments. </w:t>
      </w:r>
      <w:r w:rsidRPr="00D306AF">
        <w:rPr>
          <w:i/>
          <w:iCs/>
          <w:lang w:val="en-US"/>
        </w:rPr>
        <w:t>New Biotechnology, EBC-VI: Recent Advances in Environmental Biotechnology</w:t>
      </w:r>
      <w:r w:rsidRPr="00D306AF">
        <w:rPr>
          <w:lang w:val="en-US"/>
        </w:rPr>
        <w:t xml:space="preserve">, </w:t>
      </w:r>
      <w:r w:rsidRPr="00D306AF">
        <w:rPr>
          <w:i/>
          <w:iCs/>
          <w:lang w:val="en-US"/>
        </w:rPr>
        <w:t>38</w:t>
      </w:r>
      <w:r w:rsidR="007E2D53" w:rsidRPr="00ED3969">
        <w:rPr>
          <w:lang w:val="en-US"/>
        </w:rPr>
        <w:t>(</w:t>
      </w:r>
      <w:r w:rsidR="007E2D53" w:rsidRPr="00D306AF">
        <w:rPr>
          <w:lang w:val="en-US"/>
        </w:rPr>
        <w:t>Pt. B)</w:t>
      </w:r>
      <w:r w:rsidRPr="00D306AF">
        <w:rPr>
          <w:lang w:val="en-US"/>
        </w:rPr>
        <w:t>, 84-90. https://doi.org/10.1016/j.nbt.2016.03.003</w:t>
      </w:r>
      <w:r w:rsidR="00A24D53" w:rsidRPr="00D306AF">
        <w:rPr>
          <w:lang w:val="en-US"/>
        </w:rPr>
        <w:t xml:space="preserve"> </w:t>
      </w:r>
    </w:p>
    <w:p w14:paraId="4CA5381B" w14:textId="2A594E30" w:rsidR="006645BE" w:rsidRPr="00D306AF" w:rsidRDefault="006645BE" w:rsidP="006645BE">
      <w:pPr>
        <w:pStyle w:val="Bibliografa"/>
        <w:jc w:val="both"/>
        <w:rPr>
          <w:lang w:val="en-US"/>
        </w:rPr>
      </w:pPr>
      <w:r w:rsidRPr="00D306AF">
        <w:rPr>
          <w:lang w:val="en-US"/>
        </w:rPr>
        <w:t>Brzeszcz, J., Steliga, T., Ryszka, P., Kaszycki, P.</w:t>
      </w:r>
      <w:r w:rsidR="00A24D53" w:rsidRPr="00D306AF">
        <w:rPr>
          <w:lang w:val="en-US"/>
        </w:rPr>
        <w:t xml:space="preserve"> and</w:t>
      </w:r>
      <w:r w:rsidRPr="00D306AF">
        <w:rPr>
          <w:lang w:val="en-US"/>
        </w:rPr>
        <w:t xml:space="preserve"> Kapusta, P. (2024). Bacteria degrading both n-alkanes and aromatic hydrocarbons are prevalent in soils. </w:t>
      </w:r>
      <w:r w:rsidRPr="00D306AF">
        <w:rPr>
          <w:i/>
          <w:iCs/>
          <w:lang w:val="en-US"/>
        </w:rPr>
        <w:t>Environmental Science and Pollution Research</w:t>
      </w:r>
      <w:r w:rsidRPr="00D306AF">
        <w:rPr>
          <w:lang w:val="en-US"/>
        </w:rPr>
        <w:t xml:space="preserve">, </w:t>
      </w:r>
      <w:r w:rsidRPr="00D306AF">
        <w:rPr>
          <w:i/>
          <w:iCs/>
          <w:lang w:val="en-US"/>
        </w:rPr>
        <w:t>31</w:t>
      </w:r>
      <w:r w:rsidRPr="00D306AF">
        <w:rPr>
          <w:lang w:val="en-US"/>
        </w:rPr>
        <w:t>(4), 5668-5683. https://doi.org/10.1007/s11356-023-31405-8</w:t>
      </w:r>
      <w:r w:rsidR="00A24D53" w:rsidRPr="00D306AF">
        <w:rPr>
          <w:lang w:val="en-US"/>
        </w:rPr>
        <w:t xml:space="preserve"> </w:t>
      </w:r>
    </w:p>
    <w:p w14:paraId="796639C0" w14:textId="3AE0E1B7" w:rsidR="006645BE" w:rsidRPr="00D306AF" w:rsidRDefault="006645BE" w:rsidP="006645BE">
      <w:pPr>
        <w:pStyle w:val="Bibliografa"/>
        <w:jc w:val="both"/>
        <w:rPr>
          <w:lang w:val="en-US"/>
        </w:rPr>
      </w:pPr>
      <w:r w:rsidRPr="00D306AF">
        <w:rPr>
          <w:lang w:val="en-US"/>
        </w:rPr>
        <w:t>Cameselle, C.</w:t>
      </w:r>
      <w:r w:rsidR="00A24D53" w:rsidRPr="00D306AF">
        <w:rPr>
          <w:lang w:val="en-US"/>
        </w:rPr>
        <w:t xml:space="preserve"> and</w:t>
      </w:r>
      <w:r w:rsidRPr="00D306AF">
        <w:rPr>
          <w:lang w:val="en-US"/>
        </w:rPr>
        <w:t xml:space="preserve"> Reddy, K. R. (2022). Electrobioremediation: Combined Electrokinetics and Bioremediation Technology for Contaminated Site Remediation. </w:t>
      </w:r>
      <w:r w:rsidRPr="00D306AF">
        <w:rPr>
          <w:i/>
          <w:iCs/>
          <w:lang w:val="en-US"/>
        </w:rPr>
        <w:t>Indian Geotechnical Journal</w:t>
      </w:r>
      <w:r w:rsidRPr="00D306AF">
        <w:rPr>
          <w:lang w:val="en-US"/>
        </w:rPr>
        <w:t xml:space="preserve">, </w:t>
      </w:r>
      <w:r w:rsidRPr="00D306AF">
        <w:rPr>
          <w:i/>
          <w:iCs/>
          <w:lang w:val="en-US"/>
        </w:rPr>
        <w:t>52</w:t>
      </w:r>
      <w:r w:rsidRPr="00D306AF">
        <w:rPr>
          <w:lang w:val="en-US"/>
        </w:rPr>
        <w:t>, 1205-1225.</w:t>
      </w:r>
      <w:r w:rsidR="00A24D53" w:rsidRPr="00D306AF">
        <w:rPr>
          <w:lang w:val="en-US"/>
        </w:rPr>
        <w:t xml:space="preserve"> https://doi.org/10.1007/s40098-022-00643-x </w:t>
      </w:r>
    </w:p>
    <w:p w14:paraId="61C261B3" w14:textId="42622A97" w:rsidR="006645BE" w:rsidRPr="00ED3969" w:rsidRDefault="006645BE" w:rsidP="006645BE">
      <w:pPr>
        <w:pStyle w:val="Bibliografa"/>
        <w:jc w:val="both"/>
        <w:rPr>
          <w:lang w:val="en-US"/>
        </w:rPr>
      </w:pPr>
      <w:r w:rsidRPr="00D306AF">
        <w:rPr>
          <w:lang w:val="en-US"/>
        </w:rPr>
        <w:t>Chicca, I., Becarelli, S.</w:t>
      </w:r>
      <w:r w:rsidR="00A24D53" w:rsidRPr="00D306AF">
        <w:rPr>
          <w:lang w:val="en-US"/>
        </w:rPr>
        <w:t xml:space="preserve"> and</w:t>
      </w:r>
      <w:r w:rsidRPr="00D306AF">
        <w:rPr>
          <w:lang w:val="en-US"/>
        </w:rPr>
        <w:t xml:space="preserve"> Di Gregorio, S. (2022). Microbial Involvement in the Bioremediation of Total Petroleum Hydrocarbon Polluted Soils: Challenges and Perspectives. </w:t>
      </w:r>
      <w:r w:rsidRPr="00ED3969">
        <w:rPr>
          <w:i/>
          <w:iCs/>
          <w:lang w:val="en-US"/>
        </w:rPr>
        <w:t>Environments</w:t>
      </w:r>
      <w:r w:rsidRPr="00ED3969">
        <w:rPr>
          <w:lang w:val="en-US"/>
        </w:rPr>
        <w:t xml:space="preserve">, </w:t>
      </w:r>
      <w:r w:rsidRPr="00ED3969">
        <w:rPr>
          <w:i/>
          <w:iCs/>
          <w:lang w:val="en-US"/>
        </w:rPr>
        <w:t>9</w:t>
      </w:r>
      <w:r w:rsidRPr="00ED3969">
        <w:rPr>
          <w:lang w:val="en-US"/>
        </w:rPr>
        <w:t>(4), 52. https://doi.org/10.3390/environments9040052</w:t>
      </w:r>
      <w:r w:rsidR="00A24D53" w:rsidRPr="00ED3969">
        <w:rPr>
          <w:lang w:val="en-US"/>
        </w:rPr>
        <w:t xml:space="preserve"> </w:t>
      </w:r>
    </w:p>
    <w:p w14:paraId="792B000B" w14:textId="63700006" w:rsidR="006645BE" w:rsidRPr="00D306AF" w:rsidRDefault="006645BE" w:rsidP="006645BE">
      <w:pPr>
        <w:pStyle w:val="Bibliografa"/>
        <w:jc w:val="both"/>
        <w:rPr>
          <w:lang w:val="en-US"/>
        </w:rPr>
      </w:pPr>
      <w:r w:rsidRPr="00ED3969">
        <w:rPr>
          <w:lang w:val="en-US"/>
        </w:rPr>
        <w:lastRenderedPageBreak/>
        <w:t>Chunyan, X., Qaria, M. A., Qi, X.</w:t>
      </w:r>
      <w:r w:rsidR="00A24D53" w:rsidRPr="00ED3969">
        <w:rPr>
          <w:lang w:val="en-US"/>
        </w:rPr>
        <w:t xml:space="preserve"> and</w:t>
      </w:r>
      <w:r w:rsidRPr="00ED3969">
        <w:rPr>
          <w:lang w:val="en-US"/>
        </w:rPr>
        <w:t xml:space="preserve"> Daochen, Z. (2023). </w:t>
      </w:r>
      <w:r w:rsidRPr="00D306AF">
        <w:rPr>
          <w:lang w:val="en-US"/>
        </w:rPr>
        <w:t xml:space="preserve">The role of microorganisms in petroleum degradation: Current development and prospects. </w:t>
      </w:r>
      <w:r w:rsidRPr="00D306AF">
        <w:rPr>
          <w:i/>
          <w:iCs/>
          <w:lang w:val="en-US"/>
        </w:rPr>
        <w:t>Science of The Total Environment</w:t>
      </w:r>
      <w:r w:rsidRPr="00D306AF">
        <w:rPr>
          <w:lang w:val="en-US"/>
        </w:rPr>
        <w:t xml:space="preserve">, </w:t>
      </w:r>
      <w:r w:rsidRPr="00D306AF">
        <w:rPr>
          <w:i/>
          <w:iCs/>
          <w:lang w:val="en-US"/>
        </w:rPr>
        <w:t>865</w:t>
      </w:r>
      <w:r w:rsidRPr="00D306AF">
        <w:rPr>
          <w:lang w:val="en-US"/>
        </w:rPr>
        <w:t>, 161112. https://doi.org/10.1016/j.scitotenv.2022.161112</w:t>
      </w:r>
      <w:r w:rsidR="00A24D53" w:rsidRPr="00D306AF">
        <w:rPr>
          <w:lang w:val="en-US"/>
        </w:rPr>
        <w:t xml:space="preserve"> </w:t>
      </w:r>
    </w:p>
    <w:p w14:paraId="01AD950B" w14:textId="44218083" w:rsidR="006645BE" w:rsidRPr="00D306AF" w:rsidRDefault="006645BE" w:rsidP="006645BE">
      <w:pPr>
        <w:pStyle w:val="Bibliografa"/>
        <w:jc w:val="both"/>
        <w:rPr>
          <w:lang w:val="en-US"/>
        </w:rPr>
      </w:pPr>
      <w:r w:rsidRPr="00D306AF">
        <w:t>Costa, L. C., Carvalho, C. F., Soares, A. S. F., Souza, A. C. P., Bastos, E. F. T., Guimarães, E. C. B. T., Santos, J. C., Carvalho, T., Calderari, V. H., Marinho, L. S.</w:t>
      </w:r>
      <w:r w:rsidR="00A24D53" w:rsidRPr="00D306AF">
        <w:t xml:space="preserve"> and</w:t>
      </w:r>
      <w:r w:rsidRPr="00D306AF">
        <w:t xml:space="preserve"> Marques, M. R. C. (2023). </w:t>
      </w:r>
      <w:r w:rsidRPr="00D306AF">
        <w:rPr>
          <w:lang w:val="en-US"/>
        </w:rPr>
        <w:t xml:space="preserve">Physical and chemical characterization of drill cuttings: A review. </w:t>
      </w:r>
      <w:r w:rsidRPr="00D306AF">
        <w:rPr>
          <w:i/>
          <w:iCs/>
          <w:lang w:val="en-US"/>
        </w:rPr>
        <w:t>Marine Pollution Bulletin</w:t>
      </w:r>
      <w:r w:rsidRPr="00D306AF">
        <w:rPr>
          <w:lang w:val="en-US"/>
        </w:rPr>
        <w:t xml:space="preserve">, </w:t>
      </w:r>
      <w:r w:rsidRPr="00D306AF">
        <w:rPr>
          <w:i/>
          <w:iCs/>
          <w:lang w:val="en-US"/>
        </w:rPr>
        <w:t>194</w:t>
      </w:r>
      <w:r w:rsidR="00936D86" w:rsidRPr="00D306AF">
        <w:rPr>
          <w:lang w:val="en-US"/>
        </w:rPr>
        <w:t>(Pt. A)</w:t>
      </w:r>
      <w:r w:rsidRPr="00D306AF">
        <w:rPr>
          <w:lang w:val="en-US"/>
        </w:rPr>
        <w:t>, 115342. https://doi.org/10.1016/j.marpolbul.2023.115342</w:t>
      </w:r>
      <w:r w:rsidR="00A24D53" w:rsidRPr="00D306AF">
        <w:rPr>
          <w:lang w:val="en-US"/>
        </w:rPr>
        <w:t xml:space="preserve"> </w:t>
      </w:r>
    </w:p>
    <w:p w14:paraId="7B3B81F6" w14:textId="468C01C8" w:rsidR="006645BE" w:rsidRPr="00D306AF" w:rsidRDefault="006645BE" w:rsidP="006645BE">
      <w:pPr>
        <w:pStyle w:val="Bibliografa"/>
        <w:jc w:val="both"/>
        <w:rPr>
          <w:lang w:val="en-US"/>
        </w:rPr>
      </w:pPr>
      <w:r w:rsidRPr="00ED3969">
        <w:rPr>
          <w:lang w:val="en-US"/>
        </w:rPr>
        <w:t>Crognale, S., Cocarta, D. M., Streche, C.</w:t>
      </w:r>
      <w:r w:rsidR="00A24D53" w:rsidRPr="00ED3969">
        <w:rPr>
          <w:lang w:val="en-US"/>
        </w:rPr>
        <w:t xml:space="preserve"> and</w:t>
      </w:r>
      <w:r w:rsidRPr="00ED3969">
        <w:rPr>
          <w:lang w:val="en-US"/>
        </w:rPr>
        <w:t xml:space="preserve"> D’Annibale, A. (2020). </w:t>
      </w:r>
      <w:r w:rsidRPr="00D306AF">
        <w:rPr>
          <w:lang w:val="en-US"/>
        </w:rPr>
        <w:t xml:space="preserve">Development of laboratory-scale sequential electrokinetic and biological treatment of chronically hydrocarbon-impacted soils. </w:t>
      </w:r>
      <w:r w:rsidRPr="00D306AF">
        <w:rPr>
          <w:i/>
          <w:iCs/>
          <w:lang w:val="en-US"/>
        </w:rPr>
        <w:t>New Biotechnology</w:t>
      </w:r>
      <w:r w:rsidRPr="00D306AF">
        <w:rPr>
          <w:lang w:val="en-US"/>
        </w:rPr>
        <w:t xml:space="preserve">, </w:t>
      </w:r>
      <w:r w:rsidRPr="00D306AF">
        <w:rPr>
          <w:i/>
          <w:iCs/>
          <w:lang w:val="en-US"/>
        </w:rPr>
        <w:t>58</w:t>
      </w:r>
      <w:r w:rsidRPr="00D306AF">
        <w:rPr>
          <w:lang w:val="en-US"/>
        </w:rPr>
        <w:t>, 38-44. https://doi.org/10.1016/j.nbt.2020.04.002</w:t>
      </w:r>
      <w:r w:rsidR="00A24D53" w:rsidRPr="00D306AF">
        <w:rPr>
          <w:lang w:val="en-US"/>
        </w:rPr>
        <w:t xml:space="preserve"> </w:t>
      </w:r>
    </w:p>
    <w:p w14:paraId="34F5B8B3" w14:textId="6EEE1243" w:rsidR="006645BE" w:rsidRPr="00D306AF" w:rsidRDefault="006645BE" w:rsidP="006645BE">
      <w:pPr>
        <w:pStyle w:val="Bibliografa"/>
        <w:jc w:val="both"/>
      </w:pPr>
      <w:r w:rsidRPr="00D306AF">
        <w:rPr>
          <w:lang w:val="en-US"/>
        </w:rPr>
        <w:t>Das, A., Das, N., Rajkumari, J., Pandey, P.</w:t>
      </w:r>
      <w:r w:rsidR="00A24D53" w:rsidRPr="00D306AF">
        <w:rPr>
          <w:lang w:val="en-US"/>
        </w:rPr>
        <w:t xml:space="preserve"> and</w:t>
      </w:r>
      <w:r w:rsidRPr="00D306AF">
        <w:rPr>
          <w:lang w:val="en-US"/>
        </w:rPr>
        <w:t xml:space="preserve"> Pandey, P. (2024). Exploring the bioremediation potential of Bacillus spp. For sustainable mitigation of hydrocarbon contaminants. </w:t>
      </w:r>
      <w:r w:rsidRPr="00D306AF">
        <w:rPr>
          <w:i/>
          <w:iCs/>
        </w:rPr>
        <w:t>Environmental Sustainability</w:t>
      </w:r>
      <w:r w:rsidRPr="00D306AF">
        <w:t xml:space="preserve">, </w:t>
      </w:r>
      <w:r w:rsidRPr="00D306AF">
        <w:rPr>
          <w:i/>
          <w:iCs/>
        </w:rPr>
        <w:t>7</w:t>
      </w:r>
      <w:r w:rsidRPr="00D306AF">
        <w:t>, 135-156.</w:t>
      </w:r>
      <w:r w:rsidR="00A24D53" w:rsidRPr="00D306AF">
        <w:t xml:space="preserve"> https://doi.org/10.1007/s42398-024-00309-9</w:t>
      </w:r>
    </w:p>
    <w:p w14:paraId="51BB7F05" w14:textId="179AF456" w:rsidR="006645BE" w:rsidRPr="00D306AF" w:rsidRDefault="006645BE" w:rsidP="006645BE">
      <w:pPr>
        <w:pStyle w:val="Bibliografa"/>
        <w:jc w:val="both"/>
        <w:rPr>
          <w:lang w:val="en-US"/>
        </w:rPr>
      </w:pPr>
      <w:r w:rsidRPr="00D306AF">
        <w:t>Decesaro, A., Rempel, A., Machado, T. S., Cappellaro, Â. C., Machado, B. S., Cechin, I., Thomé, A.</w:t>
      </w:r>
      <w:r w:rsidR="00E14245" w:rsidRPr="00D306AF">
        <w:t xml:space="preserve"> and</w:t>
      </w:r>
      <w:r w:rsidRPr="00D306AF">
        <w:t xml:space="preserve"> Colla, L. M. (2021). </w:t>
      </w:r>
      <w:r w:rsidRPr="00D306AF">
        <w:rPr>
          <w:lang w:val="en-US"/>
        </w:rPr>
        <w:t xml:space="preserve">Bacterial biosurfactant increases ex situ biodiesel bioremediation in clayey soil. </w:t>
      </w:r>
      <w:r w:rsidRPr="00D306AF">
        <w:rPr>
          <w:i/>
          <w:iCs/>
          <w:lang w:val="en-US"/>
        </w:rPr>
        <w:t>Biodegradation</w:t>
      </w:r>
      <w:r w:rsidRPr="00D306AF">
        <w:rPr>
          <w:lang w:val="en-US"/>
        </w:rPr>
        <w:t xml:space="preserve">, </w:t>
      </w:r>
      <w:r w:rsidRPr="00D306AF">
        <w:rPr>
          <w:i/>
          <w:iCs/>
          <w:lang w:val="en-US"/>
        </w:rPr>
        <w:t>32</w:t>
      </w:r>
      <w:r w:rsidRPr="00D306AF">
        <w:rPr>
          <w:lang w:val="en-US"/>
        </w:rPr>
        <w:t>(4), 389-401. https://doi.org/10.1007/s10532-021-09944-z</w:t>
      </w:r>
      <w:r w:rsidR="00E14245" w:rsidRPr="00D306AF">
        <w:rPr>
          <w:lang w:val="en-US"/>
        </w:rPr>
        <w:t xml:space="preserve"> </w:t>
      </w:r>
    </w:p>
    <w:p w14:paraId="2104D469" w14:textId="634BD394" w:rsidR="006645BE" w:rsidRPr="00D306AF" w:rsidRDefault="006645BE" w:rsidP="006645BE">
      <w:pPr>
        <w:pStyle w:val="Bibliografa"/>
        <w:jc w:val="both"/>
        <w:rPr>
          <w:lang w:val="en-US"/>
        </w:rPr>
      </w:pPr>
      <w:r w:rsidRPr="00D306AF">
        <w:rPr>
          <w:lang w:val="en-US"/>
        </w:rPr>
        <w:t>Dhar, K., Subashchandrabose, S. R., Venkateswarlu, K., Krishnan, K.</w:t>
      </w:r>
      <w:r w:rsidR="00E14245" w:rsidRPr="00D306AF">
        <w:rPr>
          <w:lang w:val="en-US"/>
        </w:rPr>
        <w:t xml:space="preserve"> and</w:t>
      </w:r>
      <w:r w:rsidRPr="00D306AF">
        <w:rPr>
          <w:lang w:val="en-US"/>
        </w:rPr>
        <w:t xml:space="preserve"> Megharaj, M. (2020). Anaerobic Microbial Degradation of Polycyclic Aromatic Hydrocarbons: A Comprehensive Review. </w:t>
      </w:r>
      <w:r w:rsidR="00E14245" w:rsidRPr="00D306AF">
        <w:rPr>
          <w:lang w:val="en-US"/>
        </w:rPr>
        <w:t>I</w:t>
      </w:r>
      <w:r w:rsidRPr="00D306AF">
        <w:rPr>
          <w:lang w:val="en-US"/>
        </w:rPr>
        <w:t xml:space="preserve">n P. de Voogt (Ed.), </w:t>
      </w:r>
      <w:r w:rsidRPr="00D306AF">
        <w:rPr>
          <w:i/>
          <w:iCs/>
          <w:lang w:val="en-US"/>
        </w:rPr>
        <w:t xml:space="preserve">Reviews of Environmental </w:t>
      </w:r>
      <w:r w:rsidRPr="00D306AF">
        <w:rPr>
          <w:i/>
          <w:iCs/>
          <w:lang w:val="en-US"/>
        </w:rPr>
        <w:lastRenderedPageBreak/>
        <w:t>Contamination and Toxicology</w:t>
      </w:r>
      <w:r w:rsidR="004C3368" w:rsidRPr="00D306AF">
        <w:rPr>
          <w:lang w:val="en-US"/>
        </w:rPr>
        <w:t>,</w:t>
      </w:r>
      <w:r w:rsidRPr="00ED3969">
        <w:rPr>
          <w:i/>
          <w:iCs/>
          <w:lang w:val="en-US"/>
        </w:rPr>
        <w:t>251</w:t>
      </w:r>
      <w:r w:rsidRPr="00D306AF">
        <w:rPr>
          <w:lang w:val="en-US"/>
        </w:rPr>
        <w:t>, 25-108. Springer International Publishing. https://doi.org/10.1007/398_2019_29</w:t>
      </w:r>
      <w:r w:rsidR="00E14245" w:rsidRPr="00D306AF">
        <w:rPr>
          <w:lang w:val="en-US"/>
        </w:rPr>
        <w:t xml:space="preserve"> </w:t>
      </w:r>
    </w:p>
    <w:p w14:paraId="515581B5" w14:textId="214B7368" w:rsidR="006645BE" w:rsidRPr="00D306AF" w:rsidRDefault="006645BE" w:rsidP="006645BE">
      <w:pPr>
        <w:pStyle w:val="Bibliografa"/>
        <w:jc w:val="both"/>
        <w:rPr>
          <w:lang w:val="en-US"/>
        </w:rPr>
      </w:pPr>
      <w:r w:rsidRPr="00D306AF">
        <w:rPr>
          <w:lang w:val="en-US"/>
        </w:rPr>
        <w:t>Fan, R., Ma, W.</w:t>
      </w:r>
      <w:r w:rsidR="00E14245" w:rsidRPr="00D306AF">
        <w:rPr>
          <w:lang w:val="en-US"/>
        </w:rPr>
        <w:t xml:space="preserve"> and</w:t>
      </w:r>
      <w:r w:rsidRPr="00D306AF">
        <w:rPr>
          <w:lang w:val="en-US"/>
        </w:rPr>
        <w:t xml:space="preserve"> Zhang, H. (2020). Microbial community responses to soil parameters and their effects on petroleum degradation during bio-electrokinetic remediation. </w:t>
      </w:r>
      <w:r w:rsidRPr="00D306AF">
        <w:rPr>
          <w:i/>
          <w:iCs/>
          <w:lang w:val="en-US"/>
        </w:rPr>
        <w:t>Science of The Total Environment</w:t>
      </w:r>
      <w:r w:rsidRPr="00D306AF">
        <w:rPr>
          <w:lang w:val="en-US"/>
        </w:rPr>
        <w:t xml:space="preserve">, </w:t>
      </w:r>
      <w:r w:rsidRPr="00D306AF">
        <w:rPr>
          <w:i/>
          <w:iCs/>
          <w:lang w:val="en-US"/>
        </w:rPr>
        <w:t>748</w:t>
      </w:r>
      <w:r w:rsidRPr="00D306AF">
        <w:rPr>
          <w:lang w:val="en-US"/>
        </w:rPr>
        <w:t>, 142463. https://doi.org/10.1016/j.scitotenv.2020.142463</w:t>
      </w:r>
      <w:r w:rsidR="00E14245" w:rsidRPr="00D306AF">
        <w:rPr>
          <w:lang w:val="en-US"/>
        </w:rPr>
        <w:t xml:space="preserve"> </w:t>
      </w:r>
    </w:p>
    <w:p w14:paraId="585DD41E" w14:textId="30BD2A51" w:rsidR="006645BE" w:rsidRPr="00D306AF" w:rsidRDefault="006645BE" w:rsidP="006645BE">
      <w:pPr>
        <w:pStyle w:val="Bibliografa"/>
        <w:jc w:val="both"/>
        <w:rPr>
          <w:lang w:val="en-US"/>
        </w:rPr>
      </w:pPr>
      <w:r w:rsidRPr="001D334F">
        <w:rPr>
          <w:lang w:val="en-US"/>
        </w:rPr>
        <w:t>Fatehi, M., Mansoori Kermani, M.</w:t>
      </w:r>
      <w:r w:rsidR="00E14245" w:rsidRPr="001D334F">
        <w:rPr>
          <w:lang w:val="en-US"/>
        </w:rPr>
        <w:t xml:space="preserve"> and</w:t>
      </w:r>
      <w:r w:rsidRPr="001D334F">
        <w:rPr>
          <w:lang w:val="en-US"/>
        </w:rPr>
        <w:t xml:space="preserve"> Mohebbi, A. (2021). </w:t>
      </w:r>
      <w:r w:rsidRPr="00D306AF">
        <w:rPr>
          <w:lang w:val="en-US"/>
        </w:rPr>
        <w:t xml:space="preserve">Remediation of Pollution by Oil Spills. </w:t>
      </w:r>
      <w:r w:rsidR="00E14245" w:rsidRPr="00D306AF">
        <w:rPr>
          <w:lang w:val="en-US"/>
        </w:rPr>
        <w:t>I</w:t>
      </w:r>
      <w:r w:rsidRPr="00D306AF">
        <w:rPr>
          <w:lang w:val="en-US"/>
        </w:rPr>
        <w:t xml:space="preserve">n Inamuddin, M. I. Ahamed, y E. Lichtfouse (Eds.), </w:t>
      </w:r>
      <w:r w:rsidRPr="00D306AF">
        <w:rPr>
          <w:i/>
          <w:iCs/>
          <w:lang w:val="en-US"/>
        </w:rPr>
        <w:t>Water Pollution and Remediation: Organic Pollutants</w:t>
      </w:r>
      <w:r w:rsidRPr="00D306AF">
        <w:rPr>
          <w:lang w:val="en-US"/>
        </w:rPr>
        <w:t xml:space="preserve"> (Vol. 54, pp. 387-499). Springer International Publishing. https://doi.org/10.1007/978-3-030-52395-4_12</w:t>
      </w:r>
      <w:r w:rsidR="00E14245" w:rsidRPr="00D306AF">
        <w:rPr>
          <w:lang w:val="en-US"/>
        </w:rPr>
        <w:t xml:space="preserve"> </w:t>
      </w:r>
    </w:p>
    <w:p w14:paraId="229F7B29" w14:textId="18BFC9C6" w:rsidR="006645BE" w:rsidRPr="00D306AF" w:rsidRDefault="006645BE" w:rsidP="006645BE">
      <w:pPr>
        <w:pStyle w:val="Bibliografa"/>
        <w:jc w:val="both"/>
        <w:rPr>
          <w:lang w:val="en-US"/>
        </w:rPr>
      </w:pPr>
      <w:r w:rsidRPr="00D306AF">
        <w:rPr>
          <w:lang w:val="en-US"/>
        </w:rPr>
        <w:t>Ferreira, A. R., Guedes, P., Mateus, E. P., Jensen, P. E., Ribeiro, A. B.</w:t>
      </w:r>
      <w:r w:rsidR="00E14245" w:rsidRPr="00D306AF">
        <w:rPr>
          <w:lang w:val="en-US"/>
        </w:rPr>
        <w:t xml:space="preserve"> and</w:t>
      </w:r>
      <w:r w:rsidRPr="00D306AF">
        <w:rPr>
          <w:lang w:val="en-US"/>
        </w:rPr>
        <w:t xml:space="preserve"> Couto, N. (2021). Hydrocarbon-Contaminated Soil in Cold Climate Conditions: Electrokinetic-Bioremediation Technology as a Remediation Strategy. </w:t>
      </w:r>
      <w:r w:rsidR="00E14245" w:rsidRPr="00D306AF">
        <w:rPr>
          <w:lang w:val="en-US"/>
        </w:rPr>
        <w:t>I</w:t>
      </w:r>
      <w:r w:rsidRPr="00D306AF">
        <w:rPr>
          <w:lang w:val="en-US"/>
        </w:rPr>
        <w:t xml:space="preserve">n A. B. Ribeiro y M. N. Vara Prasad (Eds.), </w:t>
      </w:r>
      <w:r w:rsidRPr="00D306AF">
        <w:rPr>
          <w:i/>
          <w:iCs/>
          <w:lang w:val="en-US"/>
        </w:rPr>
        <w:t>Electrokinetic Remediation for Environmental Security and Sustainability</w:t>
      </w:r>
      <w:r w:rsidRPr="00D306AF">
        <w:rPr>
          <w:lang w:val="en-US"/>
        </w:rPr>
        <w:t xml:space="preserve"> (pp. 173-190). John Wiley &amp; Sons, Ltd. https://doi.org/10.1002/9781119670186.ch8</w:t>
      </w:r>
      <w:r w:rsidR="00E14245" w:rsidRPr="00D306AF">
        <w:rPr>
          <w:lang w:val="en-US"/>
        </w:rPr>
        <w:t xml:space="preserve"> </w:t>
      </w:r>
    </w:p>
    <w:p w14:paraId="5B449BD3" w14:textId="77777777" w:rsidR="006645BE" w:rsidRPr="001D334F" w:rsidRDefault="006645BE" w:rsidP="006645BE">
      <w:pPr>
        <w:pStyle w:val="Bibliografa"/>
        <w:jc w:val="both"/>
        <w:rPr>
          <w:lang w:val="en-US"/>
        </w:rPr>
      </w:pPr>
      <w:r w:rsidRPr="00D306AF">
        <w:rPr>
          <w:lang w:val="en-US"/>
        </w:rPr>
        <w:t xml:space="preserve">Fink, J. (2021). </w:t>
      </w:r>
      <w:r w:rsidRPr="00D306AF">
        <w:rPr>
          <w:i/>
          <w:iCs/>
          <w:lang w:val="en-US"/>
        </w:rPr>
        <w:t>Petroleum Engineer’s Guide to Oil Field Chemicals and Fluids</w:t>
      </w:r>
      <w:r w:rsidRPr="00D306AF">
        <w:rPr>
          <w:lang w:val="en-US"/>
        </w:rPr>
        <w:t xml:space="preserve">. </w:t>
      </w:r>
      <w:r w:rsidRPr="001D334F">
        <w:rPr>
          <w:lang w:val="en-US"/>
        </w:rPr>
        <w:t>Gulf Professional Publishing.</w:t>
      </w:r>
    </w:p>
    <w:p w14:paraId="0A8BE59E" w14:textId="61E11C44" w:rsidR="006645BE" w:rsidRPr="00D306AF" w:rsidRDefault="006645BE" w:rsidP="006645BE">
      <w:pPr>
        <w:pStyle w:val="Bibliografa"/>
        <w:jc w:val="both"/>
        <w:rPr>
          <w:lang w:val="en-US"/>
        </w:rPr>
      </w:pPr>
      <w:r w:rsidRPr="001D334F">
        <w:rPr>
          <w:lang w:val="en-US"/>
        </w:rPr>
        <w:t>Haque, S., Srivastava, N., Pal, D. B., Alkhanani, M. F., Almalki, A. H., Areeshi, M. Y., Naidu, R.</w:t>
      </w:r>
      <w:r w:rsidR="00E14245" w:rsidRPr="001D334F">
        <w:rPr>
          <w:lang w:val="en-US"/>
        </w:rPr>
        <w:t xml:space="preserve"> and</w:t>
      </w:r>
      <w:r w:rsidRPr="001D334F">
        <w:rPr>
          <w:lang w:val="en-US"/>
        </w:rPr>
        <w:t xml:space="preserve"> Gupta, V. K. (2022). </w:t>
      </w:r>
      <w:r w:rsidRPr="00D306AF">
        <w:rPr>
          <w:lang w:val="en-US"/>
        </w:rPr>
        <w:t xml:space="preserve">Functional microbiome strategies for the bioremediation of petroleum-hydrocarbon and heavy metal contaminated soils: A review. </w:t>
      </w:r>
      <w:r w:rsidRPr="00D306AF">
        <w:rPr>
          <w:i/>
          <w:iCs/>
          <w:lang w:val="en-US"/>
        </w:rPr>
        <w:t>Science of The Total Environment</w:t>
      </w:r>
      <w:r w:rsidRPr="00D306AF">
        <w:rPr>
          <w:lang w:val="en-US"/>
        </w:rPr>
        <w:t xml:space="preserve">, </w:t>
      </w:r>
      <w:r w:rsidRPr="00D306AF">
        <w:rPr>
          <w:i/>
          <w:iCs/>
          <w:lang w:val="en-US"/>
        </w:rPr>
        <w:t>833</w:t>
      </w:r>
      <w:r w:rsidRPr="00D306AF">
        <w:rPr>
          <w:lang w:val="en-US"/>
        </w:rPr>
        <w:t>, 155222. https://doi.org/10.1016/j.scitotenv.2022.155222</w:t>
      </w:r>
      <w:r w:rsidR="00E14245" w:rsidRPr="00D306AF">
        <w:rPr>
          <w:lang w:val="en-US"/>
        </w:rPr>
        <w:t xml:space="preserve"> </w:t>
      </w:r>
    </w:p>
    <w:p w14:paraId="33F49FF6" w14:textId="71750678" w:rsidR="006645BE" w:rsidRPr="00D306AF" w:rsidRDefault="006645BE" w:rsidP="006645BE">
      <w:pPr>
        <w:pStyle w:val="Bibliografa"/>
        <w:jc w:val="both"/>
        <w:rPr>
          <w:lang w:val="en-US"/>
        </w:rPr>
      </w:pPr>
      <w:r w:rsidRPr="00D306AF">
        <w:rPr>
          <w:lang w:val="en-US"/>
        </w:rPr>
        <w:lastRenderedPageBreak/>
        <w:t>Imron, M. F., Kurniawan, S. B., Ismail, N. ‘</w:t>
      </w:r>
      <w:proofErr w:type="spellStart"/>
      <w:r w:rsidRPr="00D306AF">
        <w:rPr>
          <w:lang w:val="en-US"/>
        </w:rPr>
        <w:t>Izzati</w:t>
      </w:r>
      <w:proofErr w:type="spellEnd"/>
      <w:r w:rsidR="00570047">
        <w:rPr>
          <w:lang w:val="en-US"/>
        </w:rPr>
        <w:t>.</w:t>
      </w:r>
      <w:r w:rsidRPr="00D306AF">
        <w:rPr>
          <w:lang w:val="en-US"/>
        </w:rPr>
        <w:t xml:space="preserve"> </w:t>
      </w:r>
      <w:r w:rsidR="00E14245" w:rsidRPr="00D306AF">
        <w:rPr>
          <w:lang w:val="en-US"/>
        </w:rPr>
        <w:t>and</w:t>
      </w:r>
      <w:r w:rsidRPr="00D306AF">
        <w:rPr>
          <w:lang w:val="en-US"/>
        </w:rPr>
        <w:t xml:space="preserve"> Abdullah, S. R. S. (2020). Future challenges in diesel biodegradation by bacteria isolates: A review. </w:t>
      </w:r>
      <w:r w:rsidRPr="00D306AF">
        <w:rPr>
          <w:i/>
          <w:iCs/>
          <w:lang w:val="en-US"/>
        </w:rPr>
        <w:t>Journal of Cleaner Production</w:t>
      </w:r>
      <w:r w:rsidRPr="00D306AF">
        <w:rPr>
          <w:lang w:val="en-US"/>
        </w:rPr>
        <w:t xml:space="preserve">, </w:t>
      </w:r>
      <w:r w:rsidRPr="00D306AF">
        <w:rPr>
          <w:i/>
          <w:iCs/>
          <w:lang w:val="en-US"/>
        </w:rPr>
        <w:t>251</w:t>
      </w:r>
      <w:r w:rsidRPr="00D306AF">
        <w:rPr>
          <w:lang w:val="en-US"/>
        </w:rPr>
        <w:t>, 119716. https://doi.org/10.1016/j.jclepro.2019.119716</w:t>
      </w:r>
      <w:r w:rsidR="00E14245" w:rsidRPr="00D306AF">
        <w:rPr>
          <w:lang w:val="en-US"/>
        </w:rPr>
        <w:t xml:space="preserve"> </w:t>
      </w:r>
    </w:p>
    <w:p w14:paraId="4AA977BC" w14:textId="46302F76" w:rsidR="006645BE" w:rsidRPr="001D334F" w:rsidRDefault="006645BE" w:rsidP="006645BE">
      <w:pPr>
        <w:pStyle w:val="Bibliografa"/>
        <w:jc w:val="both"/>
        <w:rPr>
          <w:lang w:val="en-US"/>
        </w:rPr>
      </w:pPr>
      <w:r w:rsidRPr="00D306AF">
        <w:rPr>
          <w:lang w:val="en-US"/>
        </w:rPr>
        <w:t>Kariyawasam, T., Doran, G. S., Howitt, J. A.</w:t>
      </w:r>
      <w:r w:rsidR="00E14245" w:rsidRPr="00D306AF">
        <w:rPr>
          <w:lang w:val="en-US"/>
        </w:rPr>
        <w:t xml:space="preserve"> and</w:t>
      </w:r>
      <w:r w:rsidRPr="00D306AF">
        <w:rPr>
          <w:lang w:val="en-US"/>
        </w:rPr>
        <w:t xml:space="preserve"> Prenzler, P. D. (2022). Polycyclic aromatic hydrocarbon contamination in soils and sediments: Sustainable approaches for extraction and remediation. </w:t>
      </w:r>
      <w:r w:rsidRPr="001D334F">
        <w:rPr>
          <w:i/>
          <w:iCs/>
          <w:lang w:val="en-US"/>
        </w:rPr>
        <w:t>Chemosphere</w:t>
      </w:r>
      <w:r w:rsidRPr="001D334F">
        <w:rPr>
          <w:lang w:val="en-US"/>
        </w:rPr>
        <w:t xml:space="preserve">, </w:t>
      </w:r>
      <w:r w:rsidRPr="001D334F">
        <w:rPr>
          <w:i/>
          <w:iCs/>
          <w:lang w:val="en-US"/>
        </w:rPr>
        <w:t>291</w:t>
      </w:r>
      <w:r w:rsidRPr="001D334F">
        <w:rPr>
          <w:lang w:val="en-US"/>
        </w:rPr>
        <w:t>, 132981. https://doi.org/10.1016/j.chemosphere.2021.132981</w:t>
      </w:r>
      <w:r w:rsidR="00E14245" w:rsidRPr="001D334F">
        <w:rPr>
          <w:lang w:val="en-US"/>
        </w:rPr>
        <w:t xml:space="preserve"> </w:t>
      </w:r>
    </w:p>
    <w:p w14:paraId="62633931" w14:textId="41032F4F" w:rsidR="006645BE" w:rsidRPr="00D306AF" w:rsidRDefault="006645BE" w:rsidP="006645BE">
      <w:pPr>
        <w:pStyle w:val="Bibliografa"/>
        <w:jc w:val="both"/>
        <w:rPr>
          <w:lang w:val="en-US"/>
        </w:rPr>
      </w:pPr>
      <w:r w:rsidRPr="001D334F">
        <w:rPr>
          <w:lang w:val="en-US"/>
        </w:rPr>
        <w:t>Kazamias, G.</w:t>
      </w:r>
      <w:r w:rsidR="00E14245" w:rsidRPr="001D334F">
        <w:rPr>
          <w:lang w:val="en-US"/>
        </w:rPr>
        <w:t xml:space="preserve"> and</w:t>
      </w:r>
      <w:r w:rsidRPr="001D334F">
        <w:rPr>
          <w:lang w:val="en-US"/>
        </w:rPr>
        <w:t xml:space="preserve"> Zorpas, A. A. (2021). </w:t>
      </w:r>
      <w:r w:rsidRPr="00D306AF">
        <w:rPr>
          <w:lang w:val="en-US"/>
        </w:rPr>
        <w:t xml:space="preserve">Drill cuttings waste management from oil &amp; gas exploitation industries through end-of-waste criteria in the framework of circular economy strategy. </w:t>
      </w:r>
      <w:r w:rsidRPr="00D306AF">
        <w:rPr>
          <w:i/>
          <w:iCs/>
          <w:lang w:val="en-US"/>
        </w:rPr>
        <w:t>Journal of Cleaner Production</w:t>
      </w:r>
      <w:r w:rsidRPr="00D306AF">
        <w:rPr>
          <w:lang w:val="en-US"/>
        </w:rPr>
        <w:t xml:space="preserve">, </w:t>
      </w:r>
      <w:r w:rsidRPr="00D306AF">
        <w:rPr>
          <w:i/>
          <w:iCs/>
          <w:lang w:val="en-US"/>
        </w:rPr>
        <w:t>322</w:t>
      </w:r>
      <w:r w:rsidRPr="00D306AF">
        <w:rPr>
          <w:lang w:val="en-US"/>
        </w:rPr>
        <w:t>, 129098. https://doi.org/10.1016/j.jclepro.2021.129098</w:t>
      </w:r>
      <w:r w:rsidR="00E14245" w:rsidRPr="00D306AF">
        <w:rPr>
          <w:lang w:val="en-US"/>
        </w:rPr>
        <w:t xml:space="preserve"> </w:t>
      </w:r>
    </w:p>
    <w:p w14:paraId="1395FB19" w14:textId="2B87D790" w:rsidR="006645BE" w:rsidRPr="00D306AF" w:rsidRDefault="006645BE" w:rsidP="006645BE">
      <w:pPr>
        <w:pStyle w:val="Bibliografa"/>
        <w:jc w:val="both"/>
        <w:rPr>
          <w:lang w:val="en-US"/>
        </w:rPr>
      </w:pPr>
      <w:r w:rsidRPr="00D306AF">
        <w:rPr>
          <w:lang w:val="en-US"/>
        </w:rPr>
        <w:t>Kong, X., Dong, R., King, T., Chen, F.</w:t>
      </w:r>
      <w:r w:rsidR="00E14245" w:rsidRPr="00D306AF">
        <w:rPr>
          <w:lang w:val="en-US"/>
        </w:rPr>
        <w:t xml:space="preserve"> and</w:t>
      </w:r>
      <w:r w:rsidRPr="00D306AF">
        <w:rPr>
          <w:lang w:val="en-US"/>
        </w:rPr>
        <w:t xml:space="preserve"> Li, H. (2022). Biodegradation Potential of Bacillus sp. PAH-2 on PAHs for Oil-Contaminated Seawater. </w:t>
      </w:r>
      <w:r w:rsidRPr="00D306AF">
        <w:rPr>
          <w:i/>
          <w:iCs/>
          <w:lang w:val="en-US"/>
        </w:rPr>
        <w:t>Molecules</w:t>
      </w:r>
      <w:r w:rsidRPr="00D306AF">
        <w:rPr>
          <w:lang w:val="en-US"/>
        </w:rPr>
        <w:t xml:space="preserve">, </w:t>
      </w:r>
      <w:r w:rsidRPr="00D306AF">
        <w:rPr>
          <w:i/>
          <w:iCs/>
          <w:lang w:val="en-US"/>
        </w:rPr>
        <w:t>27</w:t>
      </w:r>
      <w:r w:rsidRPr="00D306AF">
        <w:rPr>
          <w:lang w:val="en-US"/>
        </w:rPr>
        <w:t>(3), 687. https://doi.org/10.3390/molecules27030687</w:t>
      </w:r>
      <w:r w:rsidR="00E14245" w:rsidRPr="00D306AF">
        <w:rPr>
          <w:lang w:val="en-US"/>
        </w:rPr>
        <w:t xml:space="preserve"> </w:t>
      </w:r>
    </w:p>
    <w:p w14:paraId="7BCEAFF1" w14:textId="3B084225" w:rsidR="006645BE" w:rsidRPr="00D306AF" w:rsidRDefault="006645BE" w:rsidP="006645BE">
      <w:pPr>
        <w:pStyle w:val="Bibliografa"/>
        <w:jc w:val="both"/>
        <w:rPr>
          <w:lang w:val="en-US"/>
        </w:rPr>
      </w:pPr>
      <w:r w:rsidRPr="00D306AF">
        <w:rPr>
          <w:lang w:val="en-US"/>
        </w:rPr>
        <w:t>Kwon, J.-H., Ji, M.-K., Kumar, R., Islam, Md. M., Khan, M. A., Park, Y.-K., Yadav, K. K., Vaziri, R., Hwang, J.-H., Lee, W. H., Ahn, Y.-T.</w:t>
      </w:r>
      <w:r w:rsidR="00E14245" w:rsidRPr="00D306AF">
        <w:rPr>
          <w:lang w:val="en-US"/>
        </w:rPr>
        <w:t xml:space="preserve"> and</w:t>
      </w:r>
      <w:r w:rsidRPr="00D306AF">
        <w:rPr>
          <w:lang w:val="en-US"/>
        </w:rPr>
        <w:t xml:space="preserve"> Jeon, B.-H. (2023). Recent advancement in enhanced soil flushing for remediation of petroleum hydrocarbon-contaminated soil: A state-of-the-art review. </w:t>
      </w:r>
      <w:r w:rsidRPr="00D306AF">
        <w:rPr>
          <w:i/>
          <w:iCs/>
          <w:lang w:val="en-US"/>
        </w:rPr>
        <w:t>Reviews in Environmental Science and Bio/Technology</w:t>
      </w:r>
      <w:r w:rsidRPr="00D306AF">
        <w:rPr>
          <w:lang w:val="en-US"/>
        </w:rPr>
        <w:t xml:space="preserve">, </w:t>
      </w:r>
      <w:r w:rsidRPr="00D306AF">
        <w:rPr>
          <w:i/>
          <w:iCs/>
          <w:lang w:val="en-US"/>
        </w:rPr>
        <w:t>22</w:t>
      </w:r>
      <w:r w:rsidRPr="00D306AF">
        <w:rPr>
          <w:lang w:val="en-US"/>
        </w:rPr>
        <w:t>(3), 679-714. https://doi.org/10.1007/s11157-023-09657-0</w:t>
      </w:r>
      <w:r w:rsidR="00E14245" w:rsidRPr="00D306AF">
        <w:rPr>
          <w:lang w:val="en-US"/>
        </w:rPr>
        <w:t xml:space="preserve"> </w:t>
      </w:r>
    </w:p>
    <w:p w14:paraId="4340A3CA" w14:textId="4F331C75" w:rsidR="006645BE" w:rsidRPr="00D306AF" w:rsidRDefault="006645BE" w:rsidP="006645BE">
      <w:pPr>
        <w:pStyle w:val="Bibliografa"/>
        <w:jc w:val="both"/>
        <w:rPr>
          <w:lang w:val="en-US"/>
        </w:rPr>
      </w:pPr>
      <w:r w:rsidRPr="00D306AF">
        <w:rPr>
          <w:lang w:val="en-US"/>
        </w:rPr>
        <w:t>Li, F., Guo, S., Wu, B.</w:t>
      </w:r>
      <w:r w:rsidR="00E14245" w:rsidRPr="00D306AF">
        <w:rPr>
          <w:lang w:val="en-US"/>
        </w:rPr>
        <w:t xml:space="preserve"> and</w:t>
      </w:r>
      <w:r w:rsidRPr="00D306AF">
        <w:rPr>
          <w:lang w:val="en-US"/>
        </w:rPr>
        <w:t xml:space="preserve"> Wang, S. (2020). Pilot-scale electro-bioremediation of heavily PAH-contaminated soil from an abandoned coking plant site. </w:t>
      </w:r>
      <w:r w:rsidRPr="00D306AF">
        <w:rPr>
          <w:i/>
          <w:iCs/>
          <w:lang w:val="en-US"/>
        </w:rPr>
        <w:t>Chemosphere</w:t>
      </w:r>
      <w:r w:rsidRPr="00D306AF">
        <w:rPr>
          <w:lang w:val="en-US"/>
        </w:rPr>
        <w:t xml:space="preserve">, </w:t>
      </w:r>
      <w:r w:rsidRPr="00D306AF">
        <w:rPr>
          <w:i/>
          <w:iCs/>
          <w:lang w:val="en-US"/>
        </w:rPr>
        <w:t>244</w:t>
      </w:r>
      <w:r w:rsidRPr="00D306AF">
        <w:rPr>
          <w:lang w:val="en-US"/>
        </w:rPr>
        <w:t>, 125467. https://doi.org/10.1016/j.chemosphere.2019.125467</w:t>
      </w:r>
      <w:r w:rsidR="00E14245" w:rsidRPr="00D306AF">
        <w:rPr>
          <w:lang w:val="en-US"/>
        </w:rPr>
        <w:t xml:space="preserve"> </w:t>
      </w:r>
    </w:p>
    <w:p w14:paraId="21D8644F" w14:textId="0E9CE74F" w:rsidR="006645BE" w:rsidRPr="00D306AF" w:rsidRDefault="006645BE" w:rsidP="006645BE">
      <w:pPr>
        <w:pStyle w:val="Bibliografa"/>
        <w:jc w:val="both"/>
        <w:rPr>
          <w:lang w:val="en-US"/>
        </w:rPr>
      </w:pPr>
      <w:r w:rsidRPr="00D306AF">
        <w:rPr>
          <w:lang w:val="en-US"/>
        </w:rPr>
        <w:lastRenderedPageBreak/>
        <w:t>Mishra, S., Lin, Z., Pang, S., Zhang, Y., Bhatt, P.</w:t>
      </w:r>
      <w:r w:rsidR="00E14245" w:rsidRPr="00D306AF">
        <w:rPr>
          <w:lang w:val="en-US"/>
        </w:rPr>
        <w:t xml:space="preserve"> and</w:t>
      </w:r>
      <w:r w:rsidRPr="00D306AF">
        <w:rPr>
          <w:lang w:val="en-US"/>
        </w:rPr>
        <w:t xml:space="preserve"> Chen, S. (2021). Biosurfactant is a powerful tool for the bioremediation of heavy metals from contaminated soils. </w:t>
      </w:r>
      <w:r w:rsidRPr="00D306AF">
        <w:rPr>
          <w:i/>
          <w:iCs/>
          <w:lang w:val="en-US"/>
        </w:rPr>
        <w:t>Journal of Hazardous Materials</w:t>
      </w:r>
      <w:r w:rsidRPr="00D306AF">
        <w:rPr>
          <w:lang w:val="en-US"/>
        </w:rPr>
        <w:t xml:space="preserve">, </w:t>
      </w:r>
      <w:r w:rsidRPr="00D306AF">
        <w:rPr>
          <w:i/>
          <w:iCs/>
          <w:lang w:val="en-US"/>
        </w:rPr>
        <w:t>418</w:t>
      </w:r>
      <w:r w:rsidRPr="00D306AF">
        <w:rPr>
          <w:lang w:val="en-US"/>
        </w:rPr>
        <w:t>, 126253. https://doi.org/10.1016/j.jhazmat.2021.126253</w:t>
      </w:r>
      <w:r w:rsidR="00E14245" w:rsidRPr="00D306AF">
        <w:rPr>
          <w:lang w:val="en-US"/>
        </w:rPr>
        <w:t xml:space="preserve"> </w:t>
      </w:r>
    </w:p>
    <w:p w14:paraId="058D0212" w14:textId="24270872" w:rsidR="006645BE" w:rsidRPr="00D306AF" w:rsidRDefault="006645BE" w:rsidP="006645BE">
      <w:pPr>
        <w:pStyle w:val="Bibliografa"/>
        <w:jc w:val="both"/>
        <w:rPr>
          <w:lang w:val="en-US"/>
        </w:rPr>
      </w:pPr>
      <w:r w:rsidRPr="00D306AF">
        <w:rPr>
          <w:lang w:val="en-US"/>
        </w:rPr>
        <w:t>Mohanram, R., Jagtap, C.</w:t>
      </w:r>
      <w:r w:rsidR="00E14245" w:rsidRPr="00D306AF">
        <w:rPr>
          <w:lang w:val="en-US"/>
        </w:rPr>
        <w:t xml:space="preserve"> and</w:t>
      </w:r>
      <w:r w:rsidRPr="00D306AF">
        <w:rPr>
          <w:lang w:val="en-US"/>
        </w:rPr>
        <w:t xml:space="preserve"> Kumar, P. (2016). Isolation, screening, and characterization of surface-active agent-producing, oil-degrading marine bacteria of Mumbai Harbor. </w:t>
      </w:r>
      <w:r w:rsidRPr="00D306AF">
        <w:rPr>
          <w:i/>
          <w:iCs/>
          <w:lang w:val="en-US"/>
        </w:rPr>
        <w:t>Marine Pollution Bulletin</w:t>
      </w:r>
      <w:r w:rsidRPr="00D306AF">
        <w:rPr>
          <w:lang w:val="en-US"/>
        </w:rPr>
        <w:t xml:space="preserve">, </w:t>
      </w:r>
      <w:r w:rsidRPr="00D306AF">
        <w:rPr>
          <w:i/>
          <w:iCs/>
          <w:lang w:val="en-US"/>
        </w:rPr>
        <w:t>105</w:t>
      </w:r>
      <w:r w:rsidRPr="00D306AF">
        <w:rPr>
          <w:lang w:val="en-US"/>
        </w:rPr>
        <w:t>(1), 131-138. https://doi.org/10.1016/j.marpolbul.2016.02.040</w:t>
      </w:r>
      <w:r w:rsidR="00E14245" w:rsidRPr="00D306AF">
        <w:rPr>
          <w:lang w:val="en-US"/>
        </w:rPr>
        <w:t xml:space="preserve"> </w:t>
      </w:r>
    </w:p>
    <w:p w14:paraId="0D951813" w14:textId="384E3E35" w:rsidR="006645BE" w:rsidRPr="00D306AF" w:rsidRDefault="006645BE" w:rsidP="006645BE">
      <w:pPr>
        <w:pStyle w:val="Bibliografa"/>
        <w:jc w:val="both"/>
        <w:rPr>
          <w:lang w:val="en-US"/>
        </w:rPr>
      </w:pPr>
      <w:r w:rsidRPr="00D306AF">
        <w:rPr>
          <w:lang w:val="en-US"/>
        </w:rPr>
        <w:t>Nikolova, C.</w:t>
      </w:r>
      <w:r w:rsidR="00E14245" w:rsidRPr="00D306AF">
        <w:rPr>
          <w:lang w:val="en-US"/>
        </w:rPr>
        <w:t xml:space="preserve"> and</w:t>
      </w:r>
      <w:r w:rsidRPr="00D306AF">
        <w:rPr>
          <w:lang w:val="en-US"/>
        </w:rPr>
        <w:t xml:space="preserve"> Gutierrez, T. (2021). Biosurfactants and Their Applications in the Oil and Gas Industry: Current State of Knowledge and Future Perspectives. </w:t>
      </w:r>
      <w:r w:rsidRPr="00D306AF">
        <w:rPr>
          <w:i/>
          <w:iCs/>
          <w:lang w:val="en-US"/>
        </w:rPr>
        <w:t>Frontiers in Bioengineering and Biotechnology</w:t>
      </w:r>
      <w:r w:rsidRPr="00D306AF">
        <w:rPr>
          <w:lang w:val="en-US"/>
        </w:rPr>
        <w:t xml:space="preserve">, </w:t>
      </w:r>
      <w:r w:rsidRPr="00D306AF">
        <w:rPr>
          <w:i/>
          <w:iCs/>
          <w:lang w:val="en-US"/>
        </w:rPr>
        <w:t>9</w:t>
      </w:r>
      <w:r w:rsidR="00840103" w:rsidRPr="00D306AF">
        <w:rPr>
          <w:lang w:val="en-US"/>
        </w:rPr>
        <w:t xml:space="preserve">, </w:t>
      </w:r>
      <w:r w:rsidR="007660D1" w:rsidRPr="00D306AF">
        <w:rPr>
          <w:lang w:val="en-US"/>
        </w:rPr>
        <w:t>626639</w:t>
      </w:r>
      <w:r w:rsidRPr="00D306AF">
        <w:rPr>
          <w:lang w:val="en-US"/>
        </w:rPr>
        <w:t>. https://doi.org/10.3389/fbioe.2021.626639</w:t>
      </w:r>
      <w:r w:rsidR="00E14245" w:rsidRPr="00D306AF">
        <w:rPr>
          <w:lang w:val="en-US"/>
        </w:rPr>
        <w:t xml:space="preserve"> </w:t>
      </w:r>
    </w:p>
    <w:p w14:paraId="2BC958D6" w14:textId="7535AA8F" w:rsidR="006645BE" w:rsidRPr="00D306AF" w:rsidRDefault="006645BE" w:rsidP="006645BE">
      <w:pPr>
        <w:pStyle w:val="Bibliografa"/>
        <w:jc w:val="both"/>
        <w:rPr>
          <w:lang w:val="en-US"/>
        </w:rPr>
      </w:pPr>
      <w:r w:rsidRPr="00D306AF">
        <w:rPr>
          <w:lang w:val="en-US"/>
        </w:rPr>
        <w:t>Ossai, I. C., Ahmed, A., Hassan, A.</w:t>
      </w:r>
      <w:r w:rsidR="00E14245" w:rsidRPr="00D306AF">
        <w:rPr>
          <w:lang w:val="en-US"/>
        </w:rPr>
        <w:t xml:space="preserve"> and</w:t>
      </w:r>
      <w:r w:rsidRPr="00D306AF">
        <w:rPr>
          <w:lang w:val="en-US"/>
        </w:rPr>
        <w:t xml:space="preserve"> Hamid, F. S. (2020). Remediation of soil and water contaminated with petroleum hydrocarbon: A review. </w:t>
      </w:r>
      <w:r w:rsidRPr="00D306AF">
        <w:rPr>
          <w:i/>
          <w:iCs/>
          <w:lang w:val="en-US"/>
        </w:rPr>
        <w:t>Environmental Technology &amp; Innovation</w:t>
      </w:r>
      <w:r w:rsidRPr="00D306AF">
        <w:rPr>
          <w:lang w:val="en-US"/>
        </w:rPr>
        <w:t xml:space="preserve">, </w:t>
      </w:r>
      <w:r w:rsidRPr="00D306AF">
        <w:rPr>
          <w:i/>
          <w:iCs/>
          <w:lang w:val="en-US"/>
        </w:rPr>
        <w:t>17</w:t>
      </w:r>
      <w:r w:rsidRPr="00D306AF">
        <w:rPr>
          <w:lang w:val="en-US"/>
        </w:rPr>
        <w:t>, 100526. https://doi.org/10.1016/j.eti.2019.100526</w:t>
      </w:r>
      <w:r w:rsidR="00E14245" w:rsidRPr="00D306AF">
        <w:rPr>
          <w:lang w:val="en-US"/>
        </w:rPr>
        <w:t xml:space="preserve"> </w:t>
      </w:r>
    </w:p>
    <w:p w14:paraId="6661CB9A" w14:textId="08789832" w:rsidR="006645BE" w:rsidRPr="00D306AF" w:rsidRDefault="006645BE" w:rsidP="006645BE">
      <w:pPr>
        <w:pStyle w:val="Bibliografa"/>
        <w:jc w:val="both"/>
        <w:rPr>
          <w:lang w:val="en-US"/>
        </w:rPr>
      </w:pPr>
      <w:r w:rsidRPr="00D306AF">
        <w:rPr>
          <w:lang w:val="en-US"/>
        </w:rPr>
        <w:t>Patel, A. B., Shaikh, S., Jain, K. R., Desai, C.</w:t>
      </w:r>
      <w:r w:rsidR="00E14245" w:rsidRPr="00D306AF">
        <w:rPr>
          <w:lang w:val="en-US"/>
        </w:rPr>
        <w:t xml:space="preserve"> and</w:t>
      </w:r>
      <w:r w:rsidRPr="00D306AF">
        <w:rPr>
          <w:lang w:val="en-US"/>
        </w:rPr>
        <w:t xml:space="preserve"> Madamwar, D. (2020). Polycyclic Aromatic Hydrocarbons: Sources, Toxicity, and Remediation Approaches. </w:t>
      </w:r>
      <w:r w:rsidRPr="00D306AF">
        <w:rPr>
          <w:i/>
          <w:iCs/>
          <w:lang w:val="en-US"/>
        </w:rPr>
        <w:t>Frontiers in Microbiology</w:t>
      </w:r>
      <w:r w:rsidRPr="00D306AF">
        <w:rPr>
          <w:lang w:val="en-US"/>
        </w:rPr>
        <w:t xml:space="preserve">, </w:t>
      </w:r>
      <w:r w:rsidRPr="00D306AF">
        <w:rPr>
          <w:i/>
          <w:iCs/>
          <w:lang w:val="en-US"/>
        </w:rPr>
        <w:t>11</w:t>
      </w:r>
      <w:r w:rsidRPr="00D306AF">
        <w:rPr>
          <w:lang w:val="en-US"/>
        </w:rPr>
        <w:t>. https://doi.org/10.3389/fmicb.2020.562813</w:t>
      </w:r>
      <w:r w:rsidR="00E14245" w:rsidRPr="00D306AF">
        <w:rPr>
          <w:lang w:val="en-US"/>
        </w:rPr>
        <w:t xml:space="preserve"> </w:t>
      </w:r>
    </w:p>
    <w:p w14:paraId="50CCC62F" w14:textId="0DAC13B6" w:rsidR="006645BE" w:rsidRPr="001D334F" w:rsidRDefault="006645BE" w:rsidP="006645BE">
      <w:pPr>
        <w:pStyle w:val="Bibliografa"/>
        <w:jc w:val="both"/>
        <w:rPr>
          <w:lang w:val="en-US"/>
        </w:rPr>
      </w:pPr>
      <w:r w:rsidRPr="001D334F">
        <w:rPr>
          <w:lang w:val="en-US"/>
        </w:rPr>
        <w:t>Pereira, L. B., Sad, C. M. S., Castro, E. V. R., Filgueiras, P. R.</w:t>
      </w:r>
      <w:r w:rsidR="00E14245" w:rsidRPr="001D334F">
        <w:rPr>
          <w:lang w:val="en-US"/>
        </w:rPr>
        <w:t xml:space="preserve"> and</w:t>
      </w:r>
      <w:r w:rsidRPr="001D334F">
        <w:rPr>
          <w:lang w:val="en-US"/>
        </w:rPr>
        <w:t xml:space="preserve"> Lacerda, V. (2022). </w:t>
      </w:r>
      <w:r w:rsidRPr="00D306AF">
        <w:rPr>
          <w:lang w:val="en-US"/>
        </w:rPr>
        <w:t xml:space="preserve">Environmental impacts related to drilling fluid waste and treatment methods: A critical review. </w:t>
      </w:r>
      <w:r w:rsidRPr="001D334F">
        <w:rPr>
          <w:i/>
          <w:iCs/>
          <w:lang w:val="en-US"/>
        </w:rPr>
        <w:t>Fuel</w:t>
      </w:r>
      <w:r w:rsidRPr="001D334F">
        <w:rPr>
          <w:lang w:val="en-US"/>
        </w:rPr>
        <w:t xml:space="preserve">, </w:t>
      </w:r>
      <w:r w:rsidRPr="001D334F">
        <w:rPr>
          <w:i/>
          <w:iCs/>
          <w:lang w:val="en-US"/>
        </w:rPr>
        <w:t>310</w:t>
      </w:r>
      <w:r w:rsidR="009C3894" w:rsidRPr="00D306AF">
        <w:rPr>
          <w:lang w:val="en-US"/>
        </w:rPr>
        <w:t>(Pt. B)</w:t>
      </w:r>
      <w:r w:rsidRPr="001D334F">
        <w:rPr>
          <w:lang w:val="en-US"/>
        </w:rPr>
        <w:t>, 122301. https://doi.org/10.1016/j.fuel.2021.122301</w:t>
      </w:r>
      <w:r w:rsidR="00E14245" w:rsidRPr="001D334F">
        <w:rPr>
          <w:lang w:val="en-US"/>
        </w:rPr>
        <w:t xml:space="preserve"> </w:t>
      </w:r>
    </w:p>
    <w:p w14:paraId="5ADBE0D9" w14:textId="6AAE0DEE" w:rsidR="006645BE" w:rsidRPr="00D306AF" w:rsidRDefault="006645BE" w:rsidP="006645BE">
      <w:pPr>
        <w:pStyle w:val="Bibliografa"/>
        <w:jc w:val="both"/>
        <w:rPr>
          <w:lang w:val="en-US"/>
        </w:rPr>
      </w:pPr>
      <w:r w:rsidRPr="001D334F">
        <w:rPr>
          <w:lang w:val="en-US"/>
        </w:rPr>
        <w:t>Prakash, A. A., Prabhu, N. S., Rajasekar, A., Parthipan, P., AlSalhi, M. S., Devanesan, S.</w:t>
      </w:r>
      <w:r w:rsidR="00E14245" w:rsidRPr="001D334F">
        <w:rPr>
          <w:lang w:val="en-US"/>
        </w:rPr>
        <w:t xml:space="preserve"> and</w:t>
      </w:r>
      <w:r w:rsidRPr="001D334F">
        <w:rPr>
          <w:lang w:val="en-US"/>
        </w:rPr>
        <w:t xml:space="preserve"> Govarthanan, M. (2021). </w:t>
      </w:r>
      <w:r w:rsidRPr="00D306AF">
        <w:rPr>
          <w:lang w:val="en-US"/>
        </w:rPr>
        <w:t xml:space="preserve">Bio-electrokinetic remediation of crude oil contaminated </w:t>
      </w:r>
      <w:r w:rsidRPr="00D306AF">
        <w:rPr>
          <w:lang w:val="en-US"/>
        </w:rPr>
        <w:lastRenderedPageBreak/>
        <w:t xml:space="preserve">soil enhanced by bacterial biosurfactant. </w:t>
      </w:r>
      <w:r w:rsidRPr="00D306AF">
        <w:rPr>
          <w:i/>
          <w:iCs/>
          <w:lang w:val="en-US"/>
        </w:rPr>
        <w:t>Journal of Hazardous Materials</w:t>
      </w:r>
      <w:r w:rsidRPr="00D306AF">
        <w:rPr>
          <w:lang w:val="en-US"/>
        </w:rPr>
        <w:t xml:space="preserve">, </w:t>
      </w:r>
      <w:r w:rsidRPr="00D306AF">
        <w:rPr>
          <w:i/>
          <w:iCs/>
          <w:lang w:val="en-US"/>
        </w:rPr>
        <w:t>405</w:t>
      </w:r>
      <w:r w:rsidRPr="00D306AF">
        <w:rPr>
          <w:lang w:val="en-US"/>
        </w:rPr>
        <w:t>, 124061. https://doi.org/10.1016/j.jhazmat.2020.124061</w:t>
      </w:r>
      <w:r w:rsidR="00E14245" w:rsidRPr="00D306AF">
        <w:rPr>
          <w:lang w:val="en-US"/>
        </w:rPr>
        <w:t xml:space="preserve"> </w:t>
      </w:r>
    </w:p>
    <w:p w14:paraId="404DD4A0" w14:textId="663838EE" w:rsidR="006645BE" w:rsidRPr="00D306AF" w:rsidRDefault="006645BE" w:rsidP="006645BE">
      <w:pPr>
        <w:pStyle w:val="Bibliografa"/>
        <w:jc w:val="both"/>
      </w:pPr>
      <w:r w:rsidRPr="00D306AF">
        <w:rPr>
          <w:lang w:val="en-US"/>
        </w:rPr>
        <w:t>Premnath, N., Mohanrasu, K., Guru Raj Rao, R., Dinesh, G. H., Siva Prakash, G., Pugazhendhi, A., Jeyakanthan, J., Govarthanan, M., Kumar, P.</w:t>
      </w:r>
      <w:r w:rsidR="00E14245" w:rsidRPr="00D306AF">
        <w:rPr>
          <w:lang w:val="en-US"/>
        </w:rPr>
        <w:t xml:space="preserve"> and</w:t>
      </w:r>
      <w:r w:rsidRPr="00D306AF">
        <w:rPr>
          <w:lang w:val="en-US"/>
        </w:rPr>
        <w:t xml:space="preserve"> Arun, A. (2021). Effect of C/N substrates for enhanced extracellular polymeric substances (EPS) production and Poly Cyclic Aromatic Hydrocarbons (PAHs) degradation. </w:t>
      </w:r>
      <w:r w:rsidRPr="00D306AF">
        <w:rPr>
          <w:i/>
          <w:iCs/>
        </w:rPr>
        <w:t>Environmental Pollution</w:t>
      </w:r>
      <w:r w:rsidRPr="00D306AF">
        <w:t xml:space="preserve">, </w:t>
      </w:r>
      <w:r w:rsidRPr="00D306AF">
        <w:rPr>
          <w:i/>
          <w:iCs/>
        </w:rPr>
        <w:t>275</w:t>
      </w:r>
      <w:r w:rsidRPr="00D306AF">
        <w:t>, 116035. https://doi.org/10.1016/j.envpol.2020.116035</w:t>
      </w:r>
      <w:r w:rsidR="00E14245" w:rsidRPr="00D306AF">
        <w:t xml:space="preserve"> </w:t>
      </w:r>
    </w:p>
    <w:p w14:paraId="04E2D845" w14:textId="22107B14" w:rsidR="006645BE" w:rsidRPr="00D306AF" w:rsidRDefault="006645BE" w:rsidP="006645BE">
      <w:pPr>
        <w:pStyle w:val="Bibliografa"/>
        <w:jc w:val="both"/>
        <w:rPr>
          <w:lang w:val="en-US"/>
        </w:rPr>
      </w:pPr>
      <w:r w:rsidRPr="00D306AF">
        <w:t xml:space="preserve">Pucci, G. N. y Pucci, O. H. (2003). Biodegradabilidad de componentes de mezclas naturales de hidrocarburos previamente sometidas a landfarming. </w:t>
      </w:r>
      <w:r w:rsidRPr="00D306AF">
        <w:rPr>
          <w:i/>
          <w:iCs/>
          <w:lang w:val="en-US"/>
        </w:rPr>
        <w:t>Rev. argent. microbiol</w:t>
      </w:r>
      <w:r w:rsidRPr="00D306AF">
        <w:rPr>
          <w:lang w:val="en-US"/>
        </w:rPr>
        <w:t>, 62-68.</w:t>
      </w:r>
      <w:r w:rsidR="00E14245" w:rsidRPr="00D306AF">
        <w:rPr>
          <w:lang w:val="en-US"/>
        </w:rPr>
        <w:t xml:space="preserve"> </w:t>
      </w:r>
    </w:p>
    <w:p w14:paraId="0D8F6FE3" w14:textId="0861E7F1" w:rsidR="006645BE" w:rsidRPr="00D306AF" w:rsidRDefault="006645BE" w:rsidP="006645BE">
      <w:pPr>
        <w:pStyle w:val="Bibliografa"/>
        <w:jc w:val="both"/>
      </w:pPr>
      <w:r w:rsidRPr="00D306AF">
        <w:rPr>
          <w:lang w:val="en-US"/>
        </w:rPr>
        <w:t xml:space="preserve">Qattan, S. Y. A. (2025). Harnessing bacterial consortia for effective bioremediation: Targeted removal of heavy metals, hydrocarbons, and persistent pollutants. </w:t>
      </w:r>
      <w:r w:rsidRPr="00D306AF">
        <w:rPr>
          <w:i/>
          <w:iCs/>
        </w:rPr>
        <w:t>Environmental Sciences Europe</w:t>
      </w:r>
      <w:r w:rsidRPr="00D306AF">
        <w:t xml:space="preserve">, </w:t>
      </w:r>
      <w:r w:rsidRPr="00D306AF">
        <w:rPr>
          <w:i/>
          <w:iCs/>
        </w:rPr>
        <w:t>37</w:t>
      </w:r>
      <w:r w:rsidRPr="00D306AF">
        <w:t>(1), 85. https://doi.org/10.1186/s12302-025-01103-y</w:t>
      </w:r>
      <w:r w:rsidR="00E14245" w:rsidRPr="00D306AF">
        <w:t xml:space="preserve"> </w:t>
      </w:r>
    </w:p>
    <w:p w14:paraId="4BAD8ADB" w14:textId="7C8D3217" w:rsidR="00E14245" w:rsidRPr="00D306AF" w:rsidRDefault="00E14245" w:rsidP="00E14245">
      <w:pPr>
        <w:pStyle w:val="Bibliografa"/>
        <w:jc w:val="both"/>
      </w:pPr>
      <w:r w:rsidRPr="00D306AF">
        <w:t xml:space="preserve">Rabelo Florez, R. A. y Márquez, M. A.  (2020). Bacterias Gram negativas biodegradadoras de hidrocarburos. </w:t>
      </w:r>
      <w:r w:rsidRPr="00D306AF">
        <w:rPr>
          <w:i/>
          <w:iCs/>
        </w:rPr>
        <w:t>Revista de Ciencias</w:t>
      </w:r>
      <w:r w:rsidRPr="00D306AF">
        <w:t xml:space="preserve">, </w:t>
      </w:r>
      <w:r w:rsidRPr="00D306AF">
        <w:rPr>
          <w:i/>
          <w:iCs/>
        </w:rPr>
        <w:t>24</w:t>
      </w:r>
      <w:r w:rsidRPr="00D306AF">
        <w:t xml:space="preserve">(2), e9935-e9935. https://doi.org/10.25100/rc.v24i2.9935 </w:t>
      </w:r>
    </w:p>
    <w:p w14:paraId="52C4205F" w14:textId="6699E7A4" w:rsidR="006645BE" w:rsidRPr="00D306AF" w:rsidRDefault="006645BE" w:rsidP="006645BE">
      <w:pPr>
        <w:pStyle w:val="Bibliografa"/>
        <w:jc w:val="both"/>
        <w:rPr>
          <w:lang w:val="en-US"/>
        </w:rPr>
      </w:pPr>
      <w:r w:rsidRPr="001D334F">
        <w:rPr>
          <w:lang w:val="en-US"/>
        </w:rPr>
        <w:t>Reasoner, D. J.</w:t>
      </w:r>
      <w:r w:rsidR="00E14245" w:rsidRPr="001D334F">
        <w:rPr>
          <w:lang w:val="en-US"/>
        </w:rPr>
        <w:t xml:space="preserve"> and</w:t>
      </w:r>
      <w:r w:rsidRPr="001D334F">
        <w:rPr>
          <w:lang w:val="en-US"/>
        </w:rPr>
        <w:t xml:space="preserve"> Geldreich, E. E. (1985). </w:t>
      </w:r>
      <w:r w:rsidRPr="00D306AF">
        <w:rPr>
          <w:lang w:val="en-US"/>
        </w:rPr>
        <w:t xml:space="preserve">A new medium for the enumeration and subculture of bacteria from potable water. </w:t>
      </w:r>
      <w:r w:rsidRPr="00D306AF">
        <w:rPr>
          <w:i/>
          <w:iCs/>
          <w:lang w:val="en-US"/>
        </w:rPr>
        <w:t>Applied and Environmental Microbiology</w:t>
      </w:r>
      <w:r w:rsidRPr="00D306AF">
        <w:rPr>
          <w:lang w:val="en-US"/>
        </w:rPr>
        <w:t xml:space="preserve">, </w:t>
      </w:r>
      <w:r w:rsidRPr="00D306AF">
        <w:rPr>
          <w:i/>
          <w:iCs/>
          <w:lang w:val="en-US"/>
        </w:rPr>
        <w:t>49</w:t>
      </w:r>
      <w:r w:rsidRPr="00D306AF">
        <w:rPr>
          <w:lang w:val="en-US"/>
        </w:rPr>
        <w:t>(1), 1-7. https://doi.org/10.1128/aem.49.1.1-7.1985</w:t>
      </w:r>
      <w:r w:rsidR="00E14245" w:rsidRPr="00D306AF">
        <w:rPr>
          <w:lang w:val="en-US"/>
        </w:rPr>
        <w:t xml:space="preserve"> </w:t>
      </w:r>
    </w:p>
    <w:p w14:paraId="491AAC3C" w14:textId="69C12F54" w:rsidR="006645BE" w:rsidRPr="00D306AF" w:rsidRDefault="006645BE" w:rsidP="006645BE">
      <w:pPr>
        <w:pStyle w:val="Bibliografa"/>
        <w:jc w:val="both"/>
        <w:rPr>
          <w:lang w:val="en-US"/>
        </w:rPr>
      </w:pPr>
      <w:r w:rsidRPr="00D306AF">
        <w:rPr>
          <w:lang w:val="en-US"/>
        </w:rPr>
        <w:t>Sam, K., Onyena, A. P., Zabbey, N., Odoh, C. K., Nwipie, G. N., Nkeeh, D. K., Osuji, L. C.</w:t>
      </w:r>
      <w:r w:rsidR="00E14245" w:rsidRPr="00D306AF">
        <w:rPr>
          <w:lang w:val="en-US"/>
        </w:rPr>
        <w:t xml:space="preserve"> and</w:t>
      </w:r>
      <w:r w:rsidRPr="00D306AF">
        <w:rPr>
          <w:lang w:val="en-US"/>
        </w:rPr>
        <w:t xml:space="preserve"> Little, D. I. (2023). Prospects of emerging PAH sources and remediation </w:t>
      </w:r>
      <w:r w:rsidRPr="00D306AF">
        <w:rPr>
          <w:lang w:val="en-US"/>
        </w:rPr>
        <w:lastRenderedPageBreak/>
        <w:t xml:space="preserve">technologies: Insights from Africa. </w:t>
      </w:r>
      <w:r w:rsidRPr="00D306AF">
        <w:rPr>
          <w:i/>
          <w:iCs/>
          <w:lang w:val="en-US"/>
        </w:rPr>
        <w:t>Environmental Science and Pollution Research</w:t>
      </w:r>
      <w:r w:rsidRPr="00D306AF">
        <w:rPr>
          <w:lang w:val="en-US"/>
        </w:rPr>
        <w:t xml:space="preserve">, </w:t>
      </w:r>
      <w:r w:rsidRPr="00D306AF">
        <w:rPr>
          <w:i/>
          <w:iCs/>
          <w:lang w:val="en-US"/>
        </w:rPr>
        <w:t>30</w:t>
      </w:r>
      <w:r w:rsidRPr="00D306AF">
        <w:rPr>
          <w:lang w:val="en-US"/>
        </w:rPr>
        <w:t>(14), 39451-39473. https://doi.org/10.1007/s11356-023-25833-9</w:t>
      </w:r>
      <w:r w:rsidR="00E14245" w:rsidRPr="00D306AF">
        <w:rPr>
          <w:lang w:val="en-US"/>
        </w:rPr>
        <w:t xml:space="preserve"> </w:t>
      </w:r>
    </w:p>
    <w:p w14:paraId="1F4E5DD4" w14:textId="233D14F1" w:rsidR="006645BE" w:rsidRPr="00D306AF" w:rsidRDefault="006645BE" w:rsidP="006645BE">
      <w:pPr>
        <w:pStyle w:val="Bibliografa"/>
        <w:jc w:val="both"/>
        <w:rPr>
          <w:lang w:val="en-US"/>
        </w:rPr>
      </w:pPr>
      <w:r w:rsidRPr="00D306AF">
        <w:rPr>
          <w:lang w:val="en-US"/>
        </w:rPr>
        <w:t>Saxena, G., Thakur, I. S., Kumar, V.</w:t>
      </w:r>
      <w:r w:rsidR="00E14245" w:rsidRPr="00D306AF">
        <w:rPr>
          <w:lang w:val="en-US"/>
        </w:rPr>
        <w:t xml:space="preserve"> and</w:t>
      </w:r>
      <w:r w:rsidRPr="00D306AF">
        <w:rPr>
          <w:lang w:val="en-US"/>
        </w:rPr>
        <w:t xml:space="preserve"> Shah, M. P. (2020). Electrobioremediation of Contaminants: Concepts, Mechanisms, Applications and Challenges. En M. Shah y A. Banerjee (Eds.), </w:t>
      </w:r>
      <w:r w:rsidRPr="00D306AF">
        <w:rPr>
          <w:i/>
          <w:iCs/>
          <w:lang w:val="en-US"/>
        </w:rPr>
        <w:t>Combined Application of Physico-Chemical &amp; Microbiological Processes for Industrial Effluent Treatment Plant</w:t>
      </w:r>
      <w:r w:rsidRPr="00D306AF">
        <w:rPr>
          <w:lang w:val="en-US"/>
        </w:rPr>
        <w:t xml:space="preserve"> (pp. 291-313). Springer. https://doi.org/10.1007/978-981-15-0497-6_14</w:t>
      </w:r>
      <w:r w:rsidR="00E14245" w:rsidRPr="00D306AF">
        <w:rPr>
          <w:lang w:val="en-US"/>
        </w:rPr>
        <w:t xml:space="preserve"> </w:t>
      </w:r>
    </w:p>
    <w:p w14:paraId="1C72544D" w14:textId="39D0CBD1" w:rsidR="006645BE" w:rsidRPr="00D306AF" w:rsidRDefault="006645BE" w:rsidP="006645BE">
      <w:pPr>
        <w:pStyle w:val="Bibliografa"/>
        <w:jc w:val="both"/>
        <w:rPr>
          <w:lang w:val="en-US"/>
        </w:rPr>
      </w:pPr>
      <w:r w:rsidRPr="00D306AF">
        <w:rPr>
          <w:lang w:val="en-US"/>
        </w:rPr>
        <w:t>Sayara, T.</w:t>
      </w:r>
      <w:r w:rsidR="00E14245" w:rsidRPr="00D306AF">
        <w:rPr>
          <w:lang w:val="en-US"/>
        </w:rPr>
        <w:t xml:space="preserve"> and</w:t>
      </w:r>
      <w:r w:rsidRPr="00D306AF">
        <w:rPr>
          <w:lang w:val="en-US"/>
        </w:rPr>
        <w:t xml:space="preserve"> Sánchez, A. (2020). Bioremediation of PAH-Contaminated Soils: Process Enhancement through Composting/Compost. </w:t>
      </w:r>
      <w:r w:rsidRPr="00D306AF">
        <w:rPr>
          <w:i/>
          <w:iCs/>
          <w:lang w:val="en-US"/>
        </w:rPr>
        <w:t>Applied Sciences</w:t>
      </w:r>
      <w:r w:rsidRPr="00D306AF">
        <w:rPr>
          <w:lang w:val="en-US"/>
        </w:rPr>
        <w:t xml:space="preserve">, </w:t>
      </w:r>
      <w:r w:rsidRPr="00D306AF">
        <w:rPr>
          <w:i/>
          <w:iCs/>
          <w:lang w:val="en-US"/>
        </w:rPr>
        <w:t>10</w:t>
      </w:r>
      <w:r w:rsidRPr="00D306AF">
        <w:rPr>
          <w:lang w:val="en-US"/>
        </w:rPr>
        <w:t>(11), 3684. https://doi.org/10.3390/app10113684</w:t>
      </w:r>
      <w:r w:rsidR="00E14245" w:rsidRPr="00D306AF">
        <w:rPr>
          <w:lang w:val="en-US"/>
        </w:rPr>
        <w:t xml:space="preserve"> </w:t>
      </w:r>
    </w:p>
    <w:p w14:paraId="6918CFFB" w14:textId="4FC668C2" w:rsidR="006645BE" w:rsidRPr="00D306AF" w:rsidRDefault="006645BE" w:rsidP="006645BE">
      <w:pPr>
        <w:pStyle w:val="Bibliografa"/>
        <w:jc w:val="both"/>
        <w:rPr>
          <w:lang w:val="en-US"/>
        </w:rPr>
      </w:pPr>
      <w:r w:rsidRPr="00D306AF">
        <w:rPr>
          <w:lang w:val="en-US"/>
        </w:rPr>
        <w:t>Sparks, D. L., Singh, B.</w:t>
      </w:r>
      <w:r w:rsidR="00E14245" w:rsidRPr="00D306AF">
        <w:rPr>
          <w:lang w:val="en-US"/>
        </w:rPr>
        <w:t xml:space="preserve"> and</w:t>
      </w:r>
      <w:r w:rsidRPr="00D306AF">
        <w:rPr>
          <w:lang w:val="en-US"/>
        </w:rPr>
        <w:t xml:space="preserve"> Siebecker, M. G. (2022). </w:t>
      </w:r>
      <w:r w:rsidRPr="00D306AF">
        <w:rPr>
          <w:i/>
          <w:iCs/>
          <w:lang w:val="en-US"/>
        </w:rPr>
        <w:t>Environmental Soil Chemistry</w:t>
      </w:r>
      <w:r w:rsidRPr="00D306AF">
        <w:rPr>
          <w:lang w:val="en-US"/>
        </w:rPr>
        <w:t>. Elsevier.</w:t>
      </w:r>
    </w:p>
    <w:p w14:paraId="77EFD15B" w14:textId="240899F1" w:rsidR="006645BE" w:rsidRPr="00D306AF" w:rsidRDefault="006645BE" w:rsidP="006645BE">
      <w:pPr>
        <w:pStyle w:val="Bibliografa"/>
        <w:jc w:val="both"/>
        <w:rPr>
          <w:lang w:val="en-US"/>
        </w:rPr>
      </w:pPr>
      <w:r w:rsidRPr="00D306AF">
        <w:rPr>
          <w:lang w:val="en-US"/>
        </w:rPr>
        <w:t>Sun, Z., Zhao, M., Chen, L., Gong, Z., Hu, J.</w:t>
      </w:r>
      <w:r w:rsidR="00E14245" w:rsidRPr="00D306AF">
        <w:rPr>
          <w:lang w:val="en-US"/>
        </w:rPr>
        <w:t xml:space="preserve"> and</w:t>
      </w:r>
      <w:r w:rsidRPr="00D306AF">
        <w:rPr>
          <w:lang w:val="en-US"/>
        </w:rPr>
        <w:t xml:space="preserve"> Ma, D. (2023). Electrokinetic remediation for the removal of heavy metals in soil: Limitations, solutions and prospection. </w:t>
      </w:r>
      <w:r w:rsidRPr="00D306AF">
        <w:rPr>
          <w:i/>
          <w:iCs/>
          <w:lang w:val="en-US"/>
        </w:rPr>
        <w:t>Science of The Total Environment</w:t>
      </w:r>
      <w:r w:rsidRPr="00D306AF">
        <w:rPr>
          <w:lang w:val="en-US"/>
        </w:rPr>
        <w:t xml:space="preserve">, </w:t>
      </w:r>
      <w:r w:rsidRPr="00D306AF">
        <w:rPr>
          <w:i/>
          <w:iCs/>
          <w:lang w:val="en-US"/>
        </w:rPr>
        <w:t>903</w:t>
      </w:r>
      <w:r w:rsidRPr="00D306AF">
        <w:rPr>
          <w:lang w:val="en-US"/>
        </w:rPr>
        <w:t>, 165970. https://doi.org/10.1016/j.scitotenv.2023.165970</w:t>
      </w:r>
      <w:r w:rsidR="00E14245" w:rsidRPr="00D306AF">
        <w:rPr>
          <w:lang w:val="en-US"/>
        </w:rPr>
        <w:t xml:space="preserve"> </w:t>
      </w:r>
    </w:p>
    <w:p w14:paraId="463F95F5" w14:textId="764B96EB" w:rsidR="006645BE" w:rsidRPr="00D306AF" w:rsidRDefault="006645BE" w:rsidP="006645BE">
      <w:pPr>
        <w:pStyle w:val="Bibliografa"/>
        <w:jc w:val="both"/>
        <w:rPr>
          <w:lang w:val="en-US"/>
        </w:rPr>
      </w:pPr>
      <w:r w:rsidRPr="001D334F">
        <w:rPr>
          <w:lang w:val="en-US"/>
        </w:rPr>
        <w:t>Varjani, S., Pandey, A.</w:t>
      </w:r>
      <w:r w:rsidR="00E14245" w:rsidRPr="001D334F">
        <w:rPr>
          <w:lang w:val="en-US"/>
        </w:rPr>
        <w:t xml:space="preserve"> and</w:t>
      </w:r>
      <w:r w:rsidRPr="001D334F">
        <w:rPr>
          <w:lang w:val="en-US"/>
        </w:rPr>
        <w:t xml:space="preserve"> Upasani, V. N. (2021). </w:t>
      </w:r>
      <w:r w:rsidRPr="00D306AF">
        <w:rPr>
          <w:lang w:val="en-US"/>
        </w:rPr>
        <w:t xml:space="preserve">Petroleum sludge polluted soil remediation: Integrated approach involving novel bacterial consortium and nutrient application. </w:t>
      </w:r>
      <w:r w:rsidRPr="00D306AF">
        <w:rPr>
          <w:i/>
          <w:iCs/>
          <w:lang w:val="en-US"/>
        </w:rPr>
        <w:t>Science of The Total Environment</w:t>
      </w:r>
      <w:r w:rsidRPr="00D306AF">
        <w:rPr>
          <w:lang w:val="en-US"/>
        </w:rPr>
        <w:t xml:space="preserve">, </w:t>
      </w:r>
      <w:r w:rsidRPr="00D306AF">
        <w:rPr>
          <w:i/>
          <w:iCs/>
          <w:lang w:val="en-US"/>
        </w:rPr>
        <w:t>763</w:t>
      </w:r>
      <w:r w:rsidRPr="00D306AF">
        <w:rPr>
          <w:lang w:val="en-US"/>
        </w:rPr>
        <w:t>, 142934. https://doi.org/10.1016/j.scitotenv.2020.142934</w:t>
      </w:r>
      <w:r w:rsidR="00E14245" w:rsidRPr="00D306AF">
        <w:rPr>
          <w:lang w:val="en-US"/>
        </w:rPr>
        <w:t xml:space="preserve"> </w:t>
      </w:r>
    </w:p>
    <w:p w14:paraId="1068A243" w14:textId="7E1BA609" w:rsidR="006645BE" w:rsidRPr="00D306AF" w:rsidRDefault="006645BE" w:rsidP="006645BE">
      <w:pPr>
        <w:pStyle w:val="Bibliografa"/>
        <w:jc w:val="both"/>
        <w:rPr>
          <w:lang w:val="en-US"/>
        </w:rPr>
      </w:pPr>
      <w:r w:rsidRPr="001D334F">
        <w:rPr>
          <w:lang w:val="en-US"/>
        </w:rPr>
        <w:t>Wang, S.</w:t>
      </w:r>
      <w:r w:rsidR="00E14245" w:rsidRPr="001D334F">
        <w:rPr>
          <w:lang w:val="en-US"/>
        </w:rPr>
        <w:t xml:space="preserve"> and</w:t>
      </w:r>
      <w:r w:rsidRPr="001D334F">
        <w:rPr>
          <w:lang w:val="en-US"/>
        </w:rPr>
        <w:t xml:space="preserve"> Guo, S. (2023). </w:t>
      </w:r>
      <w:r w:rsidRPr="00D306AF">
        <w:rPr>
          <w:lang w:val="en-US"/>
        </w:rPr>
        <w:t xml:space="preserve">Effects of soil organic carbon metabolism on electro-bioremediation of petroleum-contaminated soil. </w:t>
      </w:r>
      <w:r w:rsidRPr="00D306AF">
        <w:rPr>
          <w:i/>
          <w:iCs/>
          <w:lang w:val="en-US"/>
        </w:rPr>
        <w:t>Journal of Hazardous Materials</w:t>
      </w:r>
      <w:r w:rsidRPr="00D306AF">
        <w:rPr>
          <w:lang w:val="en-US"/>
        </w:rPr>
        <w:t xml:space="preserve">, </w:t>
      </w:r>
      <w:r w:rsidRPr="00D306AF">
        <w:rPr>
          <w:i/>
          <w:iCs/>
          <w:lang w:val="en-US"/>
        </w:rPr>
        <w:t>459</w:t>
      </w:r>
      <w:r w:rsidRPr="00D306AF">
        <w:rPr>
          <w:lang w:val="en-US"/>
        </w:rPr>
        <w:t>, 132180. https://doi.org/10.1016/j.jhazmat.2023.132180</w:t>
      </w:r>
      <w:r w:rsidR="00E14245" w:rsidRPr="00D306AF">
        <w:rPr>
          <w:lang w:val="en-US"/>
        </w:rPr>
        <w:t xml:space="preserve"> </w:t>
      </w:r>
    </w:p>
    <w:p w14:paraId="1925980B" w14:textId="7AF4E456" w:rsidR="006645BE" w:rsidRPr="00D306AF" w:rsidRDefault="006645BE" w:rsidP="006645BE">
      <w:pPr>
        <w:pStyle w:val="Bibliografa"/>
        <w:jc w:val="both"/>
        <w:rPr>
          <w:lang w:val="en-US"/>
        </w:rPr>
      </w:pPr>
      <w:r w:rsidRPr="00D306AF">
        <w:rPr>
          <w:lang w:val="en-US"/>
        </w:rPr>
        <w:lastRenderedPageBreak/>
        <w:t>Wang, S., Shao, Z., Xu, W.</w:t>
      </w:r>
      <w:r w:rsidR="00E14245" w:rsidRPr="00D306AF">
        <w:rPr>
          <w:lang w:val="en-US"/>
        </w:rPr>
        <w:t xml:space="preserve"> and</w:t>
      </w:r>
      <w:r w:rsidRPr="00D306AF">
        <w:rPr>
          <w:lang w:val="en-US"/>
        </w:rPr>
        <w:t xml:space="preserve"> Zhao, X. (2023). Insights into electro-bioremediation of PAH-contaminated soil under polarity reversal conditions: Effect of effective current intensity and soil properties on microbial function. </w:t>
      </w:r>
      <w:r w:rsidRPr="00D306AF">
        <w:rPr>
          <w:i/>
          <w:iCs/>
          <w:lang w:val="en-US"/>
        </w:rPr>
        <w:t>Chemical Engineering Journal</w:t>
      </w:r>
      <w:r w:rsidRPr="00D306AF">
        <w:rPr>
          <w:lang w:val="en-US"/>
        </w:rPr>
        <w:t xml:space="preserve">, </w:t>
      </w:r>
      <w:r w:rsidRPr="00D306AF">
        <w:rPr>
          <w:i/>
          <w:iCs/>
          <w:lang w:val="en-US"/>
        </w:rPr>
        <w:t>478</w:t>
      </w:r>
      <w:r w:rsidRPr="00D306AF">
        <w:rPr>
          <w:lang w:val="en-US"/>
        </w:rPr>
        <w:t>, 147493. https://doi.org/10.1016/j.cej.2023.147493</w:t>
      </w:r>
      <w:r w:rsidR="00E14245" w:rsidRPr="00D306AF">
        <w:rPr>
          <w:lang w:val="en-US"/>
        </w:rPr>
        <w:t xml:space="preserve"> </w:t>
      </w:r>
    </w:p>
    <w:p w14:paraId="52469E35" w14:textId="01874779" w:rsidR="006645BE" w:rsidRPr="00D306AF" w:rsidRDefault="006645BE" w:rsidP="006645BE">
      <w:pPr>
        <w:pStyle w:val="Bibliografa"/>
        <w:jc w:val="both"/>
        <w:rPr>
          <w:lang w:val="en-US"/>
        </w:rPr>
      </w:pPr>
      <w:r w:rsidRPr="00D306AF">
        <w:rPr>
          <w:lang w:val="en-US"/>
        </w:rPr>
        <w:t>Yu, H., Liu, Y., Han, C., Fang, H., Weng, J., Shu, X., Pan, Y.</w:t>
      </w:r>
      <w:r w:rsidR="00E14245" w:rsidRPr="00D306AF">
        <w:rPr>
          <w:lang w:val="en-US"/>
        </w:rPr>
        <w:t xml:space="preserve"> and</w:t>
      </w:r>
      <w:r w:rsidRPr="00D306AF">
        <w:rPr>
          <w:lang w:val="en-US"/>
        </w:rPr>
        <w:t xml:space="preserve"> Ma, L. (2021). Polycyclic aromatic hydrocarbons in surface waters from the seven main river basins of China: Spatial distribution, source apportionment, and potential risk assessment. </w:t>
      </w:r>
      <w:r w:rsidRPr="00D306AF">
        <w:rPr>
          <w:i/>
          <w:iCs/>
          <w:lang w:val="en-US"/>
        </w:rPr>
        <w:t>Science of The Total Environment</w:t>
      </w:r>
      <w:r w:rsidRPr="00D306AF">
        <w:rPr>
          <w:lang w:val="en-US"/>
        </w:rPr>
        <w:t xml:space="preserve">, </w:t>
      </w:r>
      <w:r w:rsidRPr="00D306AF">
        <w:rPr>
          <w:i/>
          <w:iCs/>
          <w:lang w:val="en-US"/>
        </w:rPr>
        <w:t>752</w:t>
      </w:r>
      <w:r w:rsidRPr="00D306AF">
        <w:rPr>
          <w:lang w:val="en-US"/>
        </w:rPr>
        <w:t>, 141764. https://doi.org/10.1016/j.scitotenv.2020.141764</w:t>
      </w:r>
      <w:r w:rsidR="00E14245" w:rsidRPr="00D306AF">
        <w:rPr>
          <w:lang w:val="en-US"/>
        </w:rPr>
        <w:t xml:space="preserve"> </w:t>
      </w:r>
    </w:p>
    <w:p w14:paraId="7A304AA4" w14:textId="0ACC977B" w:rsidR="006645BE" w:rsidRPr="00D306AF" w:rsidRDefault="006645BE" w:rsidP="006645BE">
      <w:pPr>
        <w:pStyle w:val="Bibliografa"/>
        <w:jc w:val="both"/>
        <w:rPr>
          <w:lang w:val="en-US"/>
        </w:rPr>
      </w:pPr>
      <w:r w:rsidRPr="001D334F">
        <w:rPr>
          <w:lang w:val="en-US"/>
        </w:rPr>
        <w:t>Zainal, P. N. S., Alang Ahmad, S. A., Abdul Aziz, S. F. N.</w:t>
      </w:r>
      <w:r w:rsidR="00E14245" w:rsidRPr="001D334F">
        <w:rPr>
          <w:lang w:val="en-US"/>
        </w:rPr>
        <w:t xml:space="preserve"> and</w:t>
      </w:r>
      <w:r w:rsidRPr="001D334F">
        <w:rPr>
          <w:lang w:val="en-US"/>
        </w:rPr>
        <w:t xml:space="preserve"> Rosly, N. Z. (2022). </w:t>
      </w:r>
      <w:r w:rsidRPr="00D306AF">
        <w:rPr>
          <w:lang w:val="en-US"/>
        </w:rPr>
        <w:t xml:space="preserve">Polycyclic Aromatic Hydrocarbons: Occurrence, Electroanalysis, Challenges, and Future Outlooks. </w:t>
      </w:r>
      <w:r w:rsidRPr="00D306AF">
        <w:rPr>
          <w:i/>
          <w:iCs/>
          <w:lang w:val="en-US"/>
        </w:rPr>
        <w:t>Critical Reviews in Analytical Chemistry</w:t>
      </w:r>
      <w:r w:rsidRPr="00D306AF">
        <w:rPr>
          <w:lang w:val="en-US"/>
        </w:rPr>
        <w:t xml:space="preserve">, </w:t>
      </w:r>
      <w:r w:rsidRPr="00D306AF">
        <w:rPr>
          <w:i/>
          <w:iCs/>
          <w:lang w:val="en-US"/>
        </w:rPr>
        <w:t>52</w:t>
      </w:r>
      <w:r w:rsidRPr="00D306AF">
        <w:rPr>
          <w:lang w:val="en-US"/>
        </w:rPr>
        <w:t>(4), 878-896. https://doi.org/10.1080/10408347.2020.1839736</w:t>
      </w:r>
      <w:r w:rsidR="00E14245" w:rsidRPr="00D306AF">
        <w:rPr>
          <w:lang w:val="en-US"/>
        </w:rPr>
        <w:t xml:space="preserve"> </w:t>
      </w:r>
    </w:p>
    <w:p w14:paraId="0B57F3F2" w14:textId="30B7B7F4" w:rsidR="007A0B77" w:rsidRPr="00617BB1" w:rsidRDefault="00482700" w:rsidP="006645BE">
      <w:pPr>
        <w:spacing w:line="480" w:lineRule="auto"/>
        <w:jc w:val="both"/>
        <w:rPr>
          <w:lang w:val="en-US"/>
        </w:rPr>
      </w:pPr>
      <w:r w:rsidRPr="00D306AF">
        <w:rPr>
          <w:lang w:val="en-US"/>
        </w:rPr>
        <w:fldChar w:fldCharType="end"/>
      </w:r>
    </w:p>
    <w:p w14:paraId="49B74E09" w14:textId="77777777" w:rsidR="00EA47BB" w:rsidRPr="0099220F" w:rsidRDefault="00EA47BB" w:rsidP="00C664F8">
      <w:pPr>
        <w:shd w:val="clear" w:color="auto" w:fill="FFFFFF"/>
        <w:spacing w:before="100" w:beforeAutospacing="1" w:line="480" w:lineRule="auto"/>
        <w:rPr>
          <w:b/>
          <w:bCs/>
          <w:color w:val="111111"/>
        </w:rPr>
      </w:pPr>
      <w:r w:rsidRPr="0099220F">
        <w:rPr>
          <w:b/>
          <w:bCs/>
          <w:color w:val="111111"/>
        </w:rPr>
        <w:t>TABLAS Y FIGURAS. </w:t>
      </w:r>
    </w:p>
    <w:p w14:paraId="251B2DED" w14:textId="05A503C9" w:rsidR="00DA6399" w:rsidRPr="00DE6590" w:rsidRDefault="00DA6399" w:rsidP="002E713B">
      <w:pPr>
        <w:spacing w:line="480" w:lineRule="auto"/>
        <w:jc w:val="both"/>
      </w:pPr>
      <w:r w:rsidRPr="00DA6399">
        <w:rPr>
          <w:b/>
        </w:rPr>
        <w:t>Tabla 1.</w:t>
      </w:r>
      <w:r>
        <w:t xml:space="preserve"> </w:t>
      </w:r>
      <w:r w:rsidR="009A1410" w:rsidRPr="009A1410">
        <w:t xml:space="preserve">Parámetros fisicoquímicos, actividad emulsificante (E24) y concentración de metales pesados (ppm) en las muestras de suelo al inicio y a los 60 días de tratamiento de </w:t>
      </w:r>
      <w:proofErr w:type="spellStart"/>
      <w:r w:rsidR="009A1410" w:rsidRPr="009A1410">
        <w:t>electrobiorremediación</w:t>
      </w:r>
      <w:proofErr w:type="spellEnd"/>
      <w:r w:rsidR="009A1410" w:rsidRPr="009A1410">
        <w:t xml:space="preserve"> (EB). I: muestra inicial, A: muestreos sin nutrientes, B: muestreos con nutrientes, 1 y 3: sitios próximos a los electrodos, 2: centro de la cuba, SS: suelo sin aditivos, SH: suelo con adición de humedad, SN: suelo con adición de nutrientes.</w:t>
      </w:r>
    </w:p>
    <w:tbl>
      <w:tblPr>
        <w:tblW w:w="5000" w:type="pct"/>
        <w:tblCellMar>
          <w:left w:w="70" w:type="dxa"/>
          <w:right w:w="70" w:type="dxa"/>
        </w:tblCellMar>
        <w:tblLook w:val="04A0" w:firstRow="1" w:lastRow="0" w:firstColumn="1" w:lastColumn="0" w:noHBand="0" w:noVBand="1"/>
      </w:tblPr>
      <w:tblGrid>
        <w:gridCol w:w="1166"/>
        <w:gridCol w:w="683"/>
        <w:gridCol w:w="682"/>
        <w:gridCol w:w="652"/>
        <w:gridCol w:w="682"/>
        <w:gridCol w:w="682"/>
        <w:gridCol w:w="682"/>
        <w:gridCol w:w="682"/>
        <w:gridCol w:w="682"/>
        <w:gridCol w:w="682"/>
        <w:gridCol w:w="682"/>
        <w:gridCol w:w="873"/>
      </w:tblGrid>
      <w:tr w:rsidR="003D699C" w:rsidRPr="00BC5BD4" w14:paraId="35991DF4" w14:textId="77777777" w:rsidTr="008D3796">
        <w:trPr>
          <w:trHeight w:val="1200"/>
        </w:trPr>
        <w:tc>
          <w:tcPr>
            <w:tcW w:w="559" w:type="pct"/>
            <w:tcBorders>
              <w:top w:val="single" w:sz="4" w:space="0" w:color="auto"/>
              <w:left w:val="single" w:sz="4" w:space="0" w:color="auto"/>
              <w:bottom w:val="single" w:sz="4" w:space="0" w:color="auto"/>
              <w:right w:val="single" w:sz="4" w:space="0" w:color="auto"/>
            </w:tcBorders>
            <w:noWrap/>
            <w:vAlign w:val="center"/>
            <w:hideMark/>
          </w:tcPr>
          <w:p w14:paraId="41CCAD76" w14:textId="77777777" w:rsidR="00BC5BD4" w:rsidRPr="00BC5BD4" w:rsidRDefault="00BC5BD4" w:rsidP="00BC5BD4">
            <w:pPr>
              <w:rPr>
                <w:color w:val="000000"/>
                <w:sz w:val="20"/>
                <w:szCs w:val="20"/>
                <w:lang w:eastAsia="es-AR"/>
              </w:rPr>
            </w:pPr>
            <w:r w:rsidRPr="00BC5BD4">
              <w:rPr>
                <w:color w:val="000000"/>
                <w:sz w:val="20"/>
                <w:szCs w:val="20"/>
                <w:lang w:eastAsia="es-AR"/>
              </w:rPr>
              <w:lastRenderedPageBreak/>
              <w:t> </w:t>
            </w:r>
          </w:p>
        </w:tc>
        <w:tc>
          <w:tcPr>
            <w:tcW w:w="488" w:type="pct"/>
            <w:tcBorders>
              <w:top w:val="single" w:sz="4" w:space="0" w:color="auto"/>
              <w:left w:val="nil"/>
              <w:bottom w:val="single" w:sz="4" w:space="0" w:color="auto"/>
              <w:right w:val="single" w:sz="4" w:space="0" w:color="auto"/>
            </w:tcBorders>
            <w:noWrap/>
            <w:vAlign w:val="center"/>
            <w:hideMark/>
          </w:tcPr>
          <w:p w14:paraId="6427503D"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I</w:t>
            </w:r>
          </w:p>
        </w:tc>
        <w:tc>
          <w:tcPr>
            <w:tcW w:w="386" w:type="pct"/>
            <w:tcBorders>
              <w:top w:val="single" w:sz="4" w:space="0" w:color="auto"/>
              <w:left w:val="nil"/>
              <w:bottom w:val="single" w:sz="4" w:space="0" w:color="auto"/>
              <w:right w:val="single" w:sz="4" w:space="0" w:color="auto"/>
            </w:tcBorders>
            <w:noWrap/>
            <w:vAlign w:val="center"/>
            <w:hideMark/>
          </w:tcPr>
          <w:p w14:paraId="533E108C"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A1</w:t>
            </w:r>
          </w:p>
        </w:tc>
        <w:tc>
          <w:tcPr>
            <w:tcW w:w="369" w:type="pct"/>
            <w:tcBorders>
              <w:top w:val="single" w:sz="4" w:space="0" w:color="auto"/>
              <w:left w:val="nil"/>
              <w:bottom w:val="single" w:sz="4" w:space="0" w:color="auto"/>
              <w:right w:val="single" w:sz="4" w:space="0" w:color="auto"/>
            </w:tcBorders>
            <w:noWrap/>
            <w:vAlign w:val="center"/>
            <w:hideMark/>
          </w:tcPr>
          <w:p w14:paraId="0F0DA347"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A2</w:t>
            </w:r>
          </w:p>
        </w:tc>
        <w:tc>
          <w:tcPr>
            <w:tcW w:w="386" w:type="pct"/>
            <w:tcBorders>
              <w:top w:val="single" w:sz="4" w:space="0" w:color="auto"/>
              <w:left w:val="nil"/>
              <w:bottom w:val="single" w:sz="4" w:space="0" w:color="auto"/>
              <w:right w:val="single" w:sz="4" w:space="0" w:color="auto"/>
            </w:tcBorders>
            <w:noWrap/>
            <w:vAlign w:val="center"/>
            <w:hideMark/>
          </w:tcPr>
          <w:p w14:paraId="193D9B29"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A3</w:t>
            </w:r>
          </w:p>
        </w:tc>
        <w:tc>
          <w:tcPr>
            <w:tcW w:w="386" w:type="pct"/>
            <w:tcBorders>
              <w:top w:val="single" w:sz="4" w:space="0" w:color="auto"/>
              <w:left w:val="nil"/>
              <w:bottom w:val="single" w:sz="4" w:space="0" w:color="auto"/>
              <w:right w:val="single" w:sz="4" w:space="0" w:color="auto"/>
            </w:tcBorders>
            <w:noWrap/>
            <w:vAlign w:val="center"/>
            <w:hideMark/>
          </w:tcPr>
          <w:p w14:paraId="6B76287E"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B1</w:t>
            </w:r>
          </w:p>
        </w:tc>
        <w:tc>
          <w:tcPr>
            <w:tcW w:w="386" w:type="pct"/>
            <w:tcBorders>
              <w:top w:val="single" w:sz="4" w:space="0" w:color="auto"/>
              <w:left w:val="nil"/>
              <w:bottom w:val="single" w:sz="4" w:space="0" w:color="auto"/>
              <w:right w:val="single" w:sz="4" w:space="0" w:color="auto"/>
            </w:tcBorders>
            <w:noWrap/>
            <w:vAlign w:val="center"/>
            <w:hideMark/>
          </w:tcPr>
          <w:p w14:paraId="2EFC573F"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B2</w:t>
            </w:r>
          </w:p>
        </w:tc>
        <w:tc>
          <w:tcPr>
            <w:tcW w:w="386" w:type="pct"/>
            <w:tcBorders>
              <w:top w:val="single" w:sz="4" w:space="0" w:color="auto"/>
              <w:left w:val="nil"/>
              <w:bottom w:val="single" w:sz="4" w:space="0" w:color="auto"/>
              <w:right w:val="single" w:sz="4" w:space="0" w:color="auto"/>
            </w:tcBorders>
            <w:noWrap/>
            <w:vAlign w:val="center"/>
            <w:hideMark/>
          </w:tcPr>
          <w:p w14:paraId="21ABCDE7"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B3</w:t>
            </w:r>
          </w:p>
        </w:tc>
        <w:tc>
          <w:tcPr>
            <w:tcW w:w="386" w:type="pct"/>
            <w:tcBorders>
              <w:top w:val="single" w:sz="4" w:space="0" w:color="auto"/>
              <w:left w:val="nil"/>
              <w:bottom w:val="single" w:sz="4" w:space="0" w:color="auto"/>
              <w:right w:val="single" w:sz="4" w:space="0" w:color="auto"/>
            </w:tcBorders>
            <w:noWrap/>
            <w:vAlign w:val="center"/>
            <w:hideMark/>
          </w:tcPr>
          <w:p w14:paraId="5706CB5E"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SS</w:t>
            </w:r>
          </w:p>
        </w:tc>
        <w:tc>
          <w:tcPr>
            <w:tcW w:w="386" w:type="pct"/>
            <w:tcBorders>
              <w:top w:val="single" w:sz="4" w:space="0" w:color="auto"/>
              <w:left w:val="nil"/>
              <w:bottom w:val="single" w:sz="4" w:space="0" w:color="auto"/>
              <w:right w:val="single" w:sz="4" w:space="0" w:color="auto"/>
            </w:tcBorders>
            <w:noWrap/>
            <w:vAlign w:val="center"/>
            <w:hideMark/>
          </w:tcPr>
          <w:p w14:paraId="3AB4B4AF"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SH</w:t>
            </w:r>
          </w:p>
        </w:tc>
        <w:tc>
          <w:tcPr>
            <w:tcW w:w="386" w:type="pct"/>
            <w:tcBorders>
              <w:top w:val="single" w:sz="4" w:space="0" w:color="auto"/>
              <w:left w:val="nil"/>
              <w:bottom w:val="single" w:sz="4" w:space="0" w:color="auto"/>
              <w:right w:val="single" w:sz="4" w:space="0" w:color="auto"/>
            </w:tcBorders>
            <w:noWrap/>
            <w:vAlign w:val="center"/>
            <w:hideMark/>
          </w:tcPr>
          <w:p w14:paraId="418467C1" w14:textId="77777777" w:rsidR="00BC5BD4" w:rsidRPr="00CF1A29" w:rsidRDefault="00BC5BD4" w:rsidP="00BC5BD4">
            <w:pPr>
              <w:jc w:val="center"/>
              <w:rPr>
                <w:b/>
                <w:color w:val="000000"/>
                <w:sz w:val="18"/>
                <w:szCs w:val="20"/>
                <w:lang w:eastAsia="es-AR"/>
              </w:rPr>
            </w:pPr>
            <w:r w:rsidRPr="00CF1A29">
              <w:rPr>
                <w:b/>
                <w:color w:val="000000"/>
                <w:sz w:val="18"/>
                <w:szCs w:val="20"/>
                <w:lang w:eastAsia="es-AR"/>
              </w:rPr>
              <w:t>SN</w:t>
            </w:r>
          </w:p>
        </w:tc>
        <w:tc>
          <w:tcPr>
            <w:tcW w:w="494" w:type="pct"/>
            <w:tcBorders>
              <w:top w:val="single" w:sz="4" w:space="0" w:color="auto"/>
              <w:left w:val="nil"/>
              <w:bottom w:val="single" w:sz="4" w:space="0" w:color="auto"/>
              <w:right w:val="single" w:sz="4" w:space="0" w:color="auto"/>
            </w:tcBorders>
            <w:vAlign w:val="center"/>
          </w:tcPr>
          <w:p w14:paraId="0F8D2A36" w14:textId="492C18ED" w:rsidR="00BC5BD4" w:rsidRPr="00CF1A29" w:rsidRDefault="00CF1A29" w:rsidP="00BC5BD4">
            <w:pPr>
              <w:jc w:val="center"/>
              <w:rPr>
                <w:rFonts w:ascii="Calibri" w:hAnsi="Calibri" w:cs="Calibri"/>
                <w:b/>
                <w:color w:val="0563C1"/>
                <w:sz w:val="17"/>
                <w:szCs w:val="17"/>
                <w:u w:val="single"/>
                <w:lang w:eastAsia="es-AR"/>
              </w:rPr>
            </w:pPr>
            <w:r w:rsidRPr="00CF1A29">
              <w:rPr>
                <w:b/>
                <w:bCs/>
                <w:sz w:val="18"/>
                <w:szCs w:val="21"/>
              </w:rPr>
              <w:t>Niveles guía en lixiviados</w:t>
            </w:r>
            <w:r w:rsidRPr="00CF1A29">
              <w:rPr>
                <w:b/>
                <w:bCs/>
                <w:sz w:val="18"/>
                <w:szCs w:val="21"/>
                <w:vertAlign w:val="superscript"/>
              </w:rPr>
              <w:footnoteReference w:id="1"/>
            </w:r>
          </w:p>
        </w:tc>
      </w:tr>
      <w:tr w:rsidR="003D699C" w:rsidRPr="00BC5BD4" w14:paraId="1D21CD32"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4E1EE64B"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 xml:space="preserve">Humedad (%) </w:t>
            </w:r>
          </w:p>
        </w:tc>
        <w:tc>
          <w:tcPr>
            <w:tcW w:w="488" w:type="pct"/>
            <w:tcBorders>
              <w:top w:val="nil"/>
              <w:left w:val="nil"/>
              <w:bottom w:val="single" w:sz="4" w:space="0" w:color="auto"/>
              <w:right w:val="single" w:sz="4" w:space="0" w:color="auto"/>
            </w:tcBorders>
            <w:noWrap/>
            <w:vAlign w:val="center"/>
            <w:hideMark/>
          </w:tcPr>
          <w:p w14:paraId="12759E1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4,83</w:t>
            </w:r>
          </w:p>
        </w:tc>
        <w:tc>
          <w:tcPr>
            <w:tcW w:w="386" w:type="pct"/>
            <w:tcBorders>
              <w:top w:val="nil"/>
              <w:left w:val="nil"/>
              <w:bottom w:val="single" w:sz="4" w:space="0" w:color="auto"/>
              <w:right w:val="single" w:sz="4" w:space="0" w:color="auto"/>
            </w:tcBorders>
            <w:noWrap/>
            <w:vAlign w:val="center"/>
            <w:hideMark/>
          </w:tcPr>
          <w:p w14:paraId="453FBAB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17,55</w:t>
            </w:r>
          </w:p>
        </w:tc>
        <w:tc>
          <w:tcPr>
            <w:tcW w:w="369" w:type="pct"/>
            <w:tcBorders>
              <w:top w:val="nil"/>
              <w:left w:val="nil"/>
              <w:bottom w:val="single" w:sz="4" w:space="0" w:color="auto"/>
              <w:right w:val="single" w:sz="4" w:space="0" w:color="auto"/>
            </w:tcBorders>
            <w:noWrap/>
            <w:vAlign w:val="center"/>
            <w:hideMark/>
          </w:tcPr>
          <w:p w14:paraId="38E9F15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12,19</w:t>
            </w:r>
          </w:p>
        </w:tc>
        <w:tc>
          <w:tcPr>
            <w:tcW w:w="386" w:type="pct"/>
            <w:tcBorders>
              <w:top w:val="nil"/>
              <w:left w:val="nil"/>
              <w:bottom w:val="single" w:sz="4" w:space="0" w:color="auto"/>
              <w:right w:val="single" w:sz="4" w:space="0" w:color="auto"/>
            </w:tcBorders>
            <w:noWrap/>
            <w:vAlign w:val="center"/>
            <w:hideMark/>
          </w:tcPr>
          <w:p w14:paraId="01DB822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17,57</w:t>
            </w:r>
          </w:p>
        </w:tc>
        <w:tc>
          <w:tcPr>
            <w:tcW w:w="386" w:type="pct"/>
            <w:tcBorders>
              <w:top w:val="nil"/>
              <w:left w:val="nil"/>
              <w:bottom w:val="single" w:sz="4" w:space="0" w:color="auto"/>
              <w:right w:val="single" w:sz="4" w:space="0" w:color="auto"/>
            </w:tcBorders>
            <w:noWrap/>
            <w:vAlign w:val="center"/>
            <w:hideMark/>
          </w:tcPr>
          <w:p w14:paraId="5D1DB25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13,93</w:t>
            </w:r>
          </w:p>
        </w:tc>
        <w:tc>
          <w:tcPr>
            <w:tcW w:w="386" w:type="pct"/>
            <w:tcBorders>
              <w:top w:val="nil"/>
              <w:left w:val="nil"/>
              <w:bottom w:val="single" w:sz="4" w:space="0" w:color="auto"/>
              <w:right w:val="single" w:sz="4" w:space="0" w:color="auto"/>
            </w:tcBorders>
            <w:noWrap/>
            <w:vAlign w:val="center"/>
            <w:hideMark/>
          </w:tcPr>
          <w:p w14:paraId="574FA41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8,655</w:t>
            </w:r>
          </w:p>
        </w:tc>
        <w:tc>
          <w:tcPr>
            <w:tcW w:w="386" w:type="pct"/>
            <w:tcBorders>
              <w:top w:val="nil"/>
              <w:left w:val="nil"/>
              <w:bottom w:val="single" w:sz="4" w:space="0" w:color="auto"/>
              <w:right w:val="single" w:sz="4" w:space="0" w:color="auto"/>
            </w:tcBorders>
            <w:noWrap/>
            <w:vAlign w:val="center"/>
            <w:hideMark/>
          </w:tcPr>
          <w:p w14:paraId="2556500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17,54</w:t>
            </w:r>
          </w:p>
        </w:tc>
        <w:tc>
          <w:tcPr>
            <w:tcW w:w="386" w:type="pct"/>
            <w:tcBorders>
              <w:top w:val="nil"/>
              <w:left w:val="nil"/>
              <w:bottom w:val="single" w:sz="4" w:space="0" w:color="auto"/>
              <w:right w:val="single" w:sz="4" w:space="0" w:color="auto"/>
            </w:tcBorders>
            <w:noWrap/>
            <w:vAlign w:val="center"/>
            <w:hideMark/>
          </w:tcPr>
          <w:p w14:paraId="7B4928A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4,7</w:t>
            </w:r>
          </w:p>
        </w:tc>
        <w:tc>
          <w:tcPr>
            <w:tcW w:w="386" w:type="pct"/>
            <w:tcBorders>
              <w:top w:val="nil"/>
              <w:left w:val="nil"/>
              <w:bottom w:val="single" w:sz="4" w:space="0" w:color="auto"/>
              <w:right w:val="single" w:sz="4" w:space="0" w:color="auto"/>
            </w:tcBorders>
            <w:noWrap/>
            <w:vAlign w:val="center"/>
            <w:hideMark/>
          </w:tcPr>
          <w:p w14:paraId="40A9A87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12,8</w:t>
            </w:r>
          </w:p>
        </w:tc>
        <w:tc>
          <w:tcPr>
            <w:tcW w:w="386" w:type="pct"/>
            <w:tcBorders>
              <w:top w:val="nil"/>
              <w:left w:val="nil"/>
              <w:bottom w:val="single" w:sz="4" w:space="0" w:color="auto"/>
              <w:right w:val="single" w:sz="4" w:space="0" w:color="auto"/>
            </w:tcBorders>
            <w:noWrap/>
            <w:vAlign w:val="center"/>
            <w:hideMark/>
          </w:tcPr>
          <w:p w14:paraId="47B1E68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11,39</w:t>
            </w:r>
          </w:p>
        </w:tc>
        <w:tc>
          <w:tcPr>
            <w:tcW w:w="494" w:type="pct"/>
            <w:tcBorders>
              <w:top w:val="nil"/>
              <w:left w:val="nil"/>
              <w:bottom w:val="single" w:sz="4" w:space="0" w:color="auto"/>
              <w:right w:val="single" w:sz="4" w:space="0" w:color="auto"/>
            </w:tcBorders>
            <w:noWrap/>
            <w:vAlign w:val="bottom"/>
            <w:hideMark/>
          </w:tcPr>
          <w:p w14:paraId="0EE5B372" w14:textId="2B9D7623" w:rsidR="00BC5BD4" w:rsidRPr="000B0191" w:rsidRDefault="00BC5BD4" w:rsidP="00BC5BD4">
            <w:pPr>
              <w:jc w:val="center"/>
              <w:rPr>
                <w:rFonts w:ascii="Calibri" w:hAnsi="Calibri" w:cs="Calibri"/>
                <w:color w:val="000000"/>
                <w:sz w:val="18"/>
                <w:szCs w:val="18"/>
                <w:lang w:eastAsia="es-AR"/>
              </w:rPr>
            </w:pPr>
            <w:r w:rsidRPr="000B0191">
              <w:rPr>
                <w:rFonts w:ascii="Calibri" w:hAnsi="Calibri" w:cs="Calibri"/>
                <w:color w:val="000000"/>
                <w:sz w:val="18"/>
                <w:szCs w:val="18"/>
                <w:lang w:eastAsia="es-AR"/>
              </w:rPr>
              <w:t>-</w:t>
            </w:r>
          </w:p>
        </w:tc>
      </w:tr>
      <w:tr w:rsidR="003D699C" w:rsidRPr="00BC5BD4" w14:paraId="6EAFA8AD"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34C9B428"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pH</w:t>
            </w:r>
          </w:p>
        </w:tc>
        <w:tc>
          <w:tcPr>
            <w:tcW w:w="488" w:type="pct"/>
            <w:tcBorders>
              <w:top w:val="nil"/>
              <w:left w:val="nil"/>
              <w:bottom w:val="single" w:sz="4" w:space="0" w:color="auto"/>
              <w:right w:val="single" w:sz="4" w:space="0" w:color="auto"/>
            </w:tcBorders>
            <w:noWrap/>
            <w:vAlign w:val="center"/>
            <w:hideMark/>
          </w:tcPr>
          <w:p w14:paraId="391136D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7,06</w:t>
            </w:r>
          </w:p>
        </w:tc>
        <w:tc>
          <w:tcPr>
            <w:tcW w:w="386" w:type="pct"/>
            <w:tcBorders>
              <w:top w:val="nil"/>
              <w:left w:val="nil"/>
              <w:bottom w:val="single" w:sz="4" w:space="0" w:color="auto"/>
              <w:right w:val="single" w:sz="4" w:space="0" w:color="auto"/>
            </w:tcBorders>
            <w:noWrap/>
            <w:vAlign w:val="center"/>
            <w:hideMark/>
          </w:tcPr>
          <w:p w14:paraId="647123C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6,9</w:t>
            </w:r>
          </w:p>
        </w:tc>
        <w:tc>
          <w:tcPr>
            <w:tcW w:w="369" w:type="pct"/>
            <w:tcBorders>
              <w:top w:val="nil"/>
              <w:left w:val="nil"/>
              <w:bottom w:val="single" w:sz="4" w:space="0" w:color="auto"/>
              <w:right w:val="single" w:sz="4" w:space="0" w:color="auto"/>
            </w:tcBorders>
            <w:noWrap/>
            <w:vAlign w:val="center"/>
            <w:hideMark/>
          </w:tcPr>
          <w:p w14:paraId="63757A8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6,72</w:t>
            </w:r>
          </w:p>
        </w:tc>
        <w:tc>
          <w:tcPr>
            <w:tcW w:w="386" w:type="pct"/>
            <w:tcBorders>
              <w:top w:val="nil"/>
              <w:left w:val="nil"/>
              <w:bottom w:val="single" w:sz="4" w:space="0" w:color="auto"/>
              <w:right w:val="single" w:sz="4" w:space="0" w:color="auto"/>
            </w:tcBorders>
            <w:noWrap/>
            <w:vAlign w:val="center"/>
            <w:hideMark/>
          </w:tcPr>
          <w:p w14:paraId="2CEB727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6,85</w:t>
            </w:r>
          </w:p>
        </w:tc>
        <w:tc>
          <w:tcPr>
            <w:tcW w:w="386" w:type="pct"/>
            <w:tcBorders>
              <w:top w:val="nil"/>
              <w:left w:val="nil"/>
              <w:bottom w:val="single" w:sz="4" w:space="0" w:color="auto"/>
              <w:right w:val="single" w:sz="4" w:space="0" w:color="auto"/>
            </w:tcBorders>
            <w:noWrap/>
            <w:vAlign w:val="center"/>
            <w:hideMark/>
          </w:tcPr>
          <w:p w14:paraId="5F928FF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6,19</w:t>
            </w:r>
          </w:p>
        </w:tc>
        <w:tc>
          <w:tcPr>
            <w:tcW w:w="386" w:type="pct"/>
            <w:tcBorders>
              <w:top w:val="nil"/>
              <w:left w:val="nil"/>
              <w:bottom w:val="single" w:sz="4" w:space="0" w:color="auto"/>
              <w:right w:val="single" w:sz="4" w:space="0" w:color="auto"/>
            </w:tcBorders>
            <w:noWrap/>
            <w:vAlign w:val="center"/>
            <w:hideMark/>
          </w:tcPr>
          <w:p w14:paraId="14A945E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6,04</w:t>
            </w:r>
          </w:p>
        </w:tc>
        <w:tc>
          <w:tcPr>
            <w:tcW w:w="386" w:type="pct"/>
            <w:tcBorders>
              <w:top w:val="nil"/>
              <w:left w:val="nil"/>
              <w:bottom w:val="single" w:sz="4" w:space="0" w:color="auto"/>
              <w:right w:val="single" w:sz="4" w:space="0" w:color="auto"/>
            </w:tcBorders>
            <w:noWrap/>
            <w:vAlign w:val="center"/>
            <w:hideMark/>
          </w:tcPr>
          <w:p w14:paraId="3CEA921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w:t>
            </w:r>
          </w:p>
        </w:tc>
        <w:tc>
          <w:tcPr>
            <w:tcW w:w="386" w:type="pct"/>
            <w:tcBorders>
              <w:top w:val="nil"/>
              <w:left w:val="nil"/>
              <w:bottom w:val="single" w:sz="4" w:space="0" w:color="auto"/>
              <w:right w:val="single" w:sz="4" w:space="0" w:color="auto"/>
            </w:tcBorders>
            <w:noWrap/>
            <w:vAlign w:val="center"/>
            <w:hideMark/>
          </w:tcPr>
          <w:p w14:paraId="0DF375E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6,45</w:t>
            </w:r>
          </w:p>
        </w:tc>
        <w:tc>
          <w:tcPr>
            <w:tcW w:w="386" w:type="pct"/>
            <w:tcBorders>
              <w:top w:val="nil"/>
              <w:left w:val="nil"/>
              <w:bottom w:val="single" w:sz="4" w:space="0" w:color="auto"/>
              <w:right w:val="single" w:sz="4" w:space="0" w:color="auto"/>
            </w:tcBorders>
            <w:noWrap/>
            <w:vAlign w:val="center"/>
            <w:hideMark/>
          </w:tcPr>
          <w:p w14:paraId="4FFE772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6,59</w:t>
            </w:r>
          </w:p>
        </w:tc>
        <w:tc>
          <w:tcPr>
            <w:tcW w:w="386" w:type="pct"/>
            <w:tcBorders>
              <w:top w:val="nil"/>
              <w:left w:val="nil"/>
              <w:bottom w:val="single" w:sz="4" w:space="0" w:color="auto"/>
              <w:right w:val="single" w:sz="4" w:space="0" w:color="auto"/>
            </w:tcBorders>
            <w:noWrap/>
            <w:vAlign w:val="center"/>
            <w:hideMark/>
          </w:tcPr>
          <w:p w14:paraId="702D1BE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7,67</w:t>
            </w:r>
          </w:p>
        </w:tc>
        <w:tc>
          <w:tcPr>
            <w:tcW w:w="494" w:type="pct"/>
            <w:tcBorders>
              <w:top w:val="nil"/>
              <w:left w:val="nil"/>
              <w:bottom w:val="single" w:sz="4" w:space="0" w:color="auto"/>
              <w:right w:val="single" w:sz="4" w:space="0" w:color="auto"/>
            </w:tcBorders>
            <w:noWrap/>
            <w:vAlign w:val="bottom"/>
            <w:hideMark/>
          </w:tcPr>
          <w:p w14:paraId="0D93805A" w14:textId="52C9E924" w:rsidR="00BC5BD4" w:rsidRPr="000B0191" w:rsidRDefault="00BC5BD4" w:rsidP="00BC5BD4">
            <w:pPr>
              <w:jc w:val="center"/>
              <w:rPr>
                <w:rFonts w:ascii="Calibri" w:hAnsi="Calibri" w:cs="Calibri"/>
                <w:color w:val="000000"/>
                <w:sz w:val="18"/>
                <w:szCs w:val="18"/>
                <w:lang w:eastAsia="es-AR"/>
              </w:rPr>
            </w:pPr>
            <w:r w:rsidRPr="000B0191">
              <w:rPr>
                <w:rFonts w:ascii="Calibri" w:hAnsi="Calibri" w:cs="Calibri"/>
                <w:color w:val="000000"/>
                <w:sz w:val="18"/>
                <w:szCs w:val="18"/>
                <w:lang w:eastAsia="es-AR"/>
              </w:rPr>
              <w:t>-</w:t>
            </w:r>
          </w:p>
        </w:tc>
      </w:tr>
      <w:tr w:rsidR="003D699C" w:rsidRPr="00BC5BD4" w14:paraId="7E97B7AB"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63E6E696" w14:textId="0642A50C" w:rsidR="00BC5BD4" w:rsidRPr="00CF1A29" w:rsidRDefault="00DE6590" w:rsidP="00BC5BD4">
            <w:pPr>
              <w:jc w:val="center"/>
              <w:rPr>
                <w:b/>
                <w:color w:val="000000"/>
                <w:sz w:val="18"/>
                <w:szCs w:val="18"/>
                <w:lang w:eastAsia="es-AR"/>
              </w:rPr>
            </w:pPr>
            <w:r w:rsidRPr="00CF1A29">
              <w:rPr>
                <w:b/>
                <w:color w:val="000000"/>
                <w:sz w:val="18"/>
                <w:szCs w:val="18"/>
                <w:lang w:eastAsia="es-AR"/>
              </w:rPr>
              <w:t>CE (µs</w:t>
            </w:r>
            <w:r w:rsidR="00A03395">
              <w:rPr>
                <w:b/>
                <w:color w:val="000000"/>
                <w:sz w:val="18"/>
                <w:szCs w:val="18"/>
                <w:lang w:eastAsia="es-AR"/>
              </w:rPr>
              <w:t>/</w:t>
            </w:r>
            <w:r w:rsidR="00BC5BD4" w:rsidRPr="00CF1A29">
              <w:rPr>
                <w:b/>
                <w:color w:val="000000"/>
                <w:sz w:val="18"/>
                <w:szCs w:val="18"/>
                <w:lang w:eastAsia="es-AR"/>
              </w:rPr>
              <w:t>cm</w:t>
            </w:r>
            <w:r w:rsidRPr="00CF1A29">
              <w:rPr>
                <w:b/>
                <w:color w:val="000000"/>
                <w:sz w:val="18"/>
                <w:szCs w:val="18"/>
                <w:vertAlign w:val="superscript"/>
                <w:lang w:eastAsia="es-AR"/>
              </w:rPr>
              <w:t>-1</w:t>
            </w:r>
            <w:r w:rsidR="00BC5BD4" w:rsidRPr="00CF1A29">
              <w:rPr>
                <w:b/>
                <w:color w:val="000000"/>
                <w:sz w:val="18"/>
                <w:szCs w:val="18"/>
                <w:lang w:eastAsia="es-AR"/>
              </w:rPr>
              <w:t>)</w:t>
            </w:r>
          </w:p>
        </w:tc>
        <w:tc>
          <w:tcPr>
            <w:tcW w:w="488" w:type="pct"/>
            <w:tcBorders>
              <w:top w:val="nil"/>
              <w:left w:val="nil"/>
              <w:bottom w:val="single" w:sz="4" w:space="0" w:color="auto"/>
              <w:right w:val="single" w:sz="4" w:space="0" w:color="auto"/>
            </w:tcBorders>
            <w:noWrap/>
            <w:vAlign w:val="center"/>
            <w:hideMark/>
          </w:tcPr>
          <w:p w14:paraId="2C28FE8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8400</w:t>
            </w:r>
          </w:p>
        </w:tc>
        <w:tc>
          <w:tcPr>
            <w:tcW w:w="386" w:type="pct"/>
            <w:tcBorders>
              <w:top w:val="nil"/>
              <w:left w:val="nil"/>
              <w:bottom w:val="single" w:sz="4" w:space="0" w:color="auto"/>
              <w:right w:val="single" w:sz="4" w:space="0" w:color="auto"/>
            </w:tcBorders>
            <w:noWrap/>
            <w:vAlign w:val="center"/>
            <w:hideMark/>
          </w:tcPr>
          <w:p w14:paraId="3BB877E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4500</w:t>
            </w:r>
          </w:p>
        </w:tc>
        <w:tc>
          <w:tcPr>
            <w:tcW w:w="369" w:type="pct"/>
            <w:tcBorders>
              <w:top w:val="nil"/>
              <w:left w:val="nil"/>
              <w:bottom w:val="single" w:sz="4" w:space="0" w:color="auto"/>
              <w:right w:val="single" w:sz="4" w:space="0" w:color="auto"/>
            </w:tcBorders>
            <w:noWrap/>
            <w:vAlign w:val="center"/>
            <w:hideMark/>
          </w:tcPr>
          <w:p w14:paraId="2EDD898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12100</w:t>
            </w:r>
          </w:p>
        </w:tc>
        <w:tc>
          <w:tcPr>
            <w:tcW w:w="386" w:type="pct"/>
            <w:tcBorders>
              <w:top w:val="nil"/>
              <w:left w:val="nil"/>
              <w:bottom w:val="single" w:sz="4" w:space="0" w:color="auto"/>
              <w:right w:val="single" w:sz="4" w:space="0" w:color="auto"/>
            </w:tcBorders>
            <w:noWrap/>
            <w:vAlign w:val="center"/>
            <w:hideMark/>
          </w:tcPr>
          <w:p w14:paraId="03F0DB8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6900</w:t>
            </w:r>
          </w:p>
        </w:tc>
        <w:tc>
          <w:tcPr>
            <w:tcW w:w="386" w:type="pct"/>
            <w:tcBorders>
              <w:top w:val="nil"/>
              <w:left w:val="nil"/>
              <w:bottom w:val="single" w:sz="4" w:space="0" w:color="auto"/>
              <w:right w:val="single" w:sz="4" w:space="0" w:color="auto"/>
            </w:tcBorders>
            <w:noWrap/>
            <w:vAlign w:val="center"/>
            <w:hideMark/>
          </w:tcPr>
          <w:p w14:paraId="4A219BD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10400</w:t>
            </w:r>
          </w:p>
        </w:tc>
        <w:tc>
          <w:tcPr>
            <w:tcW w:w="386" w:type="pct"/>
            <w:tcBorders>
              <w:top w:val="nil"/>
              <w:left w:val="nil"/>
              <w:bottom w:val="single" w:sz="4" w:space="0" w:color="auto"/>
              <w:right w:val="single" w:sz="4" w:space="0" w:color="auto"/>
            </w:tcBorders>
            <w:noWrap/>
            <w:vAlign w:val="center"/>
            <w:hideMark/>
          </w:tcPr>
          <w:p w14:paraId="06642E8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12600</w:t>
            </w:r>
          </w:p>
        </w:tc>
        <w:tc>
          <w:tcPr>
            <w:tcW w:w="386" w:type="pct"/>
            <w:tcBorders>
              <w:top w:val="nil"/>
              <w:left w:val="nil"/>
              <w:bottom w:val="single" w:sz="4" w:space="0" w:color="auto"/>
              <w:right w:val="single" w:sz="4" w:space="0" w:color="auto"/>
            </w:tcBorders>
            <w:noWrap/>
            <w:vAlign w:val="center"/>
            <w:hideMark/>
          </w:tcPr>
          <w:p w14:paraId="4C596C9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7450</w:t>
            </w:r>
          </w:p>
        </w:tc>
        <w:tc>
          <w:tcPr>
            <w:tcW w:w="386" w:type="pct"/>
            <w:tcBorders>
              <w:top w:val="nil"/>
              <w:left w:val="nil"/>
              <w:bottom w:val="single" w:sz="4" w:space="0" w:color="auto"/>
              <w:right w:val="single" w:sz="4" w:space="0" w:color="auto"/>
            </w:tcBorders>
            <w:noWrap/>
            <w:vAlign w:val="center"/>
            <w:hideMark/>
          </w:tcPr>
          <w:p w14:paraId="1DA8F47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7320</w:t>
            </w:r>
          </w:p>
        </w:tc>
        <w:tc>
          <w:tcPr>
            <w:tcW w:w="386" w:type="pct"/>
            <w:tcBorders>
              <w:top w:val="nil"/>
              <w:left w:val="nil"/>
              <w:bottom w:val="single" w:sz="4" w:space="0" w:color="auto"/>
              <w:right w:val="single" w:sz="4" w:space="0" w:color="auto"/>
            </w:tcBorders>
            <w:noWrap/>
            <w:vAlign w:val="center"/>
            <w:hideMark/>
          </w:tcPr>
          <w:p w14:paraId="75B757D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7890</w:t>
            </w:r>
          </w:p>
        </w:tc>
        <w:tc>
          <w:tcPr>
            <w:tcW w:w="386" w:type="pct"/>
            <w:tcBorders>
              <w:top w:val="nil"/>
              <w:left w:val="nil"/>
              <w:bottom w:val="single" w:sz="4" w:space="0" w:color="auto"/>
              <w:right w:val="single" w:sz="4" w:space="0" w:color="auto"/>
            </w:tcBorders>
            <w:noWrap/>
            <w:vAlign w:val="center"/>
            <w:hideMark/>
          </w:tcPr>
          <w:p w14:paraId="15B2A2F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11550</w:t>
            </w:r>
          </w:p>
        </w:tc>
        <w:tc>
          <w:tcPr>
            <w:tcW w:w="494" w:type="pct"/>
            <w:tcBorders>
              <w:top w:val="nil"/>
              <w:left w:val="nil"/>
              <w:bottom w:val="single" w:sz="4" w:space="0" w:color="auto"/>
              <w:right w:val="single" w:sz="4" w:space="0" w:color="auto"/>
            </w:tcBorders>
            <w:noWrap/>
            <w:vAlign w:val="bottom"/>
            <w:hideMark/>
          </w:tcPr>
          <w:p w14:paraId="0121892A" w14:textId="2701EE69"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5F636E79"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1D6E09CB" w14:textId="07AAE724" w:rsidR="00BC5BD4" w:rsidRPr="00CF1A29" w:rsidRDefault="00BC5BD4" w:rsidP="00BC5BD4">
            <w:pPr>
              <w:jc w:val="center"/>
              <w:rPr>
                <w:b/>
                <w:color w:val="000000"/>
                <w:sz w:val="18"/>
                <w:szCs w:val="18"/>
                <w:lang w:eastAsia="es-AR"/>
              </w:rPr>
            </w:pPr>
            <w:proofErr w:type="spellStart"/>
            <w:r w:rsidRPr="00CF1A29">
              <w:rPr>
                <w:b/>
                <w:color w:val="000000"/>
                <w:sz w:val="18"/>
                <w:szCs w:val="18"/>
                <w:lang w:eastAsia="es-AR"/>
              </w:rPr>
              <w:t>Na</w:t>
            </w:r>
            <w:proofErr w:type="spellEnd"/>
            <w:r w:rsidR="004B0F1F">
              <w:rPr>
                <w:b/>
                <w:color w:val="000000"/>
                <w:sz w:val="18"/>
                <w:szCs w:val="18"/>
                <w:vertAlign w:val="superscript"/>
                <w:lang w:eastAsia="es-AR"/>
              </w:rPr>
              <w:t>+</w:t>
            </w:r>
            <w:r w:rsidRPr="00CF1A29">
              <w:rPr>
                <w:b/>
                <w:color w:val="000000"/>
                <w:sz w:val="18"/>
                <w:szCs w:val="18"/>
                <w:lang w:eastAsia="es-AR"/>
              </w:rPr>
              <w:t xml:space="preserve"> (ppm)</w:t>
            </w:r>
          </w:p>
        </w:tc>
        <w:tc>
          <w:tcPr>
            <w:tcW w:w="488" w:type="pct"/>
            <w:tcBorders>
              <w:top w:val="nil"/>
              <w:left w:val="nil"/>
              <w:bottom w:val="single" w:sz="4" w:space="0" w:color="auto"/>
              <w:right w:val="single" w:sz="4" w:space="0" w:color="auto"/>
            </w:tcBorders>
            <w:noWrap/>
            <w:vAlign w:val="center"/>
            <w:hideMark/>
          </w:tcPr>
          <w:p w14:paraId="217A7AB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600,87</w:t>
            </w:r>
          </w:p>
        </w:tc>
        <w:tc>
          <w:tcPr>
            <w:tcW w:w="386" w:type="pct"/>
            <w:tcBorders>
              <w:top w:val="nil"/>
              <w:left w:val="nil"/>
              <w:bottom w:val="single" w:sz="4" w:space="0" w:color="auto"/>
              <w:right w:val="single" w:sz="4" w:space="0" w:color="auto"/>
            </w:tcBorders>
            <w:noWrap/>
            <w:vAlign w:val="center"/>
            <w:hideMark/>
          </w:tcPr>
          <w:p w14:paraId="72C2099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820,13</w:t>
            </w:r>
          </w:p>
        </w:tc>
        <w:tc>
          <w:tcPr>
            <w:tcW w:w="369" w:type="pct"/>
            <w:tcBorders>
              <w:top w:val="nil"/>
              <w:left w:val="nil"/>
              <w:bottom w:val="single" w:sz="4" w:space="0" w:color="auto"/>
              <w:right w:val="single" w:sz="4" w:space="0" w:color="auto"/>
            </w:tcBorders>
            <w:noWrap/>
            <w:vAlign w:val="center"/>
            <w:hideMark/>
          </w:tcPr>
          <w:p w14:paraId="18F669D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1549</w:t>
            </w:r>
          </w:p>
        </w:tc>
        <w:tc>
          <w:tcPr>
            <w:tcW w:w="386" w:type="pct"/>
            <w:tcBorders>
              <w:top w:val="nil"/>
              <w:left w:val="nil"/>
              <w:bottom w:val="single" w:sz="4" w:space="0" w:color="auto"/>
              <w:right w:val="single" w:sz="4" w:space="0" w:color="auto"/>
            </w:tcBorders>
            <w:noWrap/>
            <w:vAlign w:val="center"/>
            <w:hideMark/>
          </w:tcPr>
          <w:p w14:paraId="4046B59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867,75</w:t>
            </w:r>
          </w:p>
        </w:tc>
        <w:tc>
          <w:tcPr>
            <w:tcW w:w="386" w:type="pct"/>
            <w:tcBorders>
              <w:top w:val="nil"/>
              <w:left w:val="nil"/>
              <w:bottom w:val="single" w:sz="4" w:space="0" w:color="auto"/>
              <w:right w:val="single" w:sz="4" w:space="0" w:color="auto"/>
            </w:tcBorders>
            <w:noWrap/>
            <w:vAlign w:val="center"/>
            <w:hideMark/>
          </w:tcPr>
          <w:p w14:paraId="73B252C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1695,13</w:t>
            </w:r>
          </w:p>
        </w:tc>
        <w:tc>
          <w:tcPr>
            <w:tcW w:w="386" w:type="pct"/>
            <w:tcBorders>
              <w:top w:val="nil"/>
              <w:left w:val="nil"/>
              <w:bottom w:val="single" w:sz="4" w:space="0" w:color="auto"/>
              <w:right w:val="single" w:sz="4" w:space="0" w:color="auto"/>
            </w:tcBorders>
            <w:noWrap/>
            <w:vAlign w:val="center"/>
            <w:hideMark/>
          </w:tcPr>
          <w:p w14:paraId="1B1F6B9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2996</w:t>
            </w:r>
          </w:p>
        </w:tc>
        <w:tc>
          <w:tcPr>
            <w:tcW w:w="386" w:type="pct"/>
            <w:tcBorders>
              <w:top w:val="nil"/>
              <w:left w:val="nil"/>
              <w:bottom w:val="single" w:sz="4" w:space="0" w:color="auto"/>
              <w:right w:val="single" w:sz="4" w:space="0" w:color="auto"/>
            </w:tcBorders>
            <w:noWrap/>
            <w:vAlign w:val="center"/>
            <w:hideMark/>
          </w:tcPr>
          <w:p w14:paraId="1F6FA06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1408</w:t>
            </w:r>
          </w:p>
        </w:tc>
        <w:tc>
          <w:tcPr>
            <w:tcW w:w="386" w:type="pct"/>
            <w:tcBorders>
              <w:top w:val="nil"/>
              <w:left w:val="nil"/>
              <w:bottom w:val="single" w:sz="4" w:space="0" w:color="auto"/>
              <w:right w:val="single" w:sz="4" w:space="0" w:color="auto"/>
            </w:tcBorders>
            <w:noWrap/>
            <w:vAlign w:val="center"/>
            <w:hideMark/>
          </w:tcPr>
          <w:p w14:paraId="186A594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867,75</w:t>
            </w:r>
          </w:p>
        </w:tc>
        <w:tc>
          <w:tcPr>
            <w:tcW w:w="386" w:type="pct"/>
            <w:tcBorders>
              <w:top w:val="nil"/>
              <w:left w:val="nil"/>
              <w:bottom w:val="single" w:sz="4" w:space="0" w:color="auto"/>
              <w:right w:val="single" w:sz="4" w:space="0" w:color="auto"/>
            </w:tcBorders>
            <w:noWrap/>
            <w:vAlign w:val="center"/>
            <w:hideMark/>
          </w:tcPr>
          <w:p w14:paraId="42EEDC6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681,25</w:t>
            </w:r>
          </w:p>
        </w:tc>
        <w:tc>
          <w:tcPr>
            <w:tcW w:w="386" w:type="pct"/>
            <w:tcBorders>
              <w:top w:val="nil"/>
              <w:left w:val="nil"/>
              <w:bottom w:val="single" w:sz="4" w:space="0" w:color="auto"/>
              <w:right w:val="single" w:sz="4" w:space="0" w:color="auto"/>
            </w:tcBorders>
            <w:noWrap/>
            <w:vAlign w:val="center"/>
            <w:hideMark/>
          </w:tcPr>
          <w:p w14:paraId="608ACB7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867,75</w:t>
            </w:r>
          </w:p>
        </w:tc>
        <w:tc>
          <w:tcPr>
            <w:tcW w:w="494" w:type="pct"/>
            <w:tcBorders>
              <w:top w:val="nil"/>
              <w:left w:val="nil"/>
              <w:bottom w:val="single" w:sz="4" w:space="0" w:color="auto"/>
              <w:right w:val="single" w:sz="4" w:space="0" w:color="auto"/>
            </w:tcBorders>
            <w:noWrap/>
            <w:vAlign w:val="bottom"/>
            <w:hideMark/>
          </w:tcPr>
          <w:p w14:paraId="47AD535A" w14:textId="1023EDF1"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4E993349" w14:textId="77777777" w:rsidTr="008D3796">
        <w:trPr>
          <w:trHeight w:val="330"/>
        </w:trPr>
        <w:tc>
          <w:tcPr>
            <w:tcW w:w="559" w:type="pct"/>
            <w:tcBorders>
              <w:top w:val="nil"/>
              <w:left w:val="single" w:sz="4" w:space="0" w:color="auto"/>
              <w:bottom w:val="single" w:sz="4" w:space="0" w:color="auto"/>
              <w:right w:val="single" w:sz="4" w:space="0" w:color="auto"/>
            </w:tcBorders>
            <w:noWrap/>
            <w:vAlign w:val="center"/>
            <w:hideMark/>
          </w:tcPr>
          <w:p w14:paraId="0491FC71" w14:textId="7CFC3CD4" w:rsidR="00BC5BD4" w:rsidRPr="00CF1A29" w:rsidRDefault="00BC5BD4" w:rsidP="00BC5BD4">
            <w:pPr>
              <w:jc w:val="center"/>
              <w:rPr>
                <w:b/>
                <w:color w:val="000000"/>
                <w:sz w:val="18"/>
                <w:szCs w:val="18"/>
                <w:lang w:eastAsia="es-AR"/>
              </w:rPr>
            </w:pPr>
            <w:r w:rsidRPr="00CF1A29">
              <w:rPr>
                <w:b/>
                <w:color w:val="000000"/>
                <w:sz w:val="18"/>
                <w:szCs w:val="18"/>
                <w:lang w:eastAsia="es-AR"/>
              </w:rPr>
              <w:t>SO</w:t>
            </w:r>
            <w:r w:rsidRPr="00CF1A29">
              <w:rPr>
                <w:b/>
                <w:color w:val="000000"/>
                <w:sz w:val="18"/>
                <w:szCs w:val="18"/>
                <w:vertAlign w:val="subscript"/>
                <w:lang w:eastAsia="es-AR"/>
              </w:rPr>
              <w:t>4</w:t>
            </w:r>
            <w:r w:rsidR="008D3796">
              <w:rPr>
                <w:b/>
                <w:color w:val="000000"/>
                <w:sz w:val="18"/>
                <w:szCs w:val="18"/>
                <w:vertAlign w:val="superscript"/>
                <w:lang w:eastAsia="es-AR"/>
              </w:rPr>
              <w:t>-2</w:t>
            </w:r>
            <w:r w:rsidRPr="00CF1A29">
              <w:rPr>
                <w:b/>
                <w:color w:val="000000"/>
                <w:sz w:val="18"/>
                <w:szCs w:val="18"/>
                <w:vertAlign w:val="subscript"/>
                <w:lang w:eastAsia="es-AR"/>
              </w:rPr>
              <w:t xml:space="preserve"> </w:t>
            </w:r>
            <w:r w:rsidRPr="00CF1A29">
              <w:rPr>
                <w:b/>
                <w:color w:val="000000"/>
                <w:sz w:val="18"/>
                <w:szCs w:val="18"/>
                <w:lang w:eastAsia="es-AR"/>
              </w:rPr>
              <w:t>(ppm)</w:t>
            </w:r>
          </w:p>
        </w:tc>
        <w:tc>
          <w:tcPr>
            <w:tcW w:w="488" w:type="pct"/>
            <w:tcBorders>
              <w:top w:val="nil"/>
              <w:left w:val="nil"/>
              <w:bottom w:val="single" w:sz="4" w:space="0" w:color="auto"/>
              <w:right w:val="single" w:sz="4" w:space="0" w:color="auto"/>
            </w:tcBorders>
            <w:noWrap/>
            <w:vAlign w:val="center"/>
            <w:hideMark/>
          </w:tcPr>
          <w:p w14:paraId="6F8E1E6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2621,35</w:t>
            </w:r>
          </w:p>
        </w:tc>
        <w:tc>
          <w:tcPr>
            <w:tcW w:w="386" w:type="pct"/>
            <w:tcBorders>
              <w:top w:val="nil"/>
              <w:left w:val="nil"/>
              <w:bottom w:val="single" w:sz="4" w:space="0" w:color="auto"/>
              <w:right w:val="single" w:sz="4" w:space="0" w:color="auto"/>
            </w:tcBorders>
            <w:noWrap/>
            <w:vAlign w:val="center"/>
            <w:hideMark/>
          </w:tcPr>
          <w:p w14:paraId="3A31BE8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3650,39</w:t>
            </w:r>
          </w:p>
        </w:tc>
        <w:tc>
          <w:tcPr>
            <w:tcW w:w="369" w:type="pct"/>
            <w:tcBorders>
              <w:top w:val="nil"/>
              <w:left w:val="nil"/>
              <w:bottom w:val="single" w:sz="4" w:space="0" w:color="auto"/>
              <w:right w:val="single" w:sz="4" w:space="0" w:color="auto"/>
            </w:tcBorders>
            <w:noWrap/>
            <w:vAlign w:val="center"/>
            <w:hideMark/>
          </w:tcPr>
          <w:p w14:paraId="2166D17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7024,4</w:t>
            </w:r>
          </w:p>
        </w:tc>
        <w:tc>
          <w:tcPr>
            <w:tcW w:w="386" w:type="pct"/>
            <w:tcBorders>
              <w:top w:val="nil"/>
              <w:left w:val="nil"/>
              <w:bottom w:val="single" w:sz="4" w:space="0" w:color="auto"/>
              <w:right w:val="single" w:sz="4" w:space="0" w:color="auto"/>
            </w:tcBorders>
            <w:noWrap/>
            <w:vAlign w:val="center"/>
            <w:hideMark/>
          </w:tcPr>
          <w:p w14:paraId="007E208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2692,99</w:t>
            </w:r>
          </w:p>
        </w:tc>
        <w:tc>
          <w:tcPr>
            <w:tcW w:w="386" w:type="pct"/>
            <w:tcBorders>
              <w:top w:val="nil"/>
              <w:left w:val="nil"/>
              <w:bottom w:val="single" w:sz="4" w:space="0" w:color="auto"/>
              <w:right w:val="single" w:sz="4" w:space="0" w:color="auto"/>
            </w:tcBorders>
            <w:noWrap/>
            <w:vAlign w:val="center"/>
            <w:hideMark/>
          </w:tcPr>
          <w:p w14:paraId="01B2257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6273,61</w:t>
            </w:r>
          </w:p>
        </w:tc>
        <w:tc>
          <w:tcPr>
            <w:tcW w:w="386" w:type="pct"/>
            <w:tcBorders>
              <w:top w:val="nil"/>
              <w:left w:val="nil"/>
              <w:bottom w:val="single" w:sz="4" w:space="0" w:color="auto"/>
              <w:right w:val="single" w:sz="4" w:space="0" w:color="auto"/>
            </w:tcBorders>
            <w:noWrap/>
            <w:vAlign w:val="center"/>
            <w:hideMark/>
          </w:tcPr>
          <w:p w14:paraId="2A544B4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4000,55</w:t>
            </w:r>
          </w:p>
        </w:tc>
        <w:tc>
          <w:tcPr>
            <w:tcW w:w="386" w:type="pct"/>
            <w:tcBorders>
              <w:top w:val="nil"/>
              <w:left w:val="nil"/>
              <w:bottom w:val="single" w:sz="4" w:space="0" w:color="auto"/>
              <w:right w:val="single" w:sz="4" w:space="0" w:color="auto"/>
            </w:tcBorders>
            <w:noWrap/>
            <w:vAlign w:val="center"/>
            <w:hideMark/>
          </w:tcPr>
          <w:p w14:paraId="7ED9C51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7127,49</w:t>
            </w:r>
          </w:p>
        </w:tc>
        <w:tc>
          <w:tcPr>
            <w:tcW w:w="386" w:type="pct"/>
            <w:tcBorders>
              <w:top w:val="nil"/>
              <w:left w:val="nil"/>
              <w:bottom w:val="single" w:sz="4" w:space="0" w:color="auto"/>
              <w:right w:val="single" w:sz="4" w:space="0" w:color="auto"/>
            </w:tcBorders>
            <w:noWrap/>
            <w:vAlign w:val="center"/>
            <w:hideMark/>
          </w:tcPr>
          <w:p w14:paraId="036AD51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2488,11</w:t>
            </w:r>
          </w:p>
        </w:tc>
        <w:tc>
          <w:tcPr>
            <w:tcW w:w="386" w:type="pct"/>
            <w:tcBorders>
              <w:top w:val="nil"/>
              <w:left w:val="nil"/>
              <w:bottom w:val="single" w:sz="4" w:space="0" w:color="auto"/>
              <w:right w:val="single" w:sz="4" w:space="0" w:color="auto"/>
            </w:tcBorders>
            <w:noWrap/>
            <w:vAlign w:val="center"/>
            <w:hideMark/>
          </w:tcPr>
          <w:p w14:paraId="347CB6F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2574,27</w:t>
            </w:r>
          </w:p>
        </w:tc>
        <w:tc>
          <w:tcPr>
            <w:tcW w:w="386" w:type="pct"/>
            <w:tcBorders>
              <w:top w:val="nil"/>
              <w:left w:val="nil"/>
              <w:bottom w:val="single" w:sz="4" w:space="0" w:color="auto"/>
              <w:right w:val="single" w:sz="4" w:space="0" w:color="auto"/>
            </w:tcBorders>
            <w:noWrap/>
            <w:vAlign w:val="center"/>
            <w:hideMark/>
          </w:tcPr>
          <w:p w14:paraId="2F8491C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4453,36</w:t>
            </w:r>
          </w:p>
        </w:tc>
        <w:tc>
          <w:tcPr>
            <w:tcW w:w="494" w:type="pct"/>
            <w:tcBorders>
              <w:top w:val="nil"/>
              <w:left w:val="nil"/>
              <w:bottom w:val="single" w:sz="4" w:space="0" w:color="auto"/>
              <w:right w:val="single" w:sz="4" w:space="0" w:color="auto"/>
            </w:tcBorders>
            <w:noWrap/>
            <w:vAlign w:val="bottom"/>
            <w:hideMark/>
          </w:tcPr>
          <w:p w14:paraId="0BDA3E6B" w14:textId="4D6BE814"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106E6537" w14:textId="77777777" w:rsidTr="008D3796">
        <w:trPr>
          <w:trHeight w:val="330"/>
        </w:trPr>
        <w:tc>
          <w:tcPr>
            <w:tcW w:w="559" w:type="pct"/>
            <w:tcBorders>
              <w:top w:val="nil"/>
              <w:left w:val="single" w:sz="4" w:space="0" w:color="auto"/>
              <w:bottom w:val="single" w:sz="4" w:space="0" w:color="auto"/>
              <w:right w:val="single" w:sz="4" w:space="0" w:color="auto"/>
            </w:tcBorders>
            <w:noWrap/>
            <w:vAlign w:val="center"/>
            <w:hideMark/>
          </w:tcPr>
          <w:p w14:paraId="66515BFF" w14:textId="54816F81" w:rsidR="00BC5BD4" w:rsidRPr="00CF1A29" w:rsidRDefault="00BC5BD4" w:rsidP="00BC5BD4">
            <w:pPr>
              <w:jc w:val="center"/>
              <w:rPr>
                <w:b/>
                <w:color w:val="000000"/>
                <w:sz w:val="18"/>
                <w:szCs w:val="18"/>
                <w:lang w:eastAsia="es-AR"/>
              </w:rPr>
            </w:pPr>
            <w:r w:rsidRPr="00CF1A29">
              <w:rPr>
                <w:b/>
                <w:color w:val="000000"/>
                <w:sz w:val="18"/>
                <w:szCs w:val="18"/>
                <w:lang w:eastAsia="es-AR"/>
              </w:rPr>
              <w:t>NO</w:t>
            </w:r>
            <w:r w:rsidRPr="00CF1A29">
              <w:rPr>
                <w:b/>
                <w:color w:val="000000"/>
                <w:sz w:val="18"/>
                <w:szCs w:val="18"/>
                <w:vertAlign w:val="subscript"/>
                <w:lang w:eastAsia="es-AR"/>
              </w:rPr>
              <w:t>3</w:t>
            </w:r>
            <w:r w:rsidR="008D3796">
              <w:rPr>
                <w:b/>
                <w:color w:val="000000"/>
                <w:sz w:val="18"/>
                <w:szCs w:val="18"/>
                <w:vertAlign w:val="superscript"/>
                <w:lang w:eastAsia="es-AR"/>
              </w:rPr>
              <w:t>-</w:t>
            </w:r>
            <w:r w:rsidRPr="00CF1A29">
              <w:rPr>
                <w:b/>
                <w:color w:val="000000"/>
                <w:sz w:val="18"/>
                <w:szCs w:val="18"/>
                <w:vertAlign w:val="subscript"/>
                <w:lang w:eastAsia="es-AR"/>
              </w:rPr>
              <w:t xml:space="preserve"> </w:t>
            </w:r>
            <w:r w:rsidRPr="00CF1A29">
              <w:rPr>
                <w:b/>
                <w:color w:val="000000"/>
                <w:sz w:val="18"/>
                <w:szCs w:val="18"/>
                <w:lang w:eastAsia="es-AR"/>
              </w:rPr>
              <w:t>(ppm)</w:t>
            </w:r>
          </w:p>
        </w:tc>
        <w:tc>
          <w:tcPr>
            <w:tcW w:w="488" w:type="pct"/>
            <w:tcBorders>
              <w:top w:val="nil"/>
              <w:left w:val="nil"/>
              <w:bottom w:val="single" w:sz="4" w:space="0" w:color="auto"/>
              <w:right w:val="single" w:sz="4" w:space="0" w:color="auto"/>
            </w:tcBorders>
            <w:noWrap/>
            <w:vAlign w:val="center"/>
            <w:hideMark/>
          </w:tcPr>
          <w:p w14:paraId="5A4335B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43,25</w:t>
            </w:r>
          </w:p>
        </w:tc>
        <w:tc>
          <w:tcPr>
            <w:tcW w:w="386" w:type="pct"/>
            <w:tcBorders>
              <w:top w:val="nil"/>
              <w:left w:val="nil"/>
              <w:bottom w:val="single" w:sz="4" w:space="0" w:color="auto"/>
              <w:right w:val="single" w:sz="4" w:space="0" w:color="auto"/>
            </w:tcBorders>
            <w:noWrap/>
            <w:vAlign w:val="center"/>
            <w:hideMark/>
          </w:tcPr>
          <w:p w14:paraId="5F71169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28,55</w:t>
            </w:r>
          </w:p>
        </w:tc>
        <w:tc>
          <w:tcPr>
            <w:tcW w:w="369" w:type="pct"/>
            <w:tcBorders>
              <w:top w:val="nil"/>
              <w:left w:val="nil"/>
              <w:bottom w:val="single" w:sz="4" w:space="0" w:color="auto"/>
              <w:right w:val="single" w:sz="4" w:space="0" w:color="auto"/>
            </w:tcBorders>
            <w:noWrap/>
            <w:vAlign w:val="center"/>
            <w:hideMark/>
          </w:tcPr>
          <w:p w14:paraId="107C2F3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45,05</w:t>
            </w:r>
          </w:p>
        </w:tc>
        <w:tc>
          <w:tcPr>
            <w:tcW w:w="386" w:type="pct"/>
            <w:tcBorders>
              <w:top w:val="nil"/>
              <w:left w:val="nil"/>
              <w:bottom w:val="single" w:sz="4" w:space="0" w:color="auto"/>
              <w:right w:val="single" w:sz="4" w:space="0" w:color="auto"/>
            </w:tcBorders>
            <w:noWrap/>
            <w:vAlign w:val="center"/>
            <w:hideMark/>
          </w:tcPr>
          <w:p w14:paraId="072B353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25,45</w:t>
            </w:r>
          </w:p>
        </w:tc>
        <w:tc>
          <w:tcPr>
            <w:tcW w:w="386" w:type="pct"/>
            <w:tcBorders>
              <w:top w:val="nil"/>
              <w:left w:val="nil"/>
              <w:bottom w:val="single" w:sz="4" w:space="0" w:color="auto"/>
              <w:right w:val="single" w:sz="4" w:space="0" w:color="auto"/>
            </w:tcBorders>
            <w:noWrap/>
            <w:vAlign w:val="center"/>
            <w:hideMark/>
          </w:tcPr>
          <w:p w14:paraId="1FA4F3E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94,67</w:t>
            </w:r>
          </w:p>
        </w:tc>
        <w:tc>
          <w:tcPr>
            <w:tcW w:w="386" w:type="pct"/>
            <w:tcBorders>
              <w:top w:val="nil"/>
              <w:left w:val="nil"/>
              <w:bottom w:val="single" w:sz="4" w:space="0" w:color="auto"/>
              <w:right w:val="single" w:sz="4" w:space="0" w:color="auto"/>
            </w:tcBorders>
            <w:noWrap/>
            <w:vAlign w:val="center"/>
            <w:hideMark/>
          </w:tcPr>
          <w:p w14:paraId="162D502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60,7</w:t>
            </w:r>
          </w:p>
        </w:tc>
        <w:tc>
          <w:tcPr>
            <w:tcW w:w="386" w:type="pct"/>
            <w:tcBorders>
              <w:top w:val="nil"/>
              <w:left w:val="nil"/>
              <w:bottom w:val="single" w:sz="4" w:space="0" w:color="auto"/>
              <w:right w:val="single" w:sz="4" w:space="0" w:color="auto"/>
            </w:tcBorders>
            <w:noWrap/>
            <w:vAlign w:val="center"/>
            <w:hideMark/>
          </w:tcPr>
          <w:p w14:paraId="6369290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67,06</w:t>
            </w:r>
          </w:p>
        </w:tc>
        <w:tc>
          <w:tcPr>
            <w:tcW w:w="386" w:type="pct"/>
            <w:tcBorders>
              <w:top w:val="nil"/>
              <w:left w:val="nil"/>
              <w:bottom w:val="single" w:sz="4" w:space="0" w:color="auto"/>
              <w:right w:val="single" w:sz="4" w:space="0" w:color="auto"/>
            </w:tcBorders>
            <w:noWrap/>
            <w:vAlign w:val="center"/>
            <w:hideMark/>
          </w:tcPr>
          <w:p w14:paraId="5458069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39,25</w:t>
            </w:r>
          </w:p>
        </w:tc>
        <w:tc>
          <w:tcPr>
            <w:tcW w:w="386" w:type="pct"/>
            <w:tcBorders>
              <w:top w:val="nil"/>
              <w:left w:val="nil"/>
              <w:bottom w:val="single" w:sz="4" w:space="0" w:color="auto"/>
              <w:right w:val="single" w:sz="4" w:space="0" w:color="auto"/>
            </w:tcBorders>
            <w:noWrap/>
            <w:vAlign w:val="center"/>
            <w:hideMark/>
          </w:tcPr>
          <w:p w14:paraId="50011A1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16,87</w:t>
            </w:r>
          </w:p>
        </w:tc>
        <w:tc>
          <w:tcPr>
            <w:tcW w:w="386" w:type="pct"/>
            <w:tcBorders>
              <w:top w:val="nil"/>
              <w:left w:val="nil"/>
              <w:bottom w:val="single" w:sz="4" w:space="0" w:color="auto"/>
              <w:right w:val="single" w:sz="4" w:space="0" w:color="auto"/>
            </w:tcBorders>
            <w:noWrap/>
            <w:vAlign w:val="center"/>
            <w:hideMark/>
          </w:tcPr>
          <w:p w14:paraId="55535C7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110,3</w:t>
            </w:r>
          </w:p>
        </w:tc>
        <w:tc>
          <w:tcPr>
            <w:tcW w:w="494" w:type="pct"/>
            <w:tcBorders>
              <w:top w:val="nil"/>
              <w:left w:val="nil"/>
              <w:bottom w:val="single" w:sz="4" w:space="0" w:color="auto"/>
              <w:right w:val="single" w:sz="4" w:space="0" w:color="auto"/>
            </w:tcBorders>
            <w:noWrap/>
            <w:vAlign w:val="bottom"/>
            <w:hideMark/>
          </w:tcPr>
          <w:p w14:paraId="7A0E44B2" w14:textId="3FB32394"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05CE58AD" w14:textId="77777777" w:rsidTr="008D3796">
        <w:trPr>
          <w:trHeight w:val="330"/>
        </w:trPr>
        <w:tc>
          <w:tcPr>
            <w:tcW w:w="559" w:type="pct"/>
            <w:tcBorders>
              <w:top w:val="nil"/>
              <w:left w:val="single" w:sz="4" w:space="0" w:color="auto"/>
              <w:bottom w:val="single" w:sz="4" w:space="0" w:color="auto"/>
              <w:right w:val="single" w:sz="4" w:space="0" w:color="auto"/>
            </w:tcBorders>
            <w:noWrap/>
            <w:vAlign w:val="center"/>
            <w:hideMark/>
          </w:tcPr>
          <w:p w14:paraId="762DAEE4" w14:textId="4C9AD26F" w:rsidR="00BC5BD4" w:rsidRPr="00CF1A29" w:rsidRDefault="00BC5BD4" w:rsidP="00BC5BD4">
            <w:pPr>
              <w:jc w:val="center"/>
              <w:rPr>
                <w:b/>
                <w:color w:val="000000"/>
                <w:sz w:val="18"/>
                <w:szCs w:val="18"/>
                <w:lang w:eastAsia="es-AR"/>
              </w:rPr>
            </w:pPr>
            <w:r w:rsidRPr="00CF1A29">
              <w:rPr>
                <w:b/>
                <w:color w:val="000000"/>
                <w:sz w:val="18"/>
                <w:szCs w:val="18"/>
                <w:lang w:eastAsia="es-AR"/>
              </w:rPr>
              <w:t>NO</w:t>
            </w:r>
            <w:r w:rsidRPr="00CF1A29">
              <w:rPr>
                <w:b/>
                <w:color w:val="000000"/>
                <w:sz w:val="18"/>
                <w:szCs w:val="18"/>
                <w:vertAlign w:val="subscript"/>
                <w:lang w:eastAsia="es-AR"/>
              </w:rPr>
              <w:t>2</w:t>
            </w:r>
            <w:r w:rsidR="008D3796">
              <w:rPr>
                <w:b/>
                <w:color w:val="000000"/>
                <w:sz w:val="18"/>
                <w:szCs w:val="18"/>
                <w:vertAlign w:val="superscript"/>
                <w:lang w:eastAsia="es-AR"/>
              </w:rPr>
              <w:t>-</w:t>
            </w:r>
            <w:r w:rsidRPr="00CF1A29">
              <w:rPr>
                <w:b/>
                <w:color w:val="000000"/>
                <w:sz w:val="18"/>
                <w:szCs w:val="18"/>
                <w:vertAlign w:val="subscript"/>
                <w:lang w:eastAsia="es-AR"/>
              </w:rPr>
              <w:t xml:space="preserve"> </w:t>
            </w:r>
            <w:r w:rsidRPr="00CF1A29">
              <w:rPr>
                <w:b/>
                <w:color w:val="000000"/>
                <w:sz w:val="18"/>
                <w:szCs w:val="18"/>
                <w:lang w:eastAsia="es-AR"/>
              </w:rPr>
              <w:t>(ppm)</w:t>
            </w:r>
          </w:p>
        </w:tc>
        <w:tc>
          <w:tcPr>
            <w:tcW w:w="488" w:type="pct"/>
            <w:tcBorders>
              <w:top w:val="nil"/>
              <w:left w:val="nil"/>
              <w:bottom w:val="single" w:sz="4" w:space="0" w:color="auto"/>
              <w:right w:val="single" w:sz="4" w:space="0" w:color="auto"/>
            </w:tcBorders>
            <w:noWrap/>
            <w:vAlign w:val="center"/>
            <w:hideMark/>
          </w:tcPr>
          <w:p w14:paraId="519B5EB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0,54</w:t>
            </w:r>
          </w:p>
        </w:tc>
        <w:tc>
          <w:tcPr>
            <w:tcW w:w="386" w:type="pct"/>
            <w:tcBorders>
              <w:top w:val="nil"/>
              <w:left w:val="nil"/>
              <w:bottom w:val="single" w:sz="4" w:space="0" w:color="auto"/>
              <w:right w:val="single" w:sz="4" w:space="0" w:color="auto"/>
            </w:tcBorders>
            <w:noWrap/>
            <w:vAlign w:val="center"/>
            <w:hideMark/>
          </w:tcPr>
          <w:p w14:paraId="508D259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0,06</w:t>
            </w:r>
          </w:p>
        </w:tc>
        <w:tc>
          <w:tcPr>
            <w:tcW w:w="369" w:type="pct"/>
            <w:tcBorders>
              <w:top w:val="nil"/>
              <w:left w:val="nil"/>
              <w:bottom w:val="single" w:sz="4" w:space="0" w:color="auto"/>
              <w:right w:val="single" w:sz="4" w:space="0" w:color="auto"/>
            </w:tcBorders>
            <w:noWrap/>
            <w:vAlign w:val="center"/>
            <w:hideMark/>
          </w:tcPr>
          <w:p w14:paraId="51E7D18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0,04</w:t>
            </w:r>
          </w:p>
        </w:tc>
        <w:tc>
          <w:tcPr>
            <w:tcW w:w="386" w:type="pct"/>
            <w:tcBorders>
              <w:top w:val="nil"/>
              <w:left w:val="nil"/>
              <w:bottom w:val="single" w:sz="4" w:space="0" w:color="auto"/>
              <w:right w:val="single" w:sz="4" w:space="0" w:color="auto"/>
            </w:tcBorders>
            <w:noWrap/>
            <w:vAlign w:val="center"/>
            <w:hideMark/>
          </w:tcPr>
          <w:p w14:paraId="455EAA7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0,15</w:t>
            </w:r>
          </w:p>
        </w:tc>
        <w:tc>
          <w:tcPr>
            <w:tcW w:w="386" w:type="pct"/>
            <w:tcBorders>
              <w:top w:val="nil"/>
              <w:left w:val="nil"/>
              <w:bottom w:val="single" w:sz="4" w:space="0" w:color="auto"/>
              <w:right w:val="single" w:sz="4" w:space="0" w:color="auto"/>
            </w:tcBorders>
            <w:noWrap/>
            <w:vAlign w:val="center"/>
            <w:hideMark/>
          </w:tcPr>
          <w:p w14:paraId="5BBEA9C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1,65</w:t>
            </w:r>
          </w:p>
        </w:tc>
        <w:tc>
          <w:tcPr>
            <w:tcW w:w="386" w:type="pct"/>
            <w:tcBorders>
              <w:top w:val="nil"/>
              <w:left w:val="nil"/>
              <w:bottom w:val="single" w:sz="4" w:space="0" w:color="auto"/>
              <w:right w:val="single" w:sz="4" w:space="0" w:color="auto"/>
            </w:tcBorders>
            <w:noWrap/>
            <w:vAlign w:val="center"/>
            <w:hideMark/>
          </w:tcPr>
          <w:p w14:paraId="3C848F5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4,37</w:t>
            </w:r>
          </w:p>
        </w:tc>
        <w:tc>
          <w:tcPr>
            <w:tcW w:w="386" w:type="pct"/>
            <w:tcBorders>
              <w:top w:val="nil"/>
              <w:left w:val="nil"/>
              <w:bottom w:val="single" w:sz="4" w:space="0" w:color="auto"/>
              <w:right w:val="single" w:sz="4" w:space="0" w:color="auto"/>
            </w:tcBorders>
            <w:noWrap/>
            <w:vAlign w:val="center"/>
            <w:hideMark/>
          </w:tcPr>
          <w:p w14:paraId="447ABD3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1,72</w:t>
            </w:r>
          </w:p>
        </w:tc>
        <w:tc>
          <w:tcPr>
            <w:tcW w:w="386" w:type="pct"/>
            <w:tcBorders>
              <w:top w:val="nil"/>
              <w:left w:val="nil"/>
              <w:bottom w:val="single" w:sz="4" w:space="0" w:color="auto"/>
              <w:right w:val="single" w:sz="4" w:space="0" w:color="auto"/>
            </w:tcBorders>
            <w:noWrap/>
            <w:vAlign w:val="center"/>
            <w:hideMark/>
          </w:tcPr>
          <w:p w14:paraId="33BAAA7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0,43</w:t>
            </w:r>
          </w:p>
        </w:tc>
        <w:tc>
          <w:tcPr>
            <w:tcW w:w="386" w:type="pct"/>
            <w:tcBorders>
              <w:top w:val="nil"/>
              <w:left w:val="nil"/>
              <w:bottom w:val="single" w:sz="4" w:space="0" w:color="auto"/>
              <w:right w:val="single" w:sz="4" w:space="0" w:color="auto"/>
            </w:tcBorders>
            <w:noWrap/>
            <w:vAlign w:val="center"/>
            <w:hideMark/>
          </w:tcPr>
          <w:p w14:paraId="1B29B6B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0,61</w:t>
            </w:r>
          </w:p>
        </w:tc>
        <w:tc>
          <w:tcPr>
            <w:tcW w:w="386" w:type="pct"/>
            <w:tcBorders>
              <w:top w:val="nil"/>
              <w:left w:val="nil"/>
              <w:bottom w:val="single" w:sz="4" w:space="0" w:color="auto"/>
              <w:right w:val="single" w:sz="4" w:space="0" w:color="auto"/>
            </w:tcBorders>
            <w:noWrap/>
            <w:vAlign w:val="center"/>
            <w:hideMark/>
          </w:tcPr>
          <w:p w14:paraId="2A53B2D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0,24</w:t>
            </w:r>
          </w:p>
        </w:tc>
        <w:tc>
          <w:tcPr>
            <w:tcW w:w="494" w:type="pct"/>
            <w:tcBorders>
              <w:top w:val="nil"/>
              <w:left w:val="nil"/>
              <w:bottom w:val="single" w:sz="4" w:space="0" w:color="auto"/>
              <w:right w:val="single" w:sz="4" w:space="0" w:color="auto"/>
            </w:tcBorders>
            <w:noWrap/>
            <w:vAlign w:val="bottom"/>
            <w:hideMark/>
          </w:tcPr>
          <w:p w14:paraId="6800E7ED" w14:textId="5668B636"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5B6A4D49" w14:textId="77777777" w:rsidTr="008D3796">
        <w:trPr>
          <w:trHeight w:val="330"/>
        </w:trPr>
        <w:tc>
          <w:tcPr>
            <w:tcW w:w="559" w:type="pct"/>
            <w:tcBorders>
              <w:top w:val="nil"/>
              <w:left w:val="single" w:sz="4" w:space="0" w:color="auto"/>
              <w:bottom w:val="single" w:sz="4" w:space="0" w:color="auto"/>
              <w:right w:val="single" w:sz="4" w:space="0" w:color="auto"/>
            </w:tcBorders>
            <w:noWrap/>
            <w:vAlign w:val="center"/>
            <w:hideMark/>
          </w:tcPr>
          <w:p w14:paraId="582C95B3" w14:textId="0EDA8740" w:rsidR="00BC5BD4" w:rsidRPr="00CF1A29" w:rsidRDefault="00BC5BD4" w:rsidP="00BC5BD4">
            <w:pPr>
              <w:jc w:val="center"/>
              <w:rPr>
                <w:b/>
                <w:color w:val="000000"/>
                <w:sz w:val="18"/>
                <w:szCs w:val="18"/>
                <w:lang w:eastAsia="es-AR"/>
              </w:rPr>
            </w:pPr>
            <w:r w:rsidRPr="00CF1A29">
              <w:rPr>
                <w:b/>
                <w:color w:val="000000"/>
                <w:sz w:val="18"/>
                <w:szCs w:val="18"/>
                <w:lang w:eastAsia="es-AR"/>
              </w:rPr>
              <w:t>NH</w:t>
            </w:r>
            <w:r w:rsidRPr="00CF1A29">
              <w:rPr>
                <w:b/>
                <w:color w:val="000000"/>
                <w:sz w:val="18"/>
                <w:szCs w:val="18"/>
                <w:vertAlign w:val="subscript"/>
                <w:lang w:eastAsia="es-AR"/>
              </w:rPr>
              <w:t>4</w:t>
            </w:r>
            <w:r w:rsidR="008D3796">
              <w:rPr>
                <w:b/>
                <w:color w:val="000000"/>
                <w:sz w:val="18"/>
                <w:szCs w:val="18"/>
                <w:vertAlign w:val="superscript"/>
                <w:lang w:eastAsia="es-AR"/>
              </w:rPr>
              <w:t>+</w:t>
            </w:r>
            <w:r w:rsidRPr="00CF1A29">
              <w:rPr>
                <w:b/>
                <w:color w:val="000000"/>
                <w:sz w:val="18"/>
                <w:szCs w:val="18"/>
                <w:vertAlign w:val="subscript"/>
                <w:lang w:eastAsia="es-AR"/>
              </w:rPr>
              <w:t xml:space="preserve"> </w:t>
            </w:r>
            <w:r w:rsidRPr="00CF1A29">
              <w:rPr>
                <w:b/>
                <w:color w:val="000000"/>
                <w:sz w:val="18"/>
                <w:szCs w:val="18"/>
                <w:lang w:eastAsia="es-AR"/>
              </w:rPr>
              <w:t>(ppm)</w:t>
            </w:r>
          </w:p>
        </w:tc>
        <w:tc>
          <w:tcPr>
            <w:tcW w:w="488" w:type="pct"/>
            <w:tcBorders>
              <w:top w:val="nil"/>
              <w:left w:val="nil"/>
              <w:bottom w:val="single" w:sz="4" w:space="0" w:color="auto"/>
              <w:right w:val="single" w:sz="4" w:space="0" w:color="auto"/>
            </w:tcBorders>
            <w:noWrap/>
            <w:vAlign w:val="center"/>
            <w:hideMark/>
          </w:tcPr>
          <w:p w14:paraId="4177DE5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3,14</w:t>
            </w:r>
          </w:p>
        </w:tc>
        <w:tc>
          <w:tcPr>
            <w:tcW w:w="386" w:type="pct"/>
            <w:tcBorders>
              <w:top w:val="nil"/>
              <w:left w:val="nil"/>
              <w:bottom w:val="single" w:sz="4" w:space="0" w:color="auto"/>
              <w:right w:val="single" w:sz="4" w:space="0" w:color="auto"/>
            </w:tcBorders>
            <w:noWrap/>
            <w:vAlign w:val="center"/>
            <w:hideMark/>
          </w:tcPr>
          <w:p w14:paraId="2E99F2D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0,64</w:t>
            </w:r>
          </w:p>
        </w:tc>
        <w:tc>
          <w:tcPr>
            <w:tcW w:w="369" w:type="pct"/>
            <w:tcBorders>
              <w:top w:val="nil"/>
              <w:left w:val="nil"/>
              <w:bottom w:val="single" w:sz="4" w:space="0" w:color="auto"/>
              <w:right w:val="single" w:sz="4" w:space="0" w:color="auto"/>
            </w:tcBorders>
            <w:noWrap/>
            <w:vAlign w:val="center"/>
            <w:hideMark/>
          </w:tcPr>
          <w:p w14:paraId="6307161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1,69</w:t>
            </w:r>
          </w:p>
        </w:tc>
        <w:tc>
          <w:tcPr>
            <w:tcW w:w="386" w:type="pct"/>
            <w:tcBorders>
              <w:top w:val="nil"/>
              <w:left w:val="nil"/>
              <w:bottom w:val="single" w:sz="4" w:space="0" w:color="auto"/>
              <w:right w:val="single" w:sz="4" w:space="0" w:color="auto"/>
            </w:tcBorders>
            <w:noWrap/>
            <w:vAlign w:val="center"/>
            <w:hideMark/>
          </w:tcPr>
          <w:p w14:paraId="21E89D8C"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1,01</w:t>
            </w:r>
          </w:p>
        </w:tc>
        <w:tc>
          <w:tcPr>
            <w:tcW w:w="386" w:type="pct"/>
            <w:tcBorders>
              <w:top w:val="nil"/>
              <w:left w:val="nil"/>
              <w:bottom w:val="single" w:sz="4" w:space="0" w:color="auto"/>
              <w:right w:val="single" w:sz="4" w:space="0" w:color="auto"/>
            </w:tcBorders>
            <w:noWrap/>
            <w:vAlign w:val="center"/>
            <w:hideMark/>
          </w:tcPr>
          <w:p w14:paraId="73F0C81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1,78</w:t>
            </w:r>
          </w:p>
        </w:tc>
        <w:tc>
          <w:tcPr>
            <w:tcW w:w="386" w:type="pct"/>
            <w:tcBorders>
              <w:top w:val="nil"/>
              <w:left w:val="nil"/>
              <w:bottom w:val="single" w:sz="4" w:space="0" w:color="auto"/>
              <w:right w:val="single" w:sz="4" w:space="0" w:color="auto"/>
            </w:tcBorders>
            <w:noWrap/>
            <w:vAlign w:val="center"/>
            <w:hideMark/>
          </w:tcPr>
          <w:p w14:paraId="773A12F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1,7</w:t>
            </w:r>
          </w:p>
        </w:tc>
        <w:tc>
          <w:tcPr>
            <w:tcW w:w="386" w:type="pct"/>
            <w:tcBorders>
              <w:top w:val="nil"/>
              <w:left w:val="nil"/>
              <w:bottom w:val="single" w:sz="4" w:space="0" w:color="auto"/>
              <w:right w:val="single" w:sz="4" w:space="0" w:color="auto"/>
            </w:tcBorders>
            <w:noWrap/>
            <w:vAlign w:val="center"/>
            <w:hideMark/>
          </w:tcPr>
          <w:p w14:paraId="09F5A50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1,9</w:t>
            </w:r>
          </w:p>
        </w:tc>
        <w:tc>
          <w:tcPr>
            <w:tcW w:w="386" w:type="pct"/>
            <w:tcBorders>
              <w:top w:val="nil"/>
              <w:left w:val="nil"/>
              <w:bottom w:val="single" w:sz="4" w:space="0" w:color="auto"/>
              <w:right w:val="single" w:sz="4" w:space="0" w:color="auto"/>
            </w:tcBorders>
            <w:noWrap/>
            <w:vAlign w:val="center"/>
            <w:hideMark/>
          </w:tcPr>
          <w:p w14:paraId="2FC9ED8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21,54</w:t>
            </w:r>
          </w:p>
        </w:tc>
        <w:tc>
          <w:tcPr>
            <w:tcW w:w="386" w:type="pct"/>
            <w:tcBorders>
              <w:top w:val="nil"/>
              <w:left w:val="nil"/>
              <w:bottom w:val="single" w:sz="4" w:space="0" w:color="auto"/>
              <w:right w:val="single" w:sz="4" w:space="0" w:color="auto"/>
            </w:tcBorders>
            <w:noWrap/>
            <w:vAlign w:val="center"/>
            <w:hideMark/>
          </w:tcPr>
          <w:p w14:paraId="70A9BC3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0,68</w:t>
            </w:r>
          </w:p>
        </w:tc>
        <w:tc>
          <w:tcPr>
            <w:tcW w:w="386" w:type="pct"/>
            <w:tcBorders>
              <w:top w:val="nil"/>
              <w:left w:val="nil"/>
              <w:bottom w:val="single" w:sz="4" w:space="0" w:color="auto"/>
              <w:right w:val="single" w:sz="4" w:space="0" w:color="auto"/>
            </w:tcBorders>
            <w:noWrap/>
            <w:vAlign w:val="center"/>
            <w:hideMark/>
          </w:tcPr>
          <w:p w14:paraId="3AA66CF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494,82</w:t>
            </w:r>
          </w:p>
        </w:tc>
        <w:tc>
          <w:tcPr>
            <w:tcW w:w="494" w:type="pct"/>
            <w:tcBorders>
              <w:top w:val="nil"/>
              <w:left w:val="nil"/>
              <w:bottom w:val="single" w:sz="4" w:space="0" w:color="auto"/>
              <w:right w:val="single" w:sz="4" w:space="0" w:color="auto"/>
            </w:tcBorders>
            <w:noWrap/>
            <w:vAlign w:val="bottom"/>
            <w:hideMark/>
          </w:tcPr>
          <w:p w14:paraId="1DAEF143" w14:textId="0A232078"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2E6F4D86" w14:textId="77777777" w:rsidTr="008D3796">
        <w:trPr>
          <w:trHeight w:val="330"/>
        </w:trPr>
        <w:tc>
          <w:tcPr>
            <w:tcW w:w="559" w:type="pct"/>
            <w:tcBorders>
              <w:top w:val="nil"/>
              <w:left w:val="single" w:sz="4" w:space="0" w:color="auto"/>
              <w:bottom w:val="single" w:sz="4" w:space="0" w:color="auto"/>
              <w:right w:val="single" w:sz="4" w:space="0" w:color="auto"/>
            </w:tcBorders>
            <w:noWrap/>
            <w:vAlign w:val="center"/>
            <w:hideMark/>
          </w:tcPr>
          <w:p w14:paraId="1823E155" w14:textId="05DE60F4" w:rsidR="00BC5BD4" w:rsidRPr="00CF1A29" w:rsidRDefault="00BC5BD4" w:rsidP="00BC5BD4">
            <w:pPr>
              <w:jc w:val="center"/>
              <w:rPr>
                <w:b/>
                <w:color w:val="000000"/>
                <w:sz w:val="18"/>
                <w:szCs w:val="18"/>
                <w:lang w:eastAsia="es-AR"/>
              </w:rPr>
            </w:pPr>
            <w:r w:rsidRPr="00CF1A29">
              <w:rPr>
                <w:b/>
                <w:color w:val="000000"/>
                <w:sz w:val="18"/>
                <w:szCs w:val="18"/>
                <w:lang w:eastAsia="es-AR"/>
              </w:rPr>
              <w:t>PO</w:t>
            </w:r>
            <w:r w:rsidRPr="00CF1A29">
              <w:rPr>
                <w:b/>
                <w:color w:val="000000"/>
                <w:sz w:val="18"/>
                <w:szCs w:val="18"/>
                <w:vertAlign w:val="subscript"/>
                <w:lang w:eastAsia="es-AR"/>
              </w:rPr>
              <w:t>4</w:t>
            </w:r>
            <w:r w:rsidR="008D3796">
              <w:rPr>
                <w:b/>
                <w:color w:val="000000"/>
                <w:sz w:val="18"/>
                <w:szCs w:val="18"/>
                <w:vertAlign w:val="superscript"/>
                <w:lang w:eastAsia="es-AR"/>
              </w:rPr>
              <w:t>-3</w:t>
            </w:r>
            <w:r w:rsidRPr="00CF1A29">
              <w:rPr>
                <w:b/>
                <w:color w:val="000000"/>
                <w:sz w:val="18"/>
                <w:szCs w:val="18"/>
                <w:vertAlign w:val="subscript"/>
                <w:lang w:eastAsia="es-AR"/>
              </w:rPr>
              <w:t xml:space="preserve"> </w:t>
            </w:r>
            <w:r w:rsidRPr="00CF1A29">
              <w:rPr>
                <w:b/>
                <w:color w:val="000000"/>
                <w:sz w:val="18"/>
                <w:szCs w:val="18"/>
                <w:lang w:eastAsia="es-AR"/>
              </w:rPr>
              <w:t>(ppm)</w:t>
            </w:r>
          </w:p>
        </w:tc>
        <w:tc>
          <w:tcPr>
            <w:tcW w:w="488" w:type="pct"/>
            <w:tcBorders>
              <w:top w:val="nil"/>
              <w:left w:val="nil"/>
              <w:bottom w:val="single" w:sz="4" w:space="0" w:color="auto"/>
              <w:right w:val="single" w:sz="4" w:space="0" w:color="auto"/>
            </w:tcBorders>
            <w:noWrap/>
            <w:vAlign w:val="center"/>
            <w:hideMark/>
          </w:tcPr>
          <w:p w14:paraId="33883E5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13,66</w:t>
            </w:r>
          </w:p>
        </w:tc>
        <w:tc>
          <w:tcPr>
            <w:tcW w:w="386" w:type="pct"/>
            <w:tcBorders>
              <w:top w:val="nil"/>
              <w:left w:val="nil"/>
              <w:bottom w:val="single" w:sz="4" w:space="0" w:color="auto"/>
              <w:right w:val="single" w:sz="4" w:space="0" w:color="auto"/>
            </w:tcBorders>
            <w:noWrap/>
            <w:vAlign w:val="center"/>
            <w:hideMark/>
          </w:tcPr>
          <w:p w14:paraId="0CCD506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1,18</w:t>
            </w:r>
          </w:p>
        </w:tc>
        <w:tc>
          <w:tcPr>
            <w:tcW w:w="369" w:type="pct"/>
            <w:tcBorders>
              <w:top w:val="nil"/>
              <w:left w:val="nil"/>
              <w:bottom w:val="single" w:sz="4" w:space="0" w:color="auto"/>
              <w:right w:val="single" w:sz="4" w:space="0" w:color="auto"/>
            </w:tcBorders>
            <w:noWrap/>
            <w:vAlign w:val="center"/>
            <w:hideMark/>
          </w:tcPr>
          <w:p w14:paraId="3B913D8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1,13</w:t>
            </w:r>
          </w:p>
        </w:tc>
        <w:tc>
          <w:tcPr>
            <w:tcW w:w="386" w:type="pct"/>
            <w:tcBorders>
              <w:top w:val="nil"/>
              <w:left w:val="nil"/>
              <w:bottom w:val="single" w:sz="4" w:space="0" w:color="auto"/>
              <w:right w:val="single" w:sz="4" w:space="0" w:color="auto"/>
            </w:tcBorders>
            <w:noWrap/>
            <w:vAlign w:val="center"/>
            <w:hideMark/>
          </w:tcPr>
          <w:p w14:paraId="4DF1546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2,14</w:t>
            </w:r>
          </w:p>
        </w:tc>
        <w:tc>
          <w:tcPr>
            <w:tcW w:w="386" w:type="pct"/>
            <w:tcBorders>
              <w:top w:val="nil"/>
              <w:left w:val="nil"/>
              <w:bottom w:val="single" w:sz="4" w:space="0" w:color="auto"/>
              <w:right w:val="single" w:sz="4" w:space="0" w:color="auto"/>
            </w:tcBorders>
            <w:noWrap/>
            <w:vAlign w:val="center"/>
            <w:hideMark/>
          </w:tcPr>
          <w:p w14:paraId="3E3FEBC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463,02</w:t>
            </w:r>
          </w:p>
        </w:tc>
        <w:tc>
          <w:tcPr>
            <w:tcW w:w="386" w:type="pct"/>
            <w:tcBorders>
              <w:top w:val="nil"/>
              <w:left w:val="nil"/>
              <w:bottom w:val="single" w:sz="4" w:space="0" w:color="auto"/>
              <w:right w:val="single" w:sz="4" w:space="0" w:color="auto"/>
            </w:tcBorders>
            <w:noWrap/>
            <w:vAlign w:val="center"/>
            <w:hideMark/>
          </w:tcPr>
          <w:p w14:paraId="35441A0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436,16</w:t>
            </w:r>
          </w:p>
        </w:tc>
        <w:tc>
          <w:tcPr>
            <w:tcW w:w="386" w:type="pct"/>
            <w:tcBorders>
              <w:top w:val="nil"/>
              <w:left w:val="nil"/>
              <w:bottom w:val="single" w:sz="4" w:space="0" w:color="auto"/>
              <w:right w:val="single" w:sz="4" w:space="0" w:color="auto"/>
            </w:tcBorders>
            <w:noWrap/>
            <w:vAlign w:val="center"/>
            <w:hideMark/>
          </w:tcPr>
          <w:p w14:paraId="10A6C93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483,2</w:t>
            </w:r>
          </w:p>
        </w:tc>
        <w:tc>
          <w:tcPr>
            <w:tcW w:w="386" w:type="pct"/>
            <w:tcBorders>
              <w:top w:val="nil"/>
              <w:left w:val="nil"/>
              <w:bottom w:val="single" w:sz="4" w:space="0" w:color="auto"/>
              <w:right w:val="single" w:sz="4" w:space="0" w:color="auto"/>
            </w:tcBorders>
            <w:noWrap/>
            <w:vAlign w:val="center"/>
            <w:hideMark/>
          </w:tcPr>
          <w:p w14:paraId="6981506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11,99</w:t>
            </w:r>
          </w:p>
        </w:tc>
        <w:tc>
          <w:tcPr>
            <w:tcW w:w="386" w:type="pct"/>
            <w:tcBorders>
              <w:top w:val="nil"/>
              <w:left w:val="nil"/>
              <w:bottom w:val="single" w:sz="4" w:space="0" w:color="auto"/>
              <w:right w:val="single" w:sz="4" w:space="0" w:color="auto"/>
            </w:tcBorders>
            <w:noWrap/>
            <w:vAlign w:val="center"/>
            <w:hideMark/>
          </w:tcPr>
          <w:p w14:paraId="20F6D6C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10,45</w:t>
            </w:r>
          </w:p>
        </w:tc>
        <w:tc>
          <w:tcPr>
            <w:tcW w:w="386" w:type="pct"/>
            <w:tcBorders>
              <w:top w:val="nil"/>
              <w:left w:val="nil"/>
              <w:bottom w:val="single" w:sz="4" w:space="0" w:color="auto"/>
              <w:right w:val="single" w:sz="4" w:space="0" w:color="auto"/>
            </w:tcBorders>
            <w:noWrap/>
            <w:vAlign w:val="center"/>
            <w:hideMark/>
          </w:tcPr>
          <w:p w14:paraId="3899D20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51,7</w:t>
            </w:r>
          </w:p>
        </w:tc>
        <w:tc>
          <w:tcPr>
            <w:tcW w:w="494" w:type="pct"/>
            <w:tcBorders>
              <w:top w:val="nil"/>
              <w:left w:val="nil"/>
              <w:bottom w:val="single" w:sz="4" w:space="0" w:color="auto"/>
              <w:right w:val="single" w:sz="4" w:space="0" w:color="auto"/>
            </w:tcBorders>
            <w:noWrap/>
            <w:vAlign w:val="bottom"/>
            <w:hideMark/>
          </w:tcPr>
          <w:p w14:paraId="001B328F" w14:textId="00A14FD3"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02C6CAD1" w14:textId="77777777" w:rsidTr="008D3796">
        <w:trPr>
          <w:trHeight w:val="300"/>
        </w:trPr>
        <w:tc>
          <w:tcPr>
            <w:tcW w:w="559" w:type="pct"/>
            <w:tcBorders>
              <w:top w:val="nil"/>
              <w:left w:val="single" w:sz="4" w:space="0" w:color="auto"/>
              <w:bottom w:val="single" w:sz="4" w:space="0" w:color="auto"/>
              <w:right w:val="single" w:sz="4" w:space="0" w:color="auto"/>
            </w:tcBorders>
            <w:vAlign w:val="center"/>
            <w:hideMark/>
          </w:tcPr>
          <w:p w14:paraId="7EFDE2A5"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E24 (%)</w:t>
            </w:r>
          </w:p>
        </w:tc>
        <w:tc>
          <w:tcPr>
            <w:tcW w:w="488" w:type="pct"/>
            <w:tcBorders>
              <w:top w:val="nil"/>
              <w:left w:val="nil"/>
              <w:bottom w:val="single" w:sz="4" w:space="0" w:color="auto"/>
              <w:right w:val="single" w:sz="4" w:space="0" w:color="auto"/>
            </w:tcBorders>
            <w:vAlign w:val="center"/>
            <w:hideMark/>
          </w:tcPr>
          <w:p w14:paraId="6CECE1C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28,1</w:t>
            </w:r>
          </w:p>
        </w:tc>
        <w:tc>
          <w:tcPr>
            <w:tcW w:w="386" w:type="pct"/>
            <w:tcBorders>
              <w:top w:val="nil"/>
              <w:left w:val="nil"/>
              <w:bottom w:val="single" w:sz="4" w:space="0" w:color="auto"/>
              <w:right w:val="single" w:sz="4" w:space="0" w:color="auto"/>
            </w:tcBorders>
            <w:vAlign w:val="center"/>
            <w:hideMark/>
          </w:tcPr>
          <w:p w14:paraId="569E89A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2,56</w:t>
            </w:r>
          </w:p>
        </w:tc>
        <w:tc>
          <w:tcPr>
            <w:tcW w:w="369" w:type="pct"/>
            <w:tcBorders>
              <w:top w:val="nil"/>
              <w:left w:val="nil"/>
              <w:bottom w:val="single" w:sz="4" w:space="0" w:color="auto"/>
              <w:right w:val="single" w:sz="4" w:space="0" w:color="auto"/>
            </w:tcBorders>
            <w:vAlign w:val="center"/>
            <w:hideMark/>
          </w:tcPr>
          <w:p w14:paraId="1B1396F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23,08</w:t>
            </w:r>
          </w:p>
        </w:tc>
        <w:tc>
          <w:tcPr>
            <w:tcW w:w="386" w:type="pct"/>
            <w:tcBorders>
              <w:top w:val="nil"/>
              <w:left w:val="nil"/>
              <w:bottom w:val="single" w:sz="4" w:space="0" w:color="auto"/>
              <w:right w:val="single" w:sz="4" w:space="0" w:color="auto"/>
            </w:tcBorders>
            <w:vAlign w:val="center"/>
            <w:hideMark/>
          </w:tcPr>
          <w:p w14:paraId="599396F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7,69</w:t>
            </w:r>
          </w:p>
        </w:tc>
        <w:tc>
          <w:tcPr>
            <w:tcW w:w="386" w:type="pct"/>
            <w:tcBorders>
              <w:top w:val="nil"/>
              <w:left w:val="nil"/>
              <w:bottom w:val="single" w:sz="4" w:space="0" w:color="auto"/>
              <w:right w:val="single" w:sz="4" w:space="0" w:color="auto"/>
            </w:tcBorders>
            <w:vAlign w:val="center"/>
            <w:hideMark/>
          </w:tcPr>
          <w:p w14:paraId="0E143B2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28,2</w:t>
            </w:r>
          </w:p>
        </w:tc>
        <w:tc>
          <w:tcPr>
            <w:tcW w:w="386" w:type="pct"/>
            <w:tcBorders>
              <w:top w:val="nil"/>
              <w:left w:val="nil"/>
              <w:bottom w:val="single" w:sz="4" w:space="0" w:color="auto"/>
              <w:right w:val="single" w:sz="4" w:space="0" w:color="auto"/>
            </w:tcBorders>
            <w:vAlign w:val="center"/>
            <w:hideMark/>
          </w:tcPr>
          <w:p w14:paraId="392E3FC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7,69</w:t>
            </w:r>
          </w:p>
        </w:tc>
        <w:tc>
          <w:tcPr>
            <w:tcW w:w="386" w:type="pct"/>
            <w:tcBorders>
              <w:top w:val="nil"/>
              <w:left w:val="nil"/>
              <w:bottom w:val="single" w:sz="4" w:space="0" w:color="auto"/>
              <w:right w:val="single" w:sz="4" w:space="0" w:color="auto"/>
            </w:tcBorders>
            <w:vAlign w:val="center"/>
            <w:hideMark/>
          </w:tcPr>
          <w:p w14:paraId="3E52863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43,6</w:t>
            </w:r>
          </w:p>
        </w:tc>
        <w:tc>
          <w:tcPr>
            <w:tcW w:w="386" w:type="pct"/>
            <w:tcBorders>
              <w:top w:val="nil"/>
              <w:left w:val="nil"/>
              <w:bottom w:val="single" w:sz="4" w:space="0" w:color="auto"/>
              <w:right w:val="single" w:sz="4" w:space="0" w:color="auto"/>
            </w:tcBorders>
            <w:vAlign w:val="center"/>
            <w:hideMark/>
          </w:tcPr>
          <w:p w14:paraId="7EF4F28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34</w:t>
            </w:r>
          </w:p>
        </w:tc>
        <w:tc>
          <w:tcPr>
            <w:tcW w:w="386" w:type="pct"/>
            <w:tcBorders>
              <w:top w:val="nil"/>
              <w:left w:val="nil"/>
              <w:bottom w:val="single" w:sz="4" w:space="0" w:color="auto"/>
              <w:right w:val="single" w:sz="4" w:space="0" w:color="auto"/>
            </w:tcBorders>
            <w:vAlign w:val="center"/>
            <w:hideMark/>
          </w:tcPr>
          <w:p w14:paraId="160833F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66,67</w:t>
            </w:r>
          </w:p>
        </w:tc>
        <w:tc>
          <w:tcPr>
            <w:tcW w:w="386" w:type="pct"/>
            <w:tcBorders>
              <w:top w:val="nil"/>
              <w:left w:val="nil"/>
              <w:bottom w:val="single" w:sz="4" w:space="0" w:color="auto"/>
              <w:right w:val="single" w:sz="4" w:space="0" w:color="auto"/>
            </w:tcBorders>
            <w:vAlign w:val="center"/>
            <w:hideMark/>
          </w:tcPr>
          <w:p w14:paraId="53BED41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29,27</w:t>
            </w:r>
          </w:p>
        </w:tc>
        <w:tc>
          <w:tcPr>
            <w:tcW w:w="494" w:type="pct"/>
            <w:tcBorders>
              <w:top w:val="nil"/>
              <w:left w:val="nil"/>
              <w:bottom w:val="single" w:sz="4" w:space="0" w:color="auto"/>
              <w:right w:val="single" w:sz="4" w:space="0" w:color="auto"/>
            </w:tcBorders>
            <w:noWrap/>
            <w:vAlign w:val="bottom"/>
            <w:hideMark/>
          </w:tcPr>
          <w:p w14:paraId="5ADA4646" w14:textId="477FF5EB" w:rsidR="00BC5BD4" w:rsidRPr="00BC5BD4" w:rsidRDefault="00BC5BD4" w:rsidP="00BC5BD4">
            <w:pPr>
              <w:jc w:val="center"/>
              <w:rPr>
                <w:rFonts w:ascii="Calibri" w:hAnsi="Calibri" w:cs="Calibri"/>
                <w:color w:val="000000"/>
                <w:sz w:val="18"/>
                <w:szCs w:val="18"/>
                <w:lang w:eastAsia="es-AR"/>
              </w:rPr>
            </w:pPr>
            <w:r w:rsidRPr="00BC5BD4">
              <w:rPr>
                <w:rFonts w:ascii="Calibri" w:hAnsi="Calibri" w:cs="Calibri"/>
                <w:color w:val="000000"/>
                <w:sz w:val="18"/>
                <w:szCs w:val="18"/>
                <w:lang w:eastAsia="es-AR"/>
              </w:rPr>
              <w:t>-</w:t>
            </w:r>
          </w:p>
        </w:tc>
      </w:tr>
      <w:tr w:rsidR="003D699C" w:rsidRPr="00BC5BD4" w14:paraId="497CE79E"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1F5F702C"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Arsénico</w:t>
            </w:r>
          </w:p>
        </w:tc>
        <w:tc>
          <w:tcPr>
            <w:tcW w:w="488" w:type="pct"/>
            <w:tcBorders>
              <w:top w:val="nil"/>
              <w:left w:val="nil"/>
              <w:bottom w:val="single" w:sz="4" w:space="0" w:color="auto"/>
              <w:right w:val="single" w:sz="4" w:space="0" w:color="auto"/>
            </w:tcBorders>
            <w:vAlign w:val="center"/>
            <w:hideMark/>
          </w:tcPr>
          <w:p w14:paraId="2B5EFCF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0,016</w:t>
            </w:r>
          </w:p>
        </w:tc>
        <w:tc>
          <w:tcPr>
            <w:tcW w:w="386" w:type="pct"/>
            <w:tcBorders>
              <w:top w:val="nil"/>
              <w:left w:val="nil"/>
              <w:bottom w:val="single" w:sz="4" w:space="0" w:color="auto"/>
              <w:right w:val="single" w:sz="4" w:space="0" w:color="auto"/>
            </w:tcBorders>
            <w:noWrap/>
            <w:vAlign w:val="center"/>
            <w:hideMark/>
          </w:tcPr>
          <w:p w14:paraId="761B43F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0,032</w:t>
            </w:r>
          </w:p>
        </w:tc>
        <w:tc>
          <w:tcPr>
            <w:tcW w:w="369" w:type="pct"/>
            <w:tcBorders>
              <w:top w:val="nil"/>
              <w:left w:val="nil"/>
              <w:bottom w:val="single" w:sz="4" w:space="0" w:color="auto"/>
              <w:right w:val="single" w:sz="4" w:space="0" w:color="auto"/>
            </w:tcBorders>
            <w:noWrap/>
            <w:vAlign w:val="center"/>
            <w:hideMark/>
          </w:tcPr>
          <w:p w14:paraId="0F0AD8A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0,022</w:t>
            </w:r>
          </w:p>
        </w:tc>
        <w:tc>
          <w:tcPr>
            <w:tcW w:w="386" w:type="pct"/>
            <w:tcBorders>
              <w:top w:val="nil"/>
              <w:left w:val="nil"/>
              <w:bottom w:val="single" w:sz="4" w:space="0" w:color="auto"/>
              <w:right w:val="single" w:sz="4" w:space="0" w:color="auto"/>
            </w:tcBorders>
            <w:noWrap/>
            <w:vAlign w:val="center"/>
            <w:hideMark/>
          </w:tcPr>
          <w:p w14:paraId="2E25956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0,022</w:t>
            </w:r>
          </w:p>
        </w:tc>
        <w:tc>
          <w:tcPr>
            <w:tcW w:w="386" w:type="pct"/>
            <w:tcBorders>
              <w:top w:val="nil"/>
              <w:left w:val="nil"/>
              <w:bottom w:val="single" w:sz="4" w:space="0" w:color="auto"/>
              <w:right w:val="single" w:sz="4" w:space="0" w:color="auto"/>
            </w:tcBorders>
            <w:noWrap/>
            <w:vAlign w:val="center"/>
            <w:hideMark/>
          </w:tcPr>
          <w:p w14:paraId="72E115A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0,023</w:t>
            </w:r>
          </w:p>
        </w:tc>
        <w:tc>
          <w:tcPr>
            <w:tcW w:w="386" w:type="pct"/>
            <w:tcBorders>
              <w:top w:val="nil"/>
              <w:left w:val="nil"/>
              <w:bottom w:val="single" w:sz="4" w:space="0" w:color="auto"/>
              <w:right w:val="single" w:sz="4" w:space="0" w:color="auto"/>
            </w:tcBorders>
            <w:noWrap/>
            <w:vAlign w:val="center"/>
            <w:hideMark/>
          </w:tcPr>
          <w:p w14:paraId="4008E9A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0,022</w:t>
            </w:r>
          </w:p>
        </w:tc>
        <w:tc>
          <w:tcPr>
            <w:tcW w:w="386" w:type="pct"/>
            <w:tcBorders>
              <w:top w:val="nil"/>
              <w:left w:val="nil"/>
              <w:bottom w:val="single" w:sz="4" w:space="0" w:color="auto"/>
              <w:right w:val="single" w:sz="4" w:space="0" w:color="auto"/>
            </w:tcBorders>
            <w:noWrap/>
            <w:vAlign w:val="center"/>
            <w:hideMark/>
          </w:tcPr>
          <w:p w14:paraId="30F8B63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0,022</w:t>
            </w:r>
          </w:p>
        </w:tc>
        <w:tc>
          <w:tcPr>
            <w:tcW w:w="386" w:type="pct"/>
            <w:tcBorders>
              <w:top w:val="nil"/>
              <w:left w:val="nil"/>
              <w:bottom w:val="single" w:sz="4" w:space="0" w:color="auto"/>
              <w:right w:val="single" w:sz="4" w:space="0" w:color="auto"/>
            </w:tcBorders>
            <w:noWrap/>
            <w:vAlign w:val="center"/>
            <w:hideMark/>
          </w:tcPr>
          <w:p w14:paraId="507309D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0,028</w:t>
            </w:r>
          </w:p>
        </w:tc>
        <w:tc>
          <w:tcPr>
            <w:tcW w:w="386" w:type="pct"/>
            <w:tcBorders>
              <w:top w:val="nil"/>
              <w:left w:val="nil"/>
              <w:bottom w:val="single" w:sz="4" w:space="0" w:color="auto"/>
              <w:right w:val="single" w:sz="4" w:space="0" w:color="auto"/>
            </w:tcBorders>
            <w:noWrap/>
            <w:vAlign w:val="center"/>
            <w:hideMark/>
          </w:tcPr>
          <w:p w14:paraId="684D36E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0,03</w:t>
            </w:r>
          </w:p>
        </w:tc>
        <w:tc>
          <w:tcPr>
            <w:tcW w:w="386" w:type="pct"/>
            <w:tcBorders>
              <w:top w:val="nil"/>
              <w:left w:val="nil"/>
              <w:bottom w:val="single" w:sz="4" w:space="0" w:color="auto"/>
              <w:right w:val="single" w:sz="4" w:space="0" w:color="auto"/>
            </w:tcBorders>
            <w:noWrap/>
            <w:vAlign w:val="center"/>
            <w:hideMark/>
          </w:tcPr>
          <w:p w14:paraId="753F0AE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0,029</w:t>
            </w:r>
          </w:p>
        </w:tc>
        <w:tc>
          <w:tcPr>
            <w:tcW w:w="494" w:type="pct"/>
            <w:tcBorders>
              <w:top w:val="nil"/>
              <w:left w:val="nil"/>
              <w:bottom w:val="single" w:sz="4" w:space="0" w:color="auto"/>
              <w:right w:val="single" w:sz="4" w:space="0" w:color="auto"/>
            </w:tcBorders>
            <w:vAlign w:val="center"/>
            <w:hideMark/>
          </w:tcPr>
          <w:p w14:paraId="0E9371A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w:t>
            </w:r>
          </w:p>
        </w:tc>
      </w:tr>
      <w:tr w:rsidR="003D699C" w:rsidRPr="00BC5BD4" w14:paraId="0334DFE3"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57CE7635"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Bario</w:t>
            </w:r>
          </w:p>
        </w:tc>
        <w:tc>
          <w:tcPr>
            <w:tcW w:w="488" w:type="pct"/>
            <w:tcBorders>
              <w:top w:val="nil"/>
              <w:left w:val="nil"/>
              <w:bottom w:val="single" w:sz="4" w:space="0" w:color="auto"/>
              <w:right w:val="single" w:sz="4" w:space="0" w:color="auto"/>
            </w:tcBorders>
            <w:vAlign w:val="center"/>
            <w:hideMark/>
          </w:tcPr>
          <w:p w14:paraId="2699B8F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42,254</w:t>
            </w:r>
          </w:p>
        </w:tc>
        <w:tc>
          <w:tcPr>
            <w:tcW w:w="386" w:type="pct"/>
            <w:tcBorders>
              <w:top w:val="nil"/>
              <w:left w:val="nil"/>
              <w:bottom w:val="single" w:sz="4" w:space="0" w:color="auto"/>
              <w:right w:val="single" w:sz="4" w:space="0" w:color="auto"/>
            </w:tcBorders>
            <w:noWrap/>
            <w:vAlign w:val="center"/>
            <w:hideMark/>
          </w:tcPr>
          <w:p w14:paraId="725A33F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40,067</w:t>
            </w:r>
          </w:p>
        </w:tc>
        <w:tc>
          <w:tcPr>
            <w:tcW w:w="369" w:type="pct"/>
            <w:tcBorders>
              <w:top w:val="nil"/>
              <w:left w:val="nil"/>
              <w:bottom w:val="single" w:sz="4" w:space="0" w:color="auto"/>
              <w:right w:val="single" w:sz="4" w:space="0" w:color="auto"/>
            </w:tcBorders>
            <w:noWrap/>
            <w:vAlign w:val="center"/>
            <w:hideMark/>
          </w:tcPr>
          <w:p w14:paraId="0988B98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47,58</w:t>
            </w:r>
          </w:p>
        </w:tc>
        <w:tc>
          <w:tcPr>
            <w:tcW w:w="386" w:type="pct"/>
            <w:tcBorders>
              <w:top w:val="nil"/>
              <w:left w:val="nil"/>
              <w:bottom w:val="single" w:sz="4" w:space="0" w:color="auto"/>
              <w:right w:val="single" w:sz="4" w:space="0" w:color="auto"/>
            </w:tcBorders>
            <w:noWrap/>
            <w:vAlign w:val="center"/>
            <w:hideMark/>
          </w:tcPr>
          <w:p w14:paraId="5D42B42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54,417</w:t>
            </w:r>
          </w:p>
        </w:tc>
        <w:tc>
          <w:tcPr>
            <w:tcW w:w="386" w:type="pct"/>
            <w:tcBorders>
              <w:top w:val="nil"/>
              <w:left w:val="nil"/>
              <w:bottom w:val="single" w:sz="4" w:space="0" w:color="auto"/>
              <w:right w:val="single" w:sz="4" w:space="0" w:color="auto"/>
            </w:tcBorders>
            <w:noWrap/>
            <w:vAlign w:val="center"/>
            <w:hideMark/>
          </w:tcPr>
          <w:p w14:paraId="63053D6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45,821</w:t>
            </w:r>
          </w:p>
        </w:tc>
        <w:tc>
          <w:tcPr>
            <w:tcW w:w="386" w:type="pct"/>
            <w:tcBorders>
              <w:top w:val="nil"/>
              <w:left w:val="nil"/>
              <w:bottom w:val="single" w:sz="4" w:space="0" w:color="auto"/>
              <w:right w:val="single" w:sz="4" w:space="0" w:color="auto"/>
            </w:tcBorders>
            <w:noWrap/>
            <w:vAlign w:val="center"/>
            <w:hideMark/>
          </w:tcPr>
          <w:p w14:paraId="5B10F24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51,369</w:t>
            </w:r>
          </w:p>
        </w:tc>
        <w:tc>
          <w:tcPr>
            <w:tcW w:w="386" w:type="pct"/>
            <w:tcBorders>
              <w:top w:val="nil"/>
              <w:left w:val="nil"/>
              <w:bottom w:val="single" w:sz="4" w:space="0" w:color="auto"/>
              <w:right w:val="single" w:sz="4" w:space="0" w:color="auto"/>
            </w:tcBorders>
            <w:noWrap/>
            <w:vAlign w:val="center"/>
            <w:hideMark/>
          </w:tcPr>
          <w:p w14:paraId="342B7C8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60,393</w:t>
            </w:r>
          </w:p>
        </w:tc>
        <w:tc>
          <w:tcPr>
            <w:tcW w:w="386" w:type="pct"/>
            <w:tcBorders>
              <w:top w:val="nil"/>
              <w:left w:val="nil"/>
              <w:bottom w:val="single" w:sz="4" w:space="0" w:color="auto"/>
              <w:right w:val="single" w:sz="4" w:space="0" w:color="auto"/>
            </w:tcBorders>
            <w:noWrap/>
            <w:vAlign w:val="center"/>
            <w:hideMark/>
          </w:tcPr>
          <w:p w14:paraId="03557F7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44,052</w:t>
            </w:r>
          </w:p>
        </w:tc>
        <w:tc>
          <w:tcPr>
            <w:tcW w:w="386" w:type="pct"/>
            <w:tcBorders>
              <w:top w:val="nil"/>
              <w:left w:val="nil"/>
              <w:bottom w:val="single" w:sz="4" w:space="0" w:color="auto"/>
              <w:right w:val="single" w:sz="4" w:space="0" w:color="auto"/>
            </w:tcBorders>
            <w:noWrap/>
            <w:vAlign w:val="center"/>
            <w:hideMark/>
          </w:tcPr>
          <w:p w14:paraId="0206EC9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43,205</w:t>
            </w:r>
          </w:p>
        </w:tc>
        <w:tc>
          <w:tcPr>
            <w:tcW w:w="386" w:type="pct"/>
            <w:tcBorders>
              <w:top w:val="nil"/>
              <w:left w:val="nil"/>
              <w:bottom w:val="single" w:sz="4" w:space="0" w:color="auto"/>
              <w:right w:val="single" w:sz="4" w:space="0" w:color="auto"/>
            </w:tcBorders>
            <w:noWrap/>
            <w:vAlign w:val="center"/>
            <w:hideMark/>
          </w:tcPr>
          <w:p w14:paraId="5EAE3A5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43,956</w:t>
            </w:r>
          </w:p>
        </w:tc>
        <w:tc>
          <w:tcPr>
            <w:tcW w:w="494" w:type="pct"/>
            <w:tcBorders>
              <w:top w:val="nil"/>
              <w:left w:val="nil"/>
              <w:bottom w:val="single" w:sz="4" w:space="0" w:color="auto"/>
              <w:right w:val="single" w:sz="4" w:space="0" w:color="auto"/>
            </w:tcBorders>
            <w:vAlign w:val="center"/>
            <w:hideMark/>
          </w:tcPr>
          <w:p w14:paraId="5D00CFE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100</w:t>
            </w:r>
          </w:p>
        </w:tc>
      </w:tr>
      <w:tr w:rsidR="003D699C" w:rsidRPr="00BC5BD4" w14:paraId="7FCE53B7"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1E7DAA75"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Cadmio</w:t>
            </w:r>
          </w:p>
        </w:tc>
        <w:tc>
          <w:tcPr>
            <w:tcW w:w="488" w:type="pct"/>
            <w:tcBorders>
              <w:top w:val="nil"/>
              <w:left w:val="nil"/>
              <w:bottom w:val="single" w:sz="4" w:space="0" w:color="auto"/>
              <w:right w:val="single" w:sz="4" w:space="0" w:color="auto"/>
            </w:tcBorders>
            <w:vAlign w:val="center"/>
            <w:hideMark/>
          </w:tcPr>
          <w:p w14:paraId="56011DA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0,006</w:t>
            </w:r>
          </w:p>
        </w:tc>
        <w:tc>
          <w:tcPr>
            <w:tcW w:w="386" w:type="pct"/>
            <w:tcBorders>
              <w:top w:val="nil"/>
              <w:left w:val="nil"/>
              <w:bottom w:val="single" w:sz="4" w:space="0" w:color="auto"/>
              <w:right w:val="single" w:sz="4" w:space="0" w:color="auto"/>
            </w:tcBorders>
            <w:noWrap/>
            <w:vAlign w:val="center"/>
            <w:hideMark/>
          </w:tcPr>
          <w:p w14:paraId="03DC582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0,007</w:t>
            </w:r>
          </w:p>
        </w:tc>
        <w:tc>
          <w:tcPr>
            <w:tcW w:w="369" w:type="pct"/>
            <w:tcBorders>
              <w:top w:val="nil"/>
              <w:left w:val="nil"/>
              <w:bottom w:val="single" w:sz="4" w:space="0" w:color="auto"/>
              <w:right w:val="single" w:sz="4" w:space="0" w:color="auto"/>
            </w:tcBorders>
            <w:noWrap/>
            <w:vAlign w:val="center"/>
            <w:hideMark/>
          </w:tcPr>
          <w:p w14:paraId="372EB5F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0,008</w:t>
            </w:r>
          </w:p>
        </w:tc>
        <w:tc>
          <w:tcPr>
            <w:tcW w:w="386" w:type="pct"/>
            <w:tcBorders>
              <w:top w:val="nil"/>
              <w:left w:val="nil"/>
              <w:bottom w:val="single" w:sz="4" w:space="0" w:color="auto"/>
              <w:right w:val="single" w:sz="4" w:space="0" w:color="auto"/>
            </w:tcBorders>
            <w:noWrap/>
            <w:vAlign w:val="center"/>
            <w:hideMark/>
          </w:tcPr>
          <w:p w14:paraId="1608CBB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0,009</w:t>
            </w:r>
          </w:p>
        </w:tc>
        <w:tc>
          <w:tcPr>
            <w:tcW w:w="386" w:type="pct"/>
            <w:tcBorders>
              <w:top w:val="nil"/>
              <w:left w:val="nil"/>
              <w:bottom w:val="single" w:sz="4" w:space="0" w:color="auto"/>
              <w:right w:val="single" w:sz="4" w:space="0" w:color="auto"/>
            </w:tcBorders>
            <w:noWrap/>
            <w:vAlign w:val="center"/>
            <w:hideMark/>
          </w:tcPr>
          <w:p w14:paraId="6A7BB0F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0,005</w:t>
            </w:r>
          </w:p>
        </w:tc>
        <w:tc>
          <w:tcPr>
            <w:tcW w:w="386" w:type="pct"/>
            <w:tcBorders>
              <w:top w:val="nil"/>
              <w:left w:val="nil"/>
              <w:bottom w:val="single" w:sz="4" w:space="0" w:color="auto"/>
              <w:right w:val="single" w:sz="4" w:space="0" w:color="auto"/>
            </w:tcBorders>
            <w:noWrap/>
            <w:vAlign w:val="center"/>
            <w:hideMark/>
          </w:tcPr>
          <w:p w14:paraId="26403E1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0,005</w:t>
            </w:r>
          </w:p>
        </w:tc>
        <w:tc>
          <w:tcPr>
            <w:tcW w:w="386" w:type="pct"/>
            <w:tcBorders>
              <w:top w:val="nil"/>
              <w:left w:val="nil"/>
              <w:bottom w:val="single" w:sz="4" w:space="0" w:color="auto"/>
              <w:right w:val="single" w:sz="4" w:space="0" w:color="auto"/>
            </w:tcBorders>
            <w:noWrap/>
            <w:vAlign w:val="center"/>
            <w:hideMark/>
          </w:tcPr>
          <w:p w14:paraId="099A836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0,005</w:t>
            </w:r>
          </w:p>
        </w:tc>
        <w:tc>
          <w:tcPr>
            <w:tcW w:w="386" w:type="pct"/>
            <w:tcBorders>
              <w:top w:val="nil"/>
              <w:left w:val="nil"/>
              <w:bottom w:val="single" w:sz="4" w:space="0" w:color="auto"/>
              <w:right w:val="single" w:sz="4" w:space="0" w:color="auto"/>
            </w:tcBorders>
            <w:noWrap/>
            <w:vAlign w:val="center"/>
            <w:hideMark/>
          </w:tcPr>
          <w:p w14:paraId="07AEA1E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0,005</w:t>
            </w:r>
          </w:p>
        </w:tc>
        <w:tc>
          <w:tcPr>
            <w:tcW w:w="386" w:type="pct"/>
            <w:tcBorders>
              <w:top w:val="nil"/>
              <w:left w:val="nil"/>
              <w:bottom w:val="single" w:sz="4" w:space="0" w:color="auto"/>
              <w:right w:val="single" w:sz="4" w:space="0" w:color="auto"/>
            </w:tcBorders>
            <w:noWrap/>
            <w:vAlign w:val="center"/>
            <w:hideMark/>
          </w:tcPr>
          <w:p w14:paraId="51855B2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0,005</w:t>
            </w:r>
          </w:p>
        </w:tc>
        <w:tc>
          <w:tcPr>
            <w:tcW w:w="386" w:type="pct"/>
            <w:tcBorders>
              <w:top w:val="nil"/>
              <w:left w:val="nil"/>
              <w:bottom w:val="single" w:sz="4" w:space="0" w:color="auto"/>
              <w:right w:val="single" w:sz="4" w:space="0" w:color="auto"/>
            </w:tcBorders>
            <w:noWrap/>
            <w:vAlign w:val="center"/>
            <w:hideMark/>
          </w:tcPr>
          <w:p w14:paraId="0406D14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0,006</w:t>
            </w:r>
          </w:p>
        </w:tc>
        <w:tc>
          <w:tcPr>
            <w:tcW w:w="494" w:type="pct"/>
            <w:tcBorders>
              <w:top w:val="nil"/>
              <w:left w:val="nil"/>
              <w:bottom w:val="single" w:sz="4" w:space="0" w:color="auto"/>
              <w:right w:val="single" w:sz="4" w:space="0" w:color="auto"/>
            </w:tcBorders>
            <w:vAlign w:val="center"/>
            <w:hideMark/>
          </w:tcPr>
          <w:p w14:paraId="1496FF5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0,5</w:t>
            </w:r>
          </w:p>
        </w:tc>
      </w:tr>
      <w:tr w:rsidR="003D699C" w:rsidRPr="00BC5BD4" w14:paraId="7298D07E"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296E8CA4"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Cinc</w:t>
            </w:r>
          </w:p>
        </w:tc>
        <w:tc>
          <w:tcPr>
            <w:tcW w:w="488" w:type="pct"/>
            <w:tcBorders>
              <w:top w:val="nil"/>
              <w:left w:val="nil"/>
              <w:bottom w:val="single" w:sz="4" w:space="0" w:color="auto"/>
              <w:right w:val="single" w:sz="4" w:space="0" w:color="auto"/>
            </w:tcBorders>
            <w:vAlign w:val="center"/>
            <w:hideMark/>
          </w:tcPr>
          <w:p w14:paraId="11163E7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0,397</w:t>
            </w:r>
          </w:p>
        </w:tc>
        <w:tc>
          <w:tcPr>
            <w:tcW w:w="386" w:type="pct"/>
            <w:tcBorders>
              <w:top w:val="nil"/>
              <w:left w:val="nil"/>
              <w:bottom w:val="single" w:sz="4" w:space="0" w:color="auto"/>
              <w:right w:val="single" w:sz="4" w:space="0" w:color="auto"/>
            </w:tcBorders>
            <w:noWrap/>
            <w:vAlign w:val="center"/>
            <w:hideMark/>
          </w:tcPr>
          <w:p w14:paraId="1D67B26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0,401</w:t>
            </w:r>
          </w:p>
        </w:tc>
        <w:tc>
          <w:tcPr>
            <w:tcW w:w="369" w:type="pct"/>
            <w:tcBorders>
              <w:top w:val="nil"/>
              <w:left w:val="nil"/>
              <w:bottom w:val="single" w:sz="4" w:space="0" w:color="auto"/>
              <w:right w:val="single" w:sz="4" w:space="0" w:color="auto"/>
            </w:tcBorders>
            <w:noWrap/>
            <w:vAlign w:val="center"/>
            <w:hideMark/>
          </w:tcPr>
          <w:p w14:paraId="2E34CCD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0,415</w:t>
            </w:r>
          </w:p>
        </w:tc>
        <w:tc>
          <w:tcPr>
            <w:tcW w:w="386" w:type="pct"/>
            <w:tcBorders>
              <w:top w:val="nil"/>
              <w:left w:val="nil"/>
              <w:bottom w:val="single" w:sz="4" w:space="0" w:color="auto"/>
              <w:right w:val="single" w:sz="4" w:space="0" w:color="auto"/>
            </w:tcBorders>
            <w:noWrap/>
            <w:vAlign w:val="center"/>
            <w:hideMark/>
          </w:tcPr>
          <w:p w14:paraId="3AA3851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0,473</w:t>
            </w:r>
          </w:p>
        </w:tc>
        <w:tc>
          <w:tcPr>
            <w:tcW w:w="386" w:type="pct"/>
            <w:tcBorders>
              <w:top w:val="nil"/>
              <w:left w:val="nil"/>
              <w:bottom w:val="single" w:sz="4" w:space="0" w:color="auto"/>
              <w:right w:val="single" w:sz="4" w:space="0" w:color="auto"/>
            </w:tcBorders>
            <w:noWrap/>
            <w:vAlign w:val="center"/>
            <w:hideMark/>
          </w:tcPr>
          <w:p w14:paraId="2E35782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0,439</w:t>
            </w:r>
          </w:p>
        </w:tc>
        <w:tc>
          <w:tcPr>
            <w:tcW w:w="386" w:type="pct"/>
            <w:tcBorders>
              <w:top w:val="nil"/>
              <w:left w:val="nil"/>
              <w:bottom w:val="single" w:sz="4" w:space="0" w:color="auto"/>
              <w:right w:val="single" w:sz="4" w:space="0" w:color="auto"/>
            </w:tcBorders>
            <w:noWrap/>
            <w:vAlign w:val="center"/>
            <w:hideMark/>
          </w:tcPr>
          <w:p w14:paraId="545058B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0,444</w:t>
            </w:r>
          </w:p>
        </w:tc>
        <w:tc>
          <w:tcPr>
            <w:tcW w:w="386" w:type="pct"/>
            <w:tcBorders>
              <w:top w:val="nil"/>
              <w:left w:val="nil"/>
              <w:bottom w:val="single" w:sz="4" w:space="0" w:color="auto"/>
              <w:right w:val="single" w:sz="4" w:space="0" w:color="auto"/>
            </w:tcBorders>
            <w:noWrap/>
            <w:vAlign w:val="center"/>
            <w:hideMark/>
          </w:tcPr>
          <w:p w14:paraId="29688D2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0,512</w:t>
            </w:r>
          </w:p>
        </w:tc>
        <w:tc>
          <w:tcPr>
            <w:tcW w:w="386" w:type="pct"/>
            <w:tcBorders>
              <w:top w:val="nil"/>
              <w:left w:val="nil"/>
              <w:bottom w:val="single" w:sz="4" w:space="0" w:color="auto"/>
              <w:right w:val="single" w:sz="4" w:space="0" w:color="auto"/>
            </w:tcBorders>
            <w:noWrap/>
            <w:vAlign w:val="center"/>
            <w:hideMark/>
          </w:tcPr>
          <w:p w14:paraId="2AFB996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0,392</w:t>
            </w:r>
          </w:p>
        </w:tc>
        <w:tc>
          <w:tcPr>
            <w:tcW w:w="386" w:type="pct"/>
            <w:tcBorders>
              <w:top w:val="nil"/>
              <w:left w:val="nil"/>
              <w:bottom w:val="single" w:sz="4" w:space="0" w:color="auto"/>
              <w:right w:val="single" w:sz="4" w:space="0" w:color="auto"/>
            </w:tcBorders>
            <w:noWrap/>
            <w:vAlign w:val="center"/>
            <w:hideMark/>
          </w:tcPr>
          <w:p w14:paraId="11392A3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0,399</w:t>
            </w:r>
          </w:p>
        </w:tc>
        <w:tc>
          <w:tcPr>
            <w:tcW w:w="386" w:type="pct"/>
            <w:tcBorders>
              <w:top w:val="nil"/>
              <w:left w:val="nil"/>
              <w:bottom w:val="single" w:sz="4" w:space="0" w:color="auto"/>
              <w:right w:val="single" w:sz="4" w:space="0" w:color="auto"/>
            </w:tcBorders>
            <w:noWrap/>
            <w:vAlign w:val="center"/>
            <w:hideMark/>
          </w:tcPr>
          <w:p w14:paraId="5916188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0,389</w:t>
            </w:r>
          </w:p>
        </w:tc>
        <w:tc>
          <w:tcPr>
            <w:tcW w:w="494" w:type="pct"/>
            <w:tcBorders>
              <w:top w:val="nil"/>
              <w:left w:val="nil"/>
              <w:bottom w:val="single" w:sz="4" w:space="0" w:color="auto"/>
              <w:right w:val="single" w:sz="4" w:space="0" w:color="auto"/>
            </w:tcBorders>
            <w:vAlign w:val="center"/>
            <w:hideMark/>
          </w:tcPr>
          <w:p w14:paraId="3FB735D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500</w:t>
            </w:r>
          </w:p>
        </w:tc>
      </w:tr>
      <w:tr w:rsidR="003D699C" w:rsidRPr="00BC5BD4" w14:paraId="3664E562"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6B8360BD"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Cobre</w:t>
            </w:r>
          </w:p>
        </w:tc>
        <w:tc>
          <w:tcPr>
            <w:tcW w:w="488" w:type="pct"/>
            <w:tcBorders>
              <w:top w:val="nil"/>
              <w:left w:val="nil"/>
              <w:bottom w:val="single" w:sz="4" w:space="0" w:color="auto"/>
              <w:right w:val="single" w:sz="4" w:space="0" w:color="auto"/>
            </w:tcBorders>
            <w:vAlign w:val="center"/>
            <w:hideMark/>
          </w:tcPr>
          <w:p w14:paraId="2A23335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0,313</w:t>
            </w:r>
          </w:p>
        </w:tc>
        <w:tc>
          <w:tcPr>
            <w:tcW w:w="386" w:type="pct"/>
            <w:tcBorders>
              <w:top w:val="nil"/>
              <w:left w:val="nil"/>
              <w:bottom w:val="single" w:sz="4" w:space="0" w:color="auto"/>
              <w:right w:val="single" w:sz="4" w:space="0" w:color="auto"/>
            </w:tcBorders>
            <w:noWrap/>
            <w:vAlign w:val="center"/>
            <w:hideMark/>
          </w:tcPr>
          <w:p w14:paraId="2374594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0,309</w:t>
            </w:r>
          </w:p>
        </w:tc>
        <w:tc>
          <w:tcPr>
            <w:tcW w:w="369" w:type="pct"/>
            <w:tcBorders>
              <w:top w:val="nil"/>
              <w:left w:val="nil"/>
              <w:bottom w:val="single" w:sz="4" w:space="0" w:color="auto"/>
              <w:right w:val="single" w:sz="4" w:space="0" w:color="auto"/>
            </w:tcBorders>
            <w:noWrap/>
            <w:vAlign w:val="center"/>
            <w:hideMark/>
          </w:tcPr>
          <w:p w14:paraId="4191009C"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0,314</w:t>
            </w:r>
          </w:p>
        </w:tc>
        <w:tc>
          <w:tcPr>
            <w:tcW w:w="386" w:type="pct"/>
            <w:tcBorders>
              <w:top w:val="nil"/>
              <w:left w:val="nil"/>
              <w:bottom w:val="single" w:sz="4" w:space="0" w:color="auto"/>
              <w:right w:val="single" w:sz="4" w:space="0" w:color="auto"/>
            </w:tcBorders>
            <w:noWrap/>
            <w:vAlign w:val="center"/>
            <w:hideMark/>
          </w:tcPr>
          <w:p w14:paraId="72D12D0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0,314</w:t>
            </w:r>
          </w:p>
        </w:tc>
        <w:tc>
          <w:tcPr>
            <w:tcW w:w="386" w:type="pct"/>
            <w:tcBorders>
              <w:top w:val="nil"/>
              <w:left w:val="nil"/>
              <w:bottom w:val="single" w:sz="4" w:space="0" w:color="auto"/>
              <w:right w:val="single" w:sz="4" w:space="0" w:color="auto"/>
            </w:tcBorders>
            <w:noWrap/>
            <w:vAlign w:val="center"/>
            <w:hideMark/>
          </w:tcPr>
          <w:p w14:paraId="5DB91C8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0,319</w:t>
            </w:r>
          </w:p>
        </w:tc>
        <w:tc>
          <w:tcPr>
            <w:tcW w:w="386" w:type="pct"/>
            <w:tcBorders>
              <w:top w:val="nil"/>
              <w:left w:val="nil"/>
              <w:bottom w:val="single" w:sz="4" w:space="0" w:color="auto"/>
              <w:right w:val="single" w:sz="4" w:space="0" w:color="auto"/>
            </w:tcBorders>
            <w:noWrap/>
            <w:vAlign w:val="center"/>
            <w:hideMark/>
          </w:tcPr>
          <w:p w14:paraId="2188C09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0,304</w:t>
            </w:r>
          </w:p>
        </w:tc>
        <w:tc>
          <w:tcPr>
            <w:tcW w:w="386" w:type="pct"/>
            <w:tcBorders>
              <w:top w:val="nil"/>
              <w:left w:val="nil"/>
              <w:bottom w:val="single" w:sz="4" w:space="0" w:color="auto"/>
              <w:right w:val="single" w:sz="4" w:space="0" w:color="auto"/>
            </w:tcBorders>
            <w:noWrap/>
            <w:vAlign w:val="center"/>
            <w:hideMark/>
          </w:tcPr>
          <w:p w14:paraId="1650136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0,354</w:t>
            </w:r>
          </w:p>
        </w:tc>
        <w:tc>
          <w:tcPr>
            <w:tcW w:w="386" w:type="pct"/>
            <w:tcBorders>
              <w:top w:val="nil"/>
              <w:left w:val="nil"/>
              <w:bottom w:val="single" w:sz="4" w:space="0" w:color="auto"/>
              <w:right w:val="single" w:sz="4" w:space="0" w:color="auto"/>
            </w:tcBorders>
            <w:noWrap/>
            <w:vAlign w:val="center"/>
            <w:hideMark/>
          </w:tcPr>
          <w:p w14:paraId="19052E0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0,283</w:t>
            </w:r>
          </w:p>
        </w:tc>
        <w:tc>
          <w:tcPr>
            <w:tcW w:w="386" w:type="pct"/>
            <w:tcBorders>
              <w:top w:val="nil"/>
              <w:left w:val="nil"/>
              <w:bottom w:val="single" w:sz="4" w:space="0" w:color="auto"/>
              <w:right w:val="single" w:sz="4" w:space="0" w:color="auto"/>
            </w:tcBorders>
            <w:noWrap/>
            <w:vAlign w:val="center"/>
            <w:hideMark/>
          </w:tcPr>
          <w:p w14:paraId="76C2E98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w:t>
            </w:r>
          </w:p>
        </w:tc>
        <w:tc>
          <w:tcPr>
            <w:tcW w:w="386" w:type="pct"/>
            <w:tcBorders>
              <w:top w:val="nil"/>
              <w:left w:val="nil"/>
              <w:bottom w:val="single" w:sz="4" w:space="0" w:color="auto"/>
              <w:right w:val="single" w:sz="4" w:space="0" w:color="auto"/>
            </w:tcBorders>
            <w:noWrap/>
            <w:vAlign w:val="center"/>
            <w:hideMark/>
          </w:tcPr>
          <w:p w14:paraId="2E85C1F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0,269</w:t>
            </w:r>
          </w:p>
        </w:tc>
        <w:tc>
          <w:tcPr>
            <w:tcW w:w="494" w:type="pct"/>
            <w:tcBorders>
              <w:top w:val="nil"/>
              <w:left w:val="nil"/>
              <w:bottom w:val="single" w:sz="4" w:space="0" w:color="auto"/>
              <w:right w:val="single" w:sz="4" w:space="0" w:color="auto"/>
            </w:tcBorders>
            <w:vAlign w:val="center"/>
            <w:hideMark/>
          </w:tcPr>
          <w:p w14:paraId="5C6F56E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100</w:t>
            </w:r>
          </w:p>
        </w:tc>
      </w:tr>
      <w:tr w:rsidR="003D699C" w:rsidRPr="00BC5BD4" w14:paraId="61EC0F03"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57C0ACCD"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Cromo</w:t>
            </w:r>
          </w:p>
        </w:tc>
        <w:tc>
          <w:tcPr>
            <w:tcW w:w="488" w:type="pct"/>
            <w:tcBorders>
              <w:top w:val="nil"/>
              <w:left w:val="nil"/>
              <w:bottom w:val="single" w:sz="4" w:space="0" w:color="auto"/>
              <w:right w:val="single" w:sz="4" w:space="0" w:color="auto"/>
            </w:tcBorders>
            <w:vAlign w:val="center"/>
            <w:hideMark/>
          </w:tcPr>
          <w:p w14:paraId="15B22A4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6F0C147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69" w:type="pct"/>
            <w:tcBorders>
              <w:top w:val="nil"/>
              <w:left w:val="nil"/>
              <w:bottom w:val="single" w:sz="4" w:space="0" w:color="auto"/>
              <w:right w:val="single" w:sz="4" w:space="0" w:color="auto"/>
            </w:tcBorders>
            <w:noWrap/>
            <w:vAlign w:val="center"/>
            <w:hideMark/>
          </w:tcPr>
          <w:p w14:paraId="3D7B22E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37F6DEF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14D3BA6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19A244F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013C081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770EAD0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09109D2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386" w:type="pct"/>
            <w:tcBorders>
              <w:top w:val="nil"/>
              <w:left w:val="nil"/>
              <w:bottom w:val="single" w:sz="4" w:space="0" w:color="auto"/>
              <w:right w:val="single" w:sz="4" w:space="0" w:color="auto"/>
            </w:tcBorders>
            <w:noWrap/>
            <w:vAlign w:val="center"/>
            <w:hideMark/>
          </w:tcPr>
          <w:p w14:paraId="5D694AE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0,05</w:t>
            </w:r>
          </w:p>
        </w:tc>
        <w:tc>
          <w:tcPr>
            <w:tcW w:w="494" w:type="pct"/>
            <w:tcBorders>
              <w:top w:val="nil"/>
              <w:left w:val="nil"/>
              <w:bottom w:val="single" w:sz="4" w:space="0" w:color="auto"/>
              <w:right w:val="single" w:sz="4" w:space="0" w:color="auto"/>
            </w:tcBorders>
            <w:vAlign w:val="center"/>
            <w:hideMark/>
          </w:tcPr>
          <w:p w14:paraId="2B6BCED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w:t>
            </w:r>
          </w:p>
        </w:tc>
      </w:tr>
      <w:tr w:rsidR="003D699C" w:rsidRPr="00BC5BD4" w14:paraId="65C16911"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3808C34D"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Mercurio</w:t>
            </w:r>
          </w:p>
        </w:tc>
        <w:tc>
          <w:tcPr>
            <w:tcW w:w="488" w:type="pct"/>
            <w:tcBorders>
              <w:top w:val="nil"/>
              <w:left w:val="nil"/>
              <w:bottom w:val="single" w:sz="4" w:space="0" w:color="auto"/>
              <w:right w:val="single" w:sz="4" w:space="0" w:color="auto"/>
            </w:tcBorders>
            <w:vAlign w:val="center"/>
            <w:hideMark/>
          </w:tcPr>
          <w:p w14:paraId="4339395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055891D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69" w:type="pct"/>
            <w:tcBorders>
              <w:top w:val="nil"/>
              <w:left w:val="nil"/>
              <w:bottom w:val="single" w:sz="4" w:space="0" w:color="auto"/>
              <w:right w:val="single" w:sz="4" w:space="0" w:color="auto"/>
            </w:tcBorders>
            <w:noWrap/>
            <w:vAlign w:val="center"/>
            <w:hideMark/>
          </w:tcPr>
          <w:p w14:paraId="31DF046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53B79D9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46262F2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0,002</w:t>
            </w:r>
          </w:p>
        </w:tc>
        <w:tc>
          <w:tcPr>
            <w:tcW w:w="386" w:type="pct"/>
            <w:tcBorders>
              <w:top w:val="nil"/>
              <w:left w:val="nil"/>
              <w:bottom w:val="single" w:sz="4" w:space="0" w:color="auto"/>
              <w:right w:val="single" w:sz="4" w:space="0" w:color="auto"/>
            </w:tcBorders>
            <w:noWrap/>
            <w:vAlign w:val="center"/>
            <w:hideMark/>
          </w:tcPr>
          <w:p w14:paraId="41EAED7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6CA3C37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618EAE0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0,001</w:t>
            </w:r>
          </w:p>
        </w:tc>
        <w:tc>
          <w:tcPr>
            <w:tcW w:w="386" w:type="pct"/>
            <w:tcBorders>
              <w:top w:val="nil"/>
              <w:left w:val="nil"/>
              <w:bottom w:val="single" w:sz="4" w:space="0" w:color="auto"/>
              <w:right w:val="single" w:sz="4" w:space="0" w:color="auto"/>
            </w:tcBorders>
            <w:noWrap/>
            <w:vAlign w:val="center"/>
            <w:hideMark/>
          </w:tcPr>
          <w:p w14:paraId="39B64D4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0,002</w:t>
            </w:r>
          </w:p>
        </w:tc>
        <w:tc>
          <w:tcPr>
            <w:tcW w:w="386" w:type="pct"/>
            <w:tcBorders>
              <w:top w:val="nil"/>
              <w:left w:val="nil"/>
              <w:bottom w:val="single" w:sz="4" w:space="0" w:color="auto"/>
              <w:right w:val="single" w:sz="4" w:space="0" w:color="auto"/>
            </w:tcBorders>
            <w:noWrap/>
            <w:vAlign w:val="center"/>
            <w:hideMark/>
          </w:tcPr>
          <w:p w14:paraId="21BF92B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0,002</w:t>
            </w:r>
          </w:p>
        </w:tc>
        <w:tc>
          <w:tcPr>
            <w:tcW w:w="494" w:type="pct"/>
            <w:tcBorders>
              <w:top w:val="nil"/>
              <w:left w:val="nil"/>
              <w:bottom w:val="single" w:sz="4" w:space="0" w:color="auto"/>
              <w:right w:val="single" w:sz="4" w:space="0" w:color="auto"/>
            </w:tcBorders>
            <w:vAlign w:val="center"/>
            <w:hideMark/>
          </w:tcPr>
          <w:p w14:paraId="4D6CE60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0,1</w:t>
            </w:r>
          </w:p>
        </w:tc>
      </w:tr>
      <w:tr w:rsidR="003D699C" w:rsidRPr="00BC5BD4" w14:paraId="64426C6B"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47E898CD"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Níquel</w:t>
            </w:r>
          </w:p>
        </w:tc>
        <w:tc>
          <w:tcPr>
            <w:tcW w:w="488" w:type="pct"/>
            <w:tcBorders>
              <w:top w:val="nil"/>
              <w:left w:val="nil"/>
              <w:bottom w:val="single" w:sz="4" w:space="0" w:color="auto"/>
              <w:right w:val="single" w:sz="4" w:space="0" w:color="auto"/>
            </w:tcBorders>
            <w:vAlign w:val="center"/>
            <w:hideMark/>
          </w:tcPr>
          <w:p w14:paraId="413AD25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0,089</w:t>
            </w:r>
          </w:p>
        </w:tc>
        <w:tc>
          <w:tcPr>
            <w:tcW w:w="386" w:type="pct"/>
            <w:tcBorders>
              <w:top w:val="nil"/>
              <w:left w:val="nil"/>
              <w:bottom w:val="single" w:sz="4" w:space="0" w:color="auto"/>
              <w:right w:val="single" w:sz="4" w:space="0" w:color="auto"/>
            </w:tcBorders>
            <w:noWrap/>
            <w:vAlign w:val="center"/>
            <w:hideMark/>
          </w:tcPr>
          <w:p w14:paraId="08A3C2E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0,078</w:t>
            </w:r>
          </w:p>
        </w:tc>
        <w:tc>
          <w:tcPr>
            <w:tcW w:w="369" w:type="pct"/>
            <w:tcBorders>
              <w:top w:val="nil"/>
              <w:left w:val="nil"/>
              <w:bottom w:val="single" w:sz="4" w:space="0" w:color="auto"/>
              <w:right w:val="single" w:sz="4" w:space="0" w:color="auto"/>
            </w:tcBorders>
            <w:noWrap/>
            <w:vAlign w:val="center"/>
            <w:hideMark/>
          </w:tcPr>
          <w:p w14:paraId="0D78B7F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0,086</w:t>
            </w:r>
          </w:p>
        </w:tc>
        <w:tc>
          <w:tcPr>
            <w:tcW w:w="386" w:type="pct"/>
            <w:tcBorders>
              <w:top w:val="nil"/>
              <w:left w:val="nil"/>
              <w:bottom w:val="single" w:sz="4" w:space="0" w:color="auto"/>
              <w:right w:val="single" w:sz="4" w:space="0" w:color="auto"/>
            </w:tcBorders>
            <w:noWrap/>
            <w:vAlign w:val="center"/>
            <w:hideMark/>
          </w:tcPr>
          <w:p w14:paraId="6B3734D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0,09</w:t>
            </w:r>
          </w:p>
        </w:tc>
        <w:tc>
          <w:tcPr>
            <w:tcW w:w="386" w:type="pct"/>
            <w:tcBorders>
              <w:top w:val="nil"/>
              <w:left w:val="nil"/>
              <w:bottom w:val="single" w:sz="4" w:space="0" w:color="auto"/>
              <w:right w:val="single" w:sz="4" w:space="0" w:color="auto"/>
            </w:tcBorders>
            <w:noWrap/>
            <w:vAlign w:val="center"/>
            <w:hideMark/>
          </w:tcPr>
          <w:p w14:paraId="3FF3AE7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0,088</w:t>
            </w:r>
          </w:p>
        </w:tc>
        <w:tc>
          <w:tcPr>
            <w:tcW w:w="386" w:type="pct"/>
            <w:tcBorders>
              <w:top w:val="nil"/>
              <w:left w:val="nil"/>
              <w:bottom w:val="single" w:sz="4" w:space="0" w:color="auto"/>
              <w:right w:val="single" w:sz="4" w:space="0" w:color="auto"/>
            </w:tcBorders>
            <w:noWrap/>
            <w:vAlign w:val="center"/>
            <w:hideMark/>
          </w:tcPr>
          <w:p w14:paraId="0279F83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0,085</w:t>
            </w:r>
          </w:p>
        </w:tc>
        <w:tc>
          <w:tcPr>
            <w:tcW w:w="386" w:type="pct"/>
            <w:tcBorders>
              <w:top w:val="nil"/>
              <w:left w:val="nil"/>
              <w:bottom w:val="single" w:sz="4" w:space="0" w:color="auto"/>
              <w:right w:val="single" w:sz="4" w:space="0" w:color="auto"/>
            </w:tcBorders>
            <w:noWrap/>
            <w:vAlign w:val="center"/>
            <w:hideMark/>
          </w:tcPr>
          <w:p w14:paraId="1C33DA5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0,095</w:t>
            </w:r>
          </w:p>
        </w:tc>
        <w:tc>
          <w:tcPr>
            <w:tcW w:w="386" w:type="pct"/>
            <w:tcBorders>
              <w:top w:val="nil"/>
              <w:left w:val="nil"/>
              <w:bottom w:val="single" w:sz="4" w:space="0" w:color="auto"/>
              <w:right w:val="single" w:sz="4" w:space="0" w:color="auto"/>
            </w:tcBorders>
            <w:noWrap/>
            <w:vAlign w:val="center"/>
            <w:hideMark/>
          </w:tcPr>
          <w:p w14:paraId="0C4B908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0,071</w:t>
            </w:r>
          </w:p>
        </w:tc>
        <w:tc>
          <w:tcPr>
            <w:tcW w:w="386" w:type="pct"/>
            <w:tcBorders>
              <w:top w:val="nil"/>
              <w:left w:val="nil"/>
              <w:bottom w:val="single" w:sz="4" w:space="0" w:color="auto"/>
              <w:right w:val="single" w:sz="4" w:space="0" w:color="auto"/>
            </w:tcBorders>
            <w:noWrap/>
            <w:vAlign w:val="center"/>
            <w:hideMark/>
          </w:tcPr>
          <w:p w14:paraId="49F4448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0,078</w:t>
            </w:r>
          </w:p>
        </w:tc>
        <w:tc>
          <w:tcPr>
            <w:tcW w:w="386" w:type="pct"/>
            <w:tcBorders>
              <w:top w:val="nil"/>
              <w:left w:val="nil"/>
              <w:bottom w:val="single" w:sz="4" w:space="0" w:color="auto"/>
              <w:right w:val="single" w:sz="4" w:space="0" w:color="auto"/>
            </w:tcBorders>
            <w:noWrap/>
            <w:vAlign w:val="center"/>
            <w:hideMark/>
          </w:tcPr>
          <w:p w14:paraId="3AF53BA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0,068</w:t>
            </w:r>
          </w:p>
        </w:tc>
        <w:tc>
          <w:tcPr>
            <w:tcW w:w="494" w:type="pct"/>
            <w:tcBorders>
              <w:top w:val="nil"/>
              <w:left w:val="nil"/>
              <w:bottom w:val="single" w:sz="4" w:space="0" w:color="auto"/>
              <w:right w:val="single" w:sz="4" w:space="0" w:color="auto"/>
            </w:tcBorders>
            <w:vAlign w:val="center"/>
            <w:hideMark/>
          </w:tcPr>
          <w:p w14:paraId="6CFDEB8D"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1,3</w:t>
            </w:r>
          </w:p>
        </w:tc>
      </w:tr>
      <w:tr w:rsidR="003D699C" w:rsidRPr="00BC5BD4" w14:paraId="6A312236"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634629CC"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Plata</w:t>
            </w:r>
          </w:p>
        </w:tc>
        <w:tc>
          <w:tcPr>
            <w:tcW w:w="488" w:type="pct"/>
            <w:tcBorders>
              <w:top w:val="nil"/>
              <w:left w:val="nil"/>
              <w:bottom w:val="single" w:sz="4" w:space="0" w:color="auto"/>
              <w:right w:val="single" w:sz="4" w:space="0" w:color="auto"/>
            </w:tcBorders>
            <w:vAlign w:val="center"/>
            <w:hideMark/>
          </w:tcPr>
          <w:p w14:paraId="15BE6AA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450E3F9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69" w:type="pct"/>
            <w:tcBorders>
              <w:top w:val="nil"/>
              <w:left w:val="nil"/>
              <w:bottom w:val="single" w:sz="4" w:space="0" w:color="auto"/>
              <w:right w:val="single" w:sz="4" w:space="0" w:color="auto"/>
            </w:tcBorders>
            <w:noWrap/>
            <w:vAlign w:val="center"/>
            <w:hideMark/>
          </w:tcPr>
          <w:p w14:paraId="4EAA632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79AB1DE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34A6B9A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7B2CFF06"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084094B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309552E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6B99FA0C"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386" w:type="pct"/>
            <w:tcBorders>
              <w:top w:val="nil"/>
              <w:left w:val="nil"/>
              <w:bottom w:val="single" w:sz="4" w:space="0" w:color="auto"/>
              <w:right w:val="single" w:sz="4" w:space="0" w:color="auto"/>
            </w:tcBorders>
            <w:noWrap/>
            <w:vAlign w:val="center"/>
            <w:hideMark/>
          </w:tcPr>
          <w:p w14:paraId="0D1A9CE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0,01</w:t>
            </w:r>
          </w:p>
        </w:tc>
        <w:tc>
          <w:tcPr>
            <w:tcW w:w="494" w:type="pct"/>
            <w:tcBorders>
              <w:top w:val="nil"/>
              <w:left w:val="nil"/>
              <w:bottom w:val="single" w:sz="4" w:space="0" w:color="auto"/>
              <w:right w:val="single" w:sz="4" w:space="0" w:color="auto"/>
            </w:tcBorders>
            <w:vAlign w:val="center"/>
            <w:hideMark/>
          </w:tcPr>
          <w:p w14:paraId="51028EE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5</w:t>
            </w:r>
          </w:p>
        </w:tc>
      </w:tr>
      <w:tr w:rsidR="003D699C" w:rsidRPr="00BC5BD4" w14:paraId="755EF818"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79FA59D7"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Plomo</w:t>
            </w:r>
          </w:p>
        </w:tc>
        <w:tc>
          <w:tcPr>
            <w:tcW w:w="488" w:type="pct"/>
            <w:tcBorders>
              <w:top w:val="nil"/>
              <w:left w:val="nil"/>
              <w:bottom w:val="single" w:sz="4" w:space="0" w:color="auto"/>
              <w:right w:val="single" w:sz="4" w:space="0" w:color="auto"/>
            </w:tcBorders>
            <w:vAlign w:val="center"/>
            <w:hideMark/>
          </w:tcPr>
          <w:p w14:paraId="1455805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0,186</w:t>
            </w:r>
          </w:p>
        </w:tc>
        <w:tc>
          <w:tcPr>
            <w:tcW w:w="386" w:type="pct"/>
            <w:tcBorders>
              <w:top w:val="nil"/>
              <w:left w:val="nil"/>
              <w:bottom w:val="single" w:sz="4" w:space="0" w:color="auto"/>
              <w:right w:val="single" w:sz="4" w:space="0" w:color="auto"/>
            </w:tcBorders>
            <w:noWrap/>
            <w:vAlign w:val="center"/>
            <w:hideMark/>
          </w:tcPr>
          <w:p w14:paraId="2F2997E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0,351</w:t>
            </w:r>
          </w:p>
        </w:tc>
        <w:tc>
          <w:tcPr>
            <w:tcW w:w="369" w:type="pct"/>
            <w:tcBorders>
              <w:top w:val="nil"/>
              <w:left w:val="nil"/>
              <w:bottom w:val="single" w:sz="4" w:space="0" w:color="auto"/>
              <w:right w:val="single" w:sz="4" w:space="0" w:color="auto"/>
            </w:tcBorders>
            <w:noWrap/>
            <w:vAlign w:val="center"/>
            <w:hideMark/>
          </w:tcPr>
          <w:p w14:paraId="69B5038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0,363</w:t>
            </w:r>
          </w:p>
        </w:tc>
        <w:tc>
          <w:tcPr>
            <w:tcW w:w="386" w:type="pct"/>
            <w:tcBorders>
              <w:top w:val="nil"/>
              <w:left w:val="nil"/>
              <w:bottom w:val="single" w:sz="4" w:space="0" w:color="auto"/>
              <w:right w:val="single" w:sz="4" w:space="0" w:color="auto"/>
            </w:tcBorders>
            <w:noWrap/>
            <w:vAlign w:val="center"/>
            <w:hideMark/>
          </w:tcPr>
          <w:p w14:paraId="605656D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0,387</w:t>
            </w:r>
          </w:p>
        </w:tc>
        <w:tc>
          <w:tcPr>
            <w:tcW w:w="386" w:type="pct"/>
            <w:tcBorders>
              <w:top w:val="nil"/>
              <w:left w:val="nil"/>
              <w:bottom w:val="single" w:sz="4" w:space="0" w:color="auto"/>
              <w:right w:val="single" w:sz="4" w:space="0" w:color="auto"/>
            </w:tcBorders>
            <w:noWrap/>
            <w:vAlign w:val="center"/>
            <w:hideMark/>
          </w:tcPr>
          <w:p w14:paraId="6B4E8AC3"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0,28</w:t>
            </w:r>
          </w:p>
        </w:tc>
        <w:tc>
          <w:tcPr>
            <w:tcW w:w="386" w:type="pct"/>
            <w:tcBorders>
              <w:top w:val="nil"/>
              <w:left w:val="nil"/>
              <w:bottom w:val="single" w:sz="4" w:space="0" w:color="auto"/>
              <w:right w:val="single" w:sz="4" w:space="0" w:color="auto"/>
            </w:tcBorders>
            <w:noWrap/>
            <w:vAlign w:val="center"/>
            <w:hideMark/>
          </w:tcPr>
          <w:p w14:paraId="3F2E431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0,316</w:t>
            </w:r>
          </w:p>
        </w:tc>
        <w:tc>
          <w:tcPr>
            <w:tcW w:w="386" w:type="pct"/>
            <w:tcBorders>
              <w:top w:val="nil"/>
              <w:left w:val="nil"/>
              <w:bottom w:val="single" w:sz="4" w:space="0" w:color="auto"/>
              <w:right w:val="single" w:sz="4" w:space="0" w:color="auto"/>
            </w:tcBorders>
            <w:noWrap/>
            <w:vAlign w:val="center"/>
            <w:hideMark/>
          </w:tcPr>
          <w:p w14:paraId="6CCFB020"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0,344</w:t>
            </w:r>
          </w:p>
        </w:tc>
        <w:tc>
          <w:tcPr>
            <w:tcW w:w="386" w:type="pct"/>
            <w:tcBorders>
              <w:top w:val="nil"/>
              <w:left w:val="nil"/>
              <w:bottom w:val="single" w:sz="4" w:space="0" w:color="auto"/>
              <w:right w:val="single" w:sz="4" w:space="0" w:color="auto"/>
            </w:tcBorders>
            <w:noWrap/>
            <w:vAlign w:val="center"/>
            <w:hideMark/>
          </w:tcPr>
          <w:p w14:paraId="76A4AA5E"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0,298</w:t>
            </w:r>
          </w:p>
        </w:tc>
        <w:tc>
          <w:tcPr>
            <w:tcW w:w="386" w:type="pct"/>
            <w:tcBorders>
              <w:top w:val="nil"/>
              <w:left w:val="nil"/>
              <w:bottom w:val="single" w:sz="4" w:space="0" w:color="auto"/>
              <w:right w:val="single" w:sz="4" w:space="0" w:color="auto"/>
            </w:tcBorders>
            <w:noWrap/>
            <w:vAlign w:val="center"/>
            <w:hideMark/>
          </w:tcPr>
          <w:p w14:paraId="2628C3F9"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0,355</w:t>
            </w:r>
          </w:p>
        </w:tc>
        <w:tc>
          <w:tcPr>
            <w:tcW w:w="386" w:type="pct"/>
            <w:tcBorders>
              <w:top w:val="nil"/>
              <w:left w:val="nil"/>
              <w:bottom w:val="single" w:sz="4" w:space="0" w:color="auto"/>
              <w:right w:val="single" w:sz="4" w:space="0" w:color="auto"/>
            </w:tcBorders>
            <w:noWrap/>
            <w:vAlign w:val="center"/>
            <w:hideMark/>
          </w:tcPr>
          <w:p w14:paraId="04F2E99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0,315</w:t>
            </w:r>
          </w:p>
        </w:tc>
        <w:tc>
          <w:tcPr>
            <w:tcW w:w="494" w:type="pct"/>
            <w:tcBorders>
              <w:top w:val="nil"/>
              <w:left w:val="nil"/>
              <w:bottom w:val="single" w:sz="4" w:space="0" w:color="auto"/>
              <w:right w:val="single" w:sz="4" w:space="0" w:color="auto"/>
            </w:tcBorders>
            <w:vAlign w:val="center"/>
            <w:hideMark/>
          </w:tcPr>
          <w:p w14:paraId="75F93B25"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w:t>
            </w:r>
          </w:p>
        </w:tc>
      </w:tr>
      <w:tr w:rsidR="003D699C" w:rsidRPr="00BC5BD4" w14:paraId="0D63A289" w14:textId="77777777" w:rsidTr="008D3796">
        <w:trPr>
          <w:trHeight w:val="300"/>
        </w:trPr>
        <w:tc>
          <w:tcPr>
            <w:tcW w:w="559" w:type="pct"/>
            <w:tcBorders>
              <w:top w:val="nil"/>
              <w:left w:val="single" w:sz="4" w:space="0" w:color="auto"/>
              <w:bottom w:val="single" w:sz="4" w:space="0" w:color="auto"/>
              <w:right w:val="single" w:sz="4" w:space="0" w:color="auto"/>
            </w:tcBorders>
            <w:noWrap/>
            <w:vAlign w:val="center"/>
            <w:hideMark/>
          </w:tcPr>
          <w:p w14:paraId="5760A216" w14:textId="77777777" w:rsidR="00BC5BD4" w:rsidRPr="00CF1A29" w:rsidRDefault="00BC5BD4" w:rsidP="00BC5BD4">
            <w:pPr>
              <w:jc w:val="center"/>
              <w:rPr>
                <w:b/>
                <w:color w:val="000000"/>
                <w:sz w:val="18"/>
                <w:szCs w:val="18"/>
                <w:lang w:eastAsia="es-AR"/>
              </w:rPr>
            </w:pPr>
            <w:r w:rsidRPr="00CF1A29">
              <w:rPr>
                <w:b/>
                <w:color w:val="000000"/>
                <w:sz w:val="18"/>
                <w:szCs w:val="18"/>
                <w:lang w:eastAsia="es-AR"/>
              </w:rPr>
              <w:t>Selenio</w:t>
            </w:r>
          </w:p>
        </w:tc>
        <w:tc>
          <w:tcPr>
            <w:tcW w:w="488" w:type="pct"/>
            <w:tcBorders>
              <w:top w:val="nil"/>
              <w:left w:val="nil"/>
              <w:bottom w:val="single" w:sz="4" w:space="0" w:color="auto"/>
              <w:right w:val="single" w:sz="4" w:space="0" w:color="auto"/>
            </w:tcBorders>
            <w:vAlign w:val="center"/>
            <w:hideMark/>
          </w:tcPr>
          <w:p w14:paraId="3136F917"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24FEABB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69" w:type="pct"/>
            <w:tcBorders>
              <w:top w:val="nil"/>
              <w:left w:val="nil"/>
              <w:bottom w:val="single" w:sz="4" w:space="0" w:color="auto"/>
              <w:right w:val="single" w:sz="4" w:space="0" w:color="auto"/>
            </w:tcBorders>
            <w:noWrap/>
            <w:vAlign w:val="center"/>
            <w:hideMark/>
          </w:tcPr>
          <w:p w14:paraId="590D71F4"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73D97082"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77BE276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54F9B3B1"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0A6F6618"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6EAC638F"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667451A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386" w:type="pct"/>
            <w:tcBorders>
              <w:top w:val="nil"/>
              <w:left w:val="nil"/>
              <w:bottom w:val="single" w:sz="4" w:space="0" w:color="auto"/>
              <w:right w:val="single" w:sz="4" w:space="0" w:color="auto"/>
            </w:tcBorders>
            <w:noWrap/>
            <w:vAlign w:val="center"/>
            <w:hideMark/>
          </w:tcPr>
          <w:p w14:paraId="176DFC8B" w14:textId="77777777" w:rsidR="00BC5BD4" w:rsidRPr="00BC5BD4" w:rsidRDefault="00BC5BD4" w:rsidP="00BC5BD4">
            <w:pPr>
              <w:jc w:val="center"/>
              <w:rPr>
                <w:color w:val="000000"/>
                <w:sz w:val="18"/>
                <w:szCs w:val="18"/>
                <w:lang w:eastAsia="es-AR"/>
              </w:rPr>
            </w:pPr>
            <w:r w:rsidRPr="00BC5BD4">
              <w:rPr>
                <w:color w:val="000000"/>
                <w:sz w:val="18"/>
                <w:szCs w:val="18"/>
                <w:lang w:eastAsia="es-AR"/>
              </w:rPr>
              <w:t>&lt; 0,004</w:t>
            </w:r>
          </w:p>
        </w:tc>
        <w:tc>
          <w:tcPr>
            <w:tcW w:w="494" w:type="pct"/>
            <w:tcBorders>
              <w:top w:val="nil"/>
              <w:left w:val="nil"/>
              <w:bottom w:val="single" w:sz="4" w:space="0" w:color="auto"/>
              <w:right w:val="single" w:sz="4" w:space="0" w:color="auto"/>
            </w:tcBorders>
            <w:vAlign w:val="center"/>
            <w:hideMark/>
          </w:tcPr>
          <w:p w14:paraId="717E17CA" w14:textId="77777777" w:rsidR="00BC5BD4" w:rsidRPr="00BC5BD4" w:rsidRDefault="00BC5BD4" w:rsidP="00BC5BD4">
            <w:pPr>
              <w:jc w:val="center"/>
              <w:rPr>
                <w:color w:val="000000"/>
                <w:sz w:val="18"/>
                <w:szCs w:val="18"/>
                <w:lang w:eastAsia="es-AR"/>
              </w:rPr>
            </w:pPr>
            <w:r w:rsidRPr="00BC5BD4">
              <w:rPr>
                <w:color w:val="000000"/>
                <w:sz w:val="18"/>
                <w:szCs w:val="18"/>
                <w:lang w:eastAsia="es-AR"/>
              </w:rPr>
              <w:t>1</w:t>
            </w:r>
          </w:p>
        </w:tc>
      </w:tr>
    </w:tbl>
    <w:p w14:paraId="20703320" w14:textId="29EE7CD2" w:rsidR="00DE3C96" w:rsidRPr="00617BB1" w:rsidRDefault="00DC6231" w:rsidP="00C664F8">
      <w:pPr>
        <w:pStyle w:val="NormalWeb"/>
        <w:spacing w:before="360" w:beforeAutospacing="0" w:after="0" w:afterAutospacing="0" w:line="480" w:lineRule="auto"/>
        <w:jc w:val="both"/>
        <w:rPr>
          <w:b/>
        </w:rPr>
      </w:pPr>
      <w:r w:rsidRPr="0099220F">
        <w:rPr>
          <w:b/>
        </w:rPr>
        <w:t>Fig</w:t>
      </w:r>
      <w:r w:rsidR="00F86074" w:rsidRPr="0099220F">
        <w:rPr>
          <w:b/>
        </w:rPr>
        <w:t>.</w:t>
      </w:r>
      <w:r w:rsidRPr="0099220F">
        <w:rPr>
          <w:b/>
        </w:rPr>
        <w:t xml:space="preserve"> </w:t>
      </w:r>
      <w:r w:rsidR="002E713B">
        <w:rPr>
          <w:b/>
        </w:rPr>
        <w:t>1</w:t>
      </w:r>
      <w:r w:rsidR="009D5C1A" w:rsidRPr="0099220F">
        <w:rPr>
          <w:b/>
        </w:rPr>
        <w:t xml:space="preserve">. </w:t>
      </w:r>
      <w:r w:rsidR="00D11091" w:rsidRPr="00C664F8">
        <w:t>Concentración de hidrocarburos aromáticos policíclicos (HAP) desglosada por compuesto individual</w:t>
      </w:r>
      <w:r w:rsidR="00D11091">
        <w:t xml:space="preserve"> (ppm)</w:t>
      </w:r>
      <w:r w:rsidR="00D11091" w:rsidRPr="00C664F8">
        <w:t xml:space="preserve"> en las muestras de suelo al inicio y a los 60 días de tratamiento de </w:t>
      </w:r>
      <w:proofErr w:type="spellStart"/>
      <w:r w:rsidR="00D11091" w:rsidRPr="00C664F8">
        <w:t>electrobiorremediación</w:t>
      </w:r>
      <w:proofErr w:type="spellEnd"/>
      <w:r w:rsidR="00D11091" w:rsidRPr="00C664F8">
        <w:t xml:space="preserve"> (EB). I: muestra inicial, A: muestreos sin nutrientes, B: muestreos con nutrientes, 1 y 3: sitios próximos a los electrodos, 2: centro de la cuba, SS: suelo sin aditivos, SH: suelo con adición de humedad, SN: suelo con adición de nutrientes.</w:t>
      </w:r>
    </w:p>
    <w:p w14:paraId="67D8CD33" w14:textId="216ABFC4" w:rsidR="00DC6231" w:rsidRPr="00617BB1" w:rsidRDefault="00DC6231" w:rsidP="00CE2DC0">
      <w:pPr>
        <w:pStyle w:val="NormalWeb"/>
        <w:spacing w:before="0" w:beforeAutospacing="0" w:after="0" w:afterAutospacing="0" w:line="480" w:lineRule="auto"/>
        <w:jc w:val="both"/>
        <w:rPr>
          <w:b/>
        </w:rPr>
      </w:pPr>
      <w:r w:rsidRPr="00617BB1">
        <w:rPr>
          <w:b/>
          <w:noProof/>
          <w:lang w:eastAsia="es-AR"/>
        </w:rPr>
        <w:lastRenderedPageBreak/>
        <w:drawing>
          <wp:inline distT="0" distB="0" distL="0" distR="0" wp14:anchorId="5EFAADC4" wp14:editId="1D86CAB1">
            <wp:extent cx="5613400" cy="3368040"/>
            <wp:effectExtent l="0" t="0" r="6350" b="3810"/>
            <wp:docPr id="2" name="Imagen 2" descr="C:\Users\romin\OneDrive\Desktop\escrito\CC-HAPS_PUB_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n\OneDrive\Desktop\escrito\CC-HAPS_PUB_C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3400" cy="3368040"/>
                    </a:xfrm>
                    <a:prstGeom prst="rect">
                      <a:avLst/>
                    </a:prstGeom>
                    <a:noFill/>
                    <a:ln>
                      <a:noFill/>
                    </a:ln>
                  </pic:spPr>
                </pic:pic>
              </a:graphicData>
            </a:graphic>
          </wp:inline>
        </w:drawing>
      </w:r>
    </w:p>
    <w:p w14:paraId="199B3F47" w14:textId="1DE8C138" w:rsidR="003409A3" w:rsidRPr="00824EC8" w:rsidRDefault="003409A3" w:rsidP="00CE2DC0">
      <w:pPr>
        <w:pStyle w:val="NormalWeb"/>
        <w:spacing w:line="480" w:lineRule="auto"/>
        <w:jc w:val="both"/>
      </w:pPr>
      <w:r w:rsidRPr="0099220F">
        <w:rPr>
          <w:b/>
        </w:rPr>
        <w:t xml:space="preserve">Fig. </w:t>
      </w:r>
      <w:r w:rsidR="004E065D">
        <w:rPr>
          <w:b/>
        </w:rPr>
        <w:t>2</w:t>
      </w:r>
      <w:r w:rsidRPr="0099220F">
        <w:rPr>
          <w:b/>
        </w:rPr>
        <w:t>.</w:t>
      </w:r>
      <w:r w:rsidRPr="00617BB1">
        <w:t xml:space="preserve"> </w:t>
      </w:r>
      <w:r w:rsidR="001A03BB">
        <w:t>R</w:t>
      </w:r>
      <w:r w:rsidR="001A03BB" w:rsidRPr="001A03BB">
        <w:t>ecuento de bacterias aerobias totales (R2A) y degradado</w:t>
      </w:r>
      <w:r w:rsidR="001A03BB">
        <w:t>ras de hidrocarburos (BDH) (UFC/g</w:t>
      </w:r>
      <w:r w:rsidR="001A03BB" w:rsidRPr="001A03BB">
        <w:t xml:space="preserve">, eje izquierdo) y porcentaje de degradación total de HAP (eje derecho) a los 60 días. </w:t>
      </w:r>
      <w:r w:rsidR="00D11091" w:rsidRPr="00D11091">
        <w:t>I: muestra inicial, A: muestreos sin nutrientes, B: muestreos con nutrientes, 1 y 3: sitios próximos a los electrodos, 2: centro de la cuba, SS: suelo sin aditivos, SH: suelo con adición de humedad, SN: suelo con adición de nutrientes.</w:t>
      </w:r>
    </w:p>
    <w:p w14:paraId="73D74702" w14:textId="266190F7" w:rsidR="003409A3" w:rsidRPr="00617BB1" w:rsidRDefault="00EE0FD0" w:rsidP="00CE2DC0">
      <w:pPr>
        <w:pStyle w:val="NormalWeb"/>
        <w:spacing w:line="480" w:lineRule="auto"/>
        <w:jc w:val="center"/>
        <w:rPr>
          <w:lang w:eastAsia="es-AR"/>
        </w:rPr>
      </w:pPr>
      <w:r w:rsidRPr="00617BB1">
        <w:rPr>
          <w:noProof/>
          <w:lang w:eastAsia="es-AR"/>
        </w:rPr>
        <w:lastRenderedPageBreak/>
        <w:drawing>
          <wp:inline distT="0" distB="0" distL="0" distR="0" wp14:anchorId="00877E2B" wp14:editId="136AB510">
            <wp:extent cx="5613400" cy="3368040"/>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o_recuento_tasa_corregid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3368040"/>
                    </a:xfrm>
                    <a:prstGeom prst="rect">
                      <a:avLst/>
                    </a:prstGeom>
                  </pic:spPr>
                </pic:pic>
              </a:graphicData>
            </a:graphic>
          </wp:inline>
        </w:drawing>
      </w:r>
    </w:p>
    <w:p w14:paraId="1A01066B" w14:textId="55DC9526" w:rsidR="00C00AEA" w:rsidRPr="0099220F" w:rsidRDefault="00C00AEA" w:rsidP="00CE2DC0">
      <w:pPr>
        <w:pStyle w:val="NormalWeb"/>
        <w:spacing w:line="480" w:lineRule="auto"/>
        <w:jc w:val="both"/>
        <w:rPr>
          <w:color w:val="FF0000"/>
        </w:rPr>
      </w:pPr>
      <w:r w:rsidRPr="0099220F">
        <w:rPr>
          <w:b/>
        </w:rPr>
        <w:t xml:space="preserve">Fig. </w:t>
      </w:r>
      <w:r w:rsidR="004E065D">
        <w:rPr>
          <w:b/>
        </w:rPr>
        <w:t>3</w:t>
      </w:r>
      <w:r w:rsidRPr="0099220F">
        <w:rPr>
          <w:b/>
        </w:rPr>
        <w:t>.</w:t>
      </w:r>
      <w:r w:rsidRPr="0099220F">
        <w:t xml:space="preserve"> </w:t>
      </w:r>
      <w:r w:rsidR="001A03BB" w:rsidRPr="001A03BB">
        <w:t xml:space="preserve">Abundancia relativa de los principales géneros bacterianos identificados mediante </w:t>
      </w:r>
      <w:proofErr w:type="spellStart"/>
      <w:r w:rsidR="001A03BB" w:rsidRPr="001A03BB">
        <w:t>FAMEs</w:t>
      </w:r>
      <w:proofErr w:type="spellEnd"/>
      <w:r w:rsidR="001A03BB" w:rsidRPr="001A03BB">
        <w:t xml:space="preserve"> al final del tratamiento (60 días). </w:t>
      </w:r>
      <w:r w:rsidR="00D11091" w:rsidRPr="00D11091">
        <w:t>A: muestreos sin nutrientes, B: muestreos con nutrientes, 1 y 3: sitios próximos a los electrodos, 2: centro de la cuba, SS: suelo sin aditivos, SH: suelo con adición de humedad, SN: suelo con adición de nutrientes. La abundancia se expresa como proporción del total detectado en cada muestra.</w:t>
      </w:r>
    </w:p>
    <w:p w14:paraId="34600313" w14:textId="2F2C2322" w:rsidR="00C00AEA" w:rsidRPr="00617BB1" w:rsidRDefault="00B2766E" w:rsidP="00CE2DC0">
      <w:pPr>
        <w:pStyle w:val="NormalWeb"/>
        <w:spacing w:line="480" w:lineRule="auto"/>
        <w:jc w:val="center"/>
      </w:pPr>
      <w:r w:rsidRPr="00617BB1">
        <w:rPr>
          <w:noProof/>
          <w:lang w:eastAsia="es-AR"/>
        </w:rPr>
        <w:lastRenderedPageBreak/>
        <w:drawing>
          <wp:inline distT="0" distB="0" distL="0" distR="0" wp14:anchorId="59F36FD9" wp14:editId="1B634364">
            <wp:extent cx="5613400" cy="3368040"/>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co_abundancia_corregid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3400" cy="3368040"/>
                    </a:xfrm>
                    <a:prstGeom prst="rect">
                      <a:avLst/>
                    </a:prstGeom>
                  </pic:spPr>
                </pic:pic>
              </a:graphicData>
            </a:graphic>
          </wp:inline>
        </w:drawing>
      </w:r>
    </w:p>
    <w:p w14:paraId="10C31427" w14:textId="43B09176" w:rsidR="00C00AEA" w:rsidRPr="0099220F" w:rsidRDefault="00C00AEA" w:rsidP="008E48CE">
      <w:pPr>
        <w:pStyle w:val="NormalWeb"/>
        <w:spacing w:line="480" w:lineRule="auto"/>
        <w:jc w:val="both"/>
      </w:pPr>
      <w:r w:rsidRPr="00617BB1">
        <w:rPr>
          <w:b/>
        </w:rPr>
        <w:t xml:space="preserve">Fig. </w:t>
      </w:r>
      <w:r w:rsidR="004E065D">
        <w:rPr>
          <w:b/>
        </w:rPr>
        <w:t>4</w:t>
      </w:r>
      <w:r w:rsidRPr="0099220F">
        <w:rPr>
          <w:b/>
        </w:rPr>
        <w:t>.</w:t>
      </w:r>
      <w:r w:rsidRPr="0099220F">
        <w:t xml:space="preserve"> </w:t>
      </w:r>
      <w:r w:rsidR="00D11091" w:rsidRPr="00D11091">
        <w:t xml:space="preserve">(a) Perfil de bandas obtenido mediante electroforesis en gel con gradiente desnaturalizante (DGGE) de las comunidades bacterianas a los 60 días. (b) </w:t>
      </w:r>
      <w:proofErr w:type="spellStart"/>
      <w:r w:rsidR="00D11091" w:rsidRPr="00D11091">
        <w:t>Dendrograma</w:t>
      </w:r>
      <w:proofErr w:type="spellEnd"/>
      <w:r w:rsidR="00D11091" w:rsidRPr="00D11091">
        <w:t xml:space="preserve"> de similitud. A: muestreos sin nutrientes, B: muestreos con nutrientes, 1 y 3: sitios próximos a los electrodos, 2: centro de la cuba, SS: suelo sin aditivos, SH: suelo con adición de humedad, SN: suelo con adición de nutrientes, M: marcador molecular</w:t>
      </w:r>
      <w:r w:rsidR="004B0F1F">
        <w:t>.</w:t>
      </w:r>
      <w:r w:rsidR="00D11091" w:rsidRPr="00D11091" w:rsidDel="00D11091">
        <w:t xml:space="preserve"> </w:t>
      </w:r>
    </w:p>
    <w:p w14:paraId="4AFD0F6D" w14:textId="22978058" w:rsidR="00C00AEA" w:rsidRDefault="00C00AEA" w:rsidP="00CE2DC0">
      <w:pPr>
        <w:pStyle w:val="NormalWeb"/>
        <w:spacing w:line="480" w:lineRule="auto"/>
        <w:jc w:val="both"/>
      </w:pPr>
    </w:p>
    <w:p w14:paraId="682D1999" w14:textId="13503E57" w:rsidR="00FB57E8" w:rsidRPr="0099220F" w:rsidRDefault="00FB57E8" w:rsidP="00CE2DC0">
      <w:pPr>
        <w:pStyle w:val="NormalWeb"/>
        <w:spacing w:line="480" w:lineRule="auto"/>
        <w:jc w:val="both"/>
      </w:pPr>
      <w:r>
        <w:rPr>
          <w:noProof/>
          <w:lang w:eastAsia="es-AR"/>
        </w:rPr>
        <w:lastRenderedPageBreak/>
        <w:drawing>
          <wp:inline distT="0" distB="0" distL="0" distR="0" wp14:anchorId="08745D29" wp14:editId="1B2FC757">
            <wp:extent cx="6083022" cy="3676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643" cy="3677630"/>
                    </a:xfrm>
                    <a:prstGeom prst="rect">
                      <a:avLst/>
                    </a:prstGeom>
                  </pic:spPr>
                </pic:pic>
              </a:graphicData>
            </a:graphic>
          </wp:inline>
        </w:drawing>
      </w:r>
    </w:p>
    <w:p w14:paraId="71BA3D00" w14:textId="30AD0CD7" w:rsidR="00C00AEA" w:rsidRPr="00CE2DC0" w:rsidRDefault="00C00AEA" w:rsidP="00CE2DC0">
      <w:pPr>
        <w:pStyle w:val="NormalWeb"/>
        <w:spacing w:line="480" w:lineRule="auto"/>
        <w:jc w:val="both"/>
      </w:pPr>
    </w:p>
    <w:sectPr w:rsidR="00C00AEA" w:rsidRPr="00CE2DC0" w:rsidSect="00E7451B">
      <w:headerReference w:type="even" r:id="rId25"/>
      <w:headerReference w:type="default" r:id="rId26"/>
      <w:footerReference w:type="default" r:id="rId27"/>
      <w:headerReference w:type="first" r:id="rId28"/>
      <w:pgSz w:w="12242" w:h="15842"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F004" w14:textId="77777777" w:rsidR="00E37BD5" w:rsidRDefault="00E37BD5" w:rsidP="005276AD">
      <w:r>
        <w:separator/>
      </w:r>
    </w:p>
  </w:endnote>
  <w:endnote w:type="continuationSeparator" w:id="0">
    <w:p w14:paraId="7123006D" w14:textId="77777777" w:rsidR="00E37BD5" w:rsidRDefault="00E37BD5" w:rsidP="0052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792076"/>
      <w:docPartObj>
        <w:docPartGallery w:val="Page Numbers (Bottom of Page)"/>
        <w:docPartUnique/>
      </w:docPartObj>
    </w:sdtPr>
    <w:sdtEndPr/>
    <w:sdtContent>
      <w:p w14:paraId="172C8D66" w14:textId="0571D986" w:rsidR="00983C1A" w:rsidRDefault="00983C1A">
        <w:pPr>
          <w:pStyle w:val="Piedepgina"/>
          <w:jc w:val="right"/>
        </w:pPr>
        <w:r>
          <w:fldChar w:fldCharType="begin"/>
        </w:r>
        <w:r>
          <w:instrText>PAGE   \* MERGEFORMAT</w:instrText>
        </w:r>
        <w:r>
          <w:fldChar w:fldCharType="separate"/>
        </w:r>
        <w:r w:rsidR="00CA5A92" w:rsidRPr="00CA5A92">
          <w:rPr>
            <w:noProof/>
            <w:lang w:val="es-ES"/>
          </w:rPr>
          <w:t>33</w:t>
        </w:r>
        <w:r>
          <w:fldChar w:fldCharType="end"/>
        </w:r>
      </w:p>
    </w:sdtContent>
  </w:sdt>
  <w:p w14:paraId="19840936" w14:textId="77777777" w:rsidR="00983C1A" w:rsidRDefault="00983C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72DA0" w14:textId="77777777" w:rsidR="00E37BD5" w:rsidRDefault="00E37BD5" w:rsidP="005276AD">
      <w:r>
        <w:separator/>
      </w:r>
    </w:p>
  </w:footnote>
  <w:footnote w:type="continuationSeparator" w:id="0">
    <w:p w14:paraId="6F09890D" w14:textId="77777777" w:rsidR="00E37BD5" w:rsidRDefault="00E37BD5" w:rsidP="005276AD">
      <w:r>
        <w:continuationSeparator/>
      </w:r>
    </w:p>
  </w:footnote>
  <w:footnote w:id="1">
    <w:p w14:paraId="3BC52765" w14:textId="77777777" w:rsidR="00983C1A" w:rsidRDefault="00983C1A" w:rsidP="00CF1A29">
      <w:pPr>
        <w:jc w:val="both"/>
        <w:rPr>
          <w:sz w:val="20"/>
          <w:szCs w:val="20"/>
        </w:rPr>
      </w:pPr>
      <w:r w:rsidRPr="0099220F">
        <w:rPr>
          <w:vertAlign w:val="superscript"/>
        </w:rPr>
        <w:footnoteRef/>
      </w:r>
      <w:r w:rsidRPr="0099220F">
        <w:rPr>
          <w:sz w:val="20"/>
          <w:szCs w:val="20"/>
        </w:rPr>
        <w:t xml:space="preserve"> </w:t>
      </w:r>
      <w:r w:rsidRPr="0099220F">
        <w:rPr>
          <w:sz w:val="18"/>
          <w:szCs w:val="18"/>
        </w:rPr>
        <w:t xml:space="preserve">Se toma como referencia el Anexo VI: Límites establecidos para los parámetros químicos de los barros, de la Ley Nacional de Residuos Peligrosos </w:t>
      </w:r>
      <w:proofErr w:type="spellStart"/>
      <w:r w:rsidRPr="0099220F">
        <w:rPr>
          <w:sz w:val="18"/>
          <w:szCs w:val="18"/>
        </w:rPr>
        <w:t>Nº</w:t>
      </w:r>
      <w:proofErr w:type="spellEnd"/>
      <w:r w:rsidRPr="0099220F">
        <w:rPr>
          <w:sz w:val="18"/>
          <w:szCs w:val="18"/>
        </w:rPr>
        <w:t xml:space="preserve"> 24051 (Argentina), </w:t>
      </w:r>
      <w:proofErr w:type="spellStart"/>
      <w:r w:rsidRPr="0099220F">
        <w:rPr>
          <w:sz w:val="18"/>
          <w:szCs w:val="18"/>
        </w:rPr>
        <w:t>Dec</w:t>
      </w:r>
      <w:proofErr w:type="spellEnd"/>
      <w:r w:rsidRPr="0099220F">
        <w:rPr>
          <w:sz w:val="18"/>
          <w:szCs w:val="18"/>
        </w:rPr>
        <w:t xml:space="preserve">. Reg. </w:t>
      </w:r>
      <w:proofErr w:type="spellStart"/>
      <w:r w:rsidRPr="0099220F">
        <w:rPr>
          <w:sz w:val="18"/>
          <w:szCs w:val="18"/>
        </w:rPr>
        <w:t>Nº</w:t>
      </w:r>
      <w:proofErr w:type="spellEnd"/>
      <w:r w:rsidRPr="0099220F">
        <w:rPr>
          <w:sz w:val="18"/>
          <w:szCs w:val="18"/>
        </w:rPr>
        <w:t xml:space="preserve"> 831/93.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F402" w14:textId="288D510A" w:rsidR="00983C1A" w:rsidRDefault="00983C1A">
    <w:pPr>
      <w:pStyle w:val="Encabezado"/>
    </w:pPr>
    <w:r>
      <w:rPr>
        <w:noProof/>
        <w:lang w:eastAsia="es-AR"/>
      </w:rPr>
      <mc:AlternateContent>
        <mc:Choice Requires="wps">
          <w:drawing>
            <wp:anchor distT="0" distB="0" distL="114300" distR="114300" simplePos="0" relativeHeight="251658241" behindDoc="1" locked="0" layoutInCell="0" allowOverlap="1" wp14:anchorId="068B4972" wp14:editId="1BCFE6D3">
              <wp:simplePos x="0" y="0"/>
              <wp:positionH relativeFrom="margin">
                <wp:align>center</wp:align>
              </wp:positionH>
              <wp:positionV relativeFrom="margin">
                <wp:align>center</wp:align>
              </wp:positionV>
              <wp:extent cx="7121525" cy="791210"/>
              <wp:effectExtent l="0" t="0" r="0" b="0"/>
              <wp:wrapNone/>
              <wp:docPr id="1594904174" name="PowerPlusWaterMarkObject2856791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1525" cy="79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35C62" w14:textId="77777777" w:rsidR="00983C1A" w:rsidRDefault="00983C1A"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68B4972" id="_x0000_t202" coordsize="21600,21600" o:spt="202" path="m,l,21600r21600,l21600,xe">
              <v:stroke joinstyle="miter"/>
              <v:path gradientshapeok="t" o:connecttype="rect"/>
            </v:shapetype>
            <v:shape id="PowerPlusWaterMarkObject285679172" o:spid="_x0000_s1026" type="#_x0000_t202" style="position:absolute;margin-left:0;margin-top:0;width:560.75pt;height:62.3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uBGQIAAB0EAAAOAAAAZHJzL2Uyb0RvYy54bWysU01z2yAUvHem/4Hh3sj2jJtEYznjJm16&#10;SFtP407OGJBFKnj0gS05v74PLNv9uHWqAwMPtOzuW2Y3vW3ZTmMw4Co+vhhxpp0EZdym4t9WH95c&#10;cRaicEq04HTF9zrwm/nrV7POl3oCDbRKIyMQF8rOV7yJ0ZdFEWSjrQgX4LWjzRrQikhL3BQKRUfo&#10;ti0mo9HbogNUHkHqEKh6d9jk84xf11rGL3UddGRtxYlbzCPmcZ3GYj4T5QaFb4wcaIh/YGGFcXTp&#10;CepORMG2aP6CskYiBKjjhQRbQF0bqbMGUjMe/aHmsRFeZy1kTvAnm8L/g5Wfd49+iSz276CnBmYR&#10;wT+A/B6Yg3uknow5zb4CeZdnt41wG70Insw9bupgXqi7ef+9MnEJxkWimQsL9bwN8SOFoNXH2gCC&#10;CF2jhfq9nHWv9v6IuNJ9TKgJjxpWdD6UA/HU6FCGJGHdfQJFv4hthCyjr9EyzLyvrkfpy2UynZFU&#10;SsP+lAC6gEkqXo4n4+lkypmkvctrWuWIFKJMYKnBHkO812BZmlQcyYSMKnYPISZy5yMD00TuQDP2&#10;656OJMZrUHvi3FHyKh5+bAVqcnlrb4GCSq7VCPaJor3ArPp486p/EuiHuyOxXrbH5GUCOYKKOWGT&#10;EeqZgGxLgd6Jlk2zAweKw+GB7AE1/etgQe7VJis58xyUUAazwOG9pJD/us6nzq96/hMAAP//AwBQ&#10;SwMEFAAGAAgAAAAhAEUmq6HdAAAABgEAAA8AAABkcnMvZG93bnJldi54bWxMjzFvwjAQhfdK/Q/W&#10;VepSFSdRQVWIgwoSU1mgDB1NfCQR8TnEDqT99RwssJze6Z3e+y6bDbYRJ+x87UhBPIpAIBXO1FQq&#10;2P4s3z9B+KDJ6MYRKvhDD7P8+SnTqXFnWuNpE0rBIeRTraAKoU2l9EWFVvuRa5HY27vO6sBrV0rT&#10;6TOH20YmUTSRVtfEDZVucVFhcdj0VkG5/z32x7fV4nu5HQp0q/n/uJ4r9foyfE1BBBzC/Riu+IwO&#10;OTPtXE/Gi0YBPxJu8+rFSTwGsWOVfExA5pl8xM8vAAAA//8DAFBLAQItABQABgAIAAAAIQC2gziS&#10;/gAAAOEBAAATAAAAAAAAAAAAAAAAAAAAAABbQ29udGVudF9UeXBlc10ueG1sUEsBAi0AFAAGAAgA&#10;AAAhADj9If/WAAAAlAEAAAsAAAAAAAAAAAAAAAAALwEAAF9yZWxzLy5yZWxzUEsBAi0AFAAGAAgA&#10;AAAhAME0K4EZAgAAHQQAAA4AAAAAAAAAAAAAAAAALgIAAGRycy9lMm9Eb2MueG1sUEsBAi0AFAAG&#10;AAgAAAAhAEUmq6HdAAAABgEAAA8AAAAAAAAAAAAAAAAAcwQAAGRycy9kb3ducmV2LnhtbFBLBQYA&#10;AAAABAAEAPMAAAB9BQAAAAA=&#10;" o:allowincell="f" filled="f" stroked="f">
              <v:stroke joinstyle="round"/>
              <o:lock v:ext="edit" rotation="t" aspectratio="t" verticies="t" adjusthandles="t" grouping="t" shapetype="t"/>
              <v:textbox>
                <w:txbxContent>
                  <w:p w14:paraId="21C35C62" w14:textId="77777777" w:rsidR="003003C3" w:rsidRDefault="003003C3"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1494" w14:textId="5B6F2486" w:rsidR="00983C1A" w:rsidRDefault="00983C1A">
    <w:pPr>
      <w:pStyle w:val="Encabezado"/>
    </w:pPr>
    <w:r>
      <w:rPr>
        <w:noProof/>
        <w:lang w:eastAsia="es-AR"/>
      </w:rPr>
      <mc:AlternateContent>
        <mc:Choice Requires="wps">
          <w:drawing>
            <wp:anchor distT="0" distB="0" distL="114300" distR="114300" simplePos="0" relativeHeight="251658242" behindDoc="1" locked="0" layoutInCell="0" allowOverlap="1" wp14:anchorId="7D69B5C4" wp14:editId="11D6FC9B">
              <wp:simplePos x="0" y="0"/>
              <wp:positionH relativeFrom="margin">
                <wp:align>center</wp:align>
              </wp:positionH>
              <wp:positionV relativeFrom="margin">
                <wp:align>center</wp:align>
              </wp:positionV>
              <wp:extent cx="7121525" cy="791210"/>
              <wp:effectExtent l="0" t="0" r="0" b="0"/>
              <wp:wrapNone/>
              <wp:docPr id="1141019364" name="PowerPlusWaterMarkObject2856791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1525" cy="79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81FB1" w14:textId="77777777" w:rsidR="00983C1A" w:rsidRDefault="00983C1A"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D69B5C4" id="_x0000_t202" coordsize="21600,21600" o:spt="202" path="m,l,21600r21600,l21600,xe">
              <v:stroke joinstyle="miter"/>
              <v:path gradientshapeok="t" o:connecttype="rect"/>
            </v:shapetype>
            <v:shape id="PowerPlusWaterMarkObject285679173" o:spid="_x0000_s1027" type="#_x0000_t202" style="position:absolute;margin-left:0;margin-top:0;width:560.75pt;height:62.3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5/HAIAACQEAAAOAAAAZHJzL2Uyb0RvYy54bWysU8tu2zAQvBfoPxC8N7INuEkEy4GbtOkh&#10;bY3GRc40SVlMRS7LpS05X98lLdt93IrqQJC71GhmdjS76W3LdjqgAVfx8cWIM+0kKOM2Ff+2+vDm&#10;ijOMwinRgtMV32vkN/PXr2adL/UEGmiVDoxAHJadr3gToy+LAmWjrcAL8NpRs4ZgRaRj2BQqiI7Q&#10;bVtMRqO3RQdB+QBSI1L17tDk84xf11rGL3WNOrK24sQt5jXkdZ3WYj4T5SYI3xg50BD/wMIK4+ij&#10;J6g7EQXbBvMXlDUyAEIdLyTYAuraSJ01kJrx6A81j43wOmshc9CfbML/Bys/7x79MrDYv4OeBphF&#10;oH8A+R2Zg/tAMxlz2n0F8i7vbhvhNnqBnsw9NjWaF5pu7r9XJi7BuEg0c2GhnrcYP1IIWn2sDSAh&#10;QNdooX4vZ92rvT8irnQfE2rCo4EVncdyIJ4GjSUmCevuEyh6RWwjZBl9HSwLmffV9Sg9uUymM5JK&#10;adifEkAfYJKKl+PJeDqZciapd3lNpxyRQpQJLA3YB4z3GixLm4oHMiGjit0DxkTufGVgmsgdaMZ+&#10;3TOjBhmJ+BrUnqh3FMCK44+tCJrM3tpboLySeXUA+0QJX4Qs/khg1T+J4AcKkcgv22MAM4+cRMWc&#10;sMkP9UxAtqVc70TLptmIA9Ph8sD5gJredbAgE2uTBZ15DoIoilnn8NukrP96zrfOP/f8JwAAAP//&#10;AwBQSwMEFAAGAAgAAAAhAEUmq6HdAAAABgEAAA8AAABkcnMvZG93bnJldi54bWxMjzFvwjAQhfdK&#10;/Q/WVepSFSdRQVWIgwoSU1mgDB1NfCQR8TnEDqT99RwssJze6Z3e+y6bDbYRJ+x87UhBPIpAIBXO&#10;1FQq2P4s3z9B+KDJ6MYRKvhDD7P8+SnTqXFnWuNpE0rBIeRTraAKoU2l9EWFVvuRa5HY27vO6sBr&#10;V0rT6TOH20YmUTSRVtfEDZVucVFhcdj0VkG5/z32x7fV4nu5HQp0q/n/uJ4r9foyfE1BBBzC/Riu&#10;+IwOOTPtXE/Gi0YBPxJu8+rFSTwGsWOVfExA5pl8xM8vAAAA//8DAFBLAQItABQABgAIAAAAIQC2&#10;gziS/gAAAOEBAAATAAAAAAAAAAAAAAAAAAAAAABbQ29udGVudF9UeXBlc10ueG1sUEsBAi0AFAAG&#10;AAgAAAAhADj9If/WAAAAlAEAAAsAAAAAAAAAAAAAAAAALwEAAF9yZWxzLy5yZWxzUEsBAi0AFAAG&#10;AAgAAAAhAH1gLn8cAgAAJAQAAA4AAAAAAAAAAAAAAAAALgIAAGRycy9lMm9Eb2MueG1sUEsBAi0A&#10;FAAGAAgAAAAhAEUmq6HdAAAABgEAAA8AAAAAAAAAAAAAAAAAdgQAAGRycy9kb3ducmV2LnhtbFBL&#10;BQYAAAAABAAEAPMAAACABQAAAAA=&#10;" o:allowincell="f" filled="f" stroked="f">
              <v:stroke joinstyle="round"/>
              <o:lock v:ext="edit" rotation="t" aspectratio="t" verticies="t" adjusthandles="t" grouping="t" shapetype="t"/>
              <v:textbox>
                <w:txbxContent>
                  <w:p w14:paraId="03581FB1" w14:textId="77777777" w:rsidR="003003C3" w:rsidRDefault="003003C3"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3D4B" w14:textId="15DC3239" w:rsidR="00983C1A" w:rsidRDefault="00983C1A">
    <w:pPr>
      <w:pStyle w:val="Encabezado"/>
    </w:pPr>
    <w:r>
      <w:rPr>
        <w:noProof/>
        <w:lang w:eastAsia="es-AR"/>
      </w:rPr>
      <mc:AlternateContent>
        <mc:Choice Requires="wps">
          <w:drawing>
            <wp:anchor distT="0" distB="0" distL="114300" distR="114300" simplePos="0" relativeHeight="251658240" behindDoc="1" locked="0" layoutInCell="0" allowOverlap="1" wp14:anchorId="2EABF4D4" wp14:editId="7FA57283">
              <wp:simplePos x="0" y="0"/>
              <wp:positionH relativeFrom="margin">
                <wp:align>center</wp:align>
              </wp:positionH>
              <wp:positionV relativeFrom="margin">
                <wp:align>center</wp:align>
              </wp:positionV>
              <wp:extent cx="7121525" cy="791210"/>
              <wp:effectExtent l="0" t="0" r="0" b="0"/>
              <wp:wrapNone/>
              <wp:docPr id="795764024" name="PowerPlusWaterMarkObject2856791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1525" cy="79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83031" w14:textId="77777777" w:rsidR="00983C1A" w:rsidRDefault="00983C1A"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EABF4D4" id="_x0000_t202" coordsize="21600,21600" o:spt="202" path="m,l,21600r21600,l21600,xe">
              <v:stroke joinstyle="miter"/>
              <v:path gradientshapeok="t" o:connecttype="rect"/>
            </v:shapetype>
            <v:shape id="PowerPlusWaterMarkObject285679171" o:spid="_x0000_s1028" type="#_x0000_t202" style="position:absolute;margin-left:0;margin-top:0;width:560.75pt;height:62.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2fHgIAACQEAAAOAAAAZHJzL2Uyb0RvYy54bWysU8tu2zAQvBfoPxC8N7INuEkEy4GbtOkh&#10;bY3GRc40SVlMRS67pC05X98lLdt93IrqQJC71GhmdjS76W3LdhqDAVfx8cWIM+0kKOM2Ff+2+vDm&#10;irMQhVOiBacrvteB38xfv5p1vtQTaKBVGhmBuFB2vuJNjL4siiAbbUW4AK8dNWtAKyIdcVMoFB2h&#10;27aYjEZviw5QeQSpQ6Dq3aHJ5xm/rrWMX+o66MjaihO3mFfM6zqtxXwmyg0K3xg50BD/wMIK4+ij&#10;J6g7EQXbovkLyhqJEKCOFxJsAXVtpM4aSM149Ieax0Z4nbWQOcGfbAr/D1Z+3j36JbLYv4OeBphF&#10;BP8A8ntgDu6RZjLmtPsK5F3e3TbCbfQieDL32NTBvNB0c/+9MnEJxkWimQsL9bwN8SOFoNXH2gCC&#10;CF2jhfq9nHWv9v6IuNJ9TKgJjwZWdD6UA/E06FCGJGHdfQJFr4hthCyjr9EyzLyvrkfpyWUynZFU&#10;SsP+lAD6AJNUvBxPxtPJlDNJvctrOuWIFKJMYGnAHkO812BZ2lQcyYSMKnYPISZy5ysD00TuQDP2&#10;654ZVfFJkpGIr0HtiXpHAax4+LEVqMnsrb0FyiuZVyPYJ0r4ArP4I4FV/yTQDxQikV+2xwBmHjmJ&#10;ijlhkx/qmYBsS7neiZZNsxEHpsPlgfMBNb3rYEEm1iYLOvMcBFEUs87ht0lZ//Wcb51/7vlPAAAA&#10;//8DAFBLAwQUAAYACAAAACEARSarod0AAAAGAQAADwAAAGRycy9kb3ducmV2LnhtbEyPMW/CMBCF&#10;90r9D9ZV6lIVJ1FBVYiDChJTWaAMHU18JBHxOcQOpP31HCywnN7pnd77LpsNthEn7HztSEE8ikAg&#10;Fc7UVCrY/izfP0H4oMnoxhEq+EMPs/z5KdOpcWda42kTSsEh5FOtoAqhTaX0RYVW+5Frkdjbu87q&#10;wGtXStPpM4fbRiZRNJFW18QNlW5xUWFx2PRWQbn/PfbHt9Xie7kdCnSr+f+4niv1+jJ8TUEEHML9&#10;GK74jA45M+1cT8aLRgE/Em7z6sVJPAaxY5V8TEDmmXzEzy8AAAD//wMAUEsBAi0AFAAGAAgAAAAh&#10;ALaDOJL+AAAA4QEAABMAAAAAAAAAAAAAAAAAAAAAAFtDb250ZW50X1R5cGVzXS54bWxQSwECLQAU&#10;AAYACAAAACEAOP0h/9YAAACUAQAACwAAAAAAAAAAAAAAAAAvAQAAX3JlbHMvLnJlbHNQSwECLQAU&#10;AAYACAAAACEAwYVtnx4CAAAkBAAADgAAAAAAAAAAAAAAAAAuAgAAZHJzL2Uyb0RvYy54bWxQSwEC&#10;LQAUAAYACAAAACEARSarod0AAAAGAQAADwAAAAAAAAAAAAAAAAB4BAAAZHJzL2Rvd25yZXYueG1s&#10;UEsFBgAAAAAEAAQA8wAAAIIFAAAAAA==&#10;" o:allowincell="f" filled="f" stroked="f">
              <v:stroke joinstyle="round"/>
              <o:lock v:ext="edit" rotation="t" aspectratio="t" verticies="t" adjusthandles="t" grouping="t" shapetype="t"/>
              <v:textbox>
                <w:txbxContent>
                  <w:p w14:paraId="28183031" w14:textId="77777777" w:rsidR="003003C3" w:rsidRDefault="003003C3" w:rsidP="00944C36">
                    <w:pPr>
                      <w:jc w:val="center"/>
                      <w:rPr>
                        <w:color w:val="C0C0C0"/>
                        <w:sz w:val="16"/>
                        <w:szCs w:val="16"/>
                        <w:lang w:val="es-MX"/>
                        <w14:textFill>
                          <w14:solidFill>
                            <w14:srgbClr w14:val="C0C0C0">
                              <w14:alpha w14:val="50000"/>
                            </w14:srgbClr>
                          </w14:solidFill>
                        </w14:textFill>
                      </w:rPr>
                    </w:pPr>
                    <w:r>
                      <w:rPr>
                        <w:color w:val="C0C0C0"/>
                        <w:sz w:val="16"/>
                        <w:szCs w:val="16"/>
                        <w:lang w:val="es-MX"/>
                        <w14:textFill>
                          <w14:solidFill>
                            <w14:srgbClr w14:val="C0C0C0">
                              <w14:alpha w14:val="50000"/>
                            </w14:srgbClr>
                          </w14:solidFill>
                        </w14:textFill>
                      </w:rPr>
                      <w:t>VERSIÓN ANTICIPADA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36339"/>
    <w:multiLevelType w:val="multilevel"/>
    <w:tmpl w:val="C0C2626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50556"/>
    <w:multiLevelType w:val="multilevel"/>
    <w:tmpl w:val="37A4FC16"/>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E23C7A"/>
    <w:multiLevelType w:val="multilevel"/>
    <w:tmpl w:val="C1682A7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E420EF"/>
    <w:multiLevelType w:val="hybridMultilevel"/>
    <w:tmpl w:val="5F2CAF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F012B60"/>
    <w:multiLevelType w:val="multilevel"/>
    <w:tmpl w:val="964090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400FE8"/>
    <w:multiLevelType w:val="multilevel"/>
    <w:tmpl w:val="C9125FC8"/>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1743CB"/>
    <w:multiLevelType w:val="hybridMultilevel"/>
    <w:tmpl w:val="D50CAD3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9F37ADC"/>
    <w:multiLevelType w:val="multilevel"/>
    <w:tmpl w:val="3CC84C80"/>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A03D91"/>
    <w:multiLevelType w:val="multilevel"/>
    <w:tmpl w:val="6E2648A2"/>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8"/>
  </w:num>
  <w:num w:numId="4">
    <w:abstractNumId w:val="0"/>
  </w:num>
  <w:num w:numId="5">
    <w:abstractNumId w:val="7"/>
  </w:num>
  <w:num w:numId="6">
    <w:abstractNumId w:val="5"/>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35E"/>
    <w:rsid w:val="00005DDC"/>
    <w:rsid w:val="00005F74"/>
    <w:rsid w:val="00006162"/>
    <w:rsid w:val="00007328"/>
    <w:rsid w:val="00012349"/>
    <w:rsid w:val="00013736"/>
    <w:rsid w:val="00016507"/>
    <w:rsid w:val="00016A39"/>
    <w:rsid w:val="00017F33"/>
    <w:rsid w:val="0002026A"/>
    <w:rsid w:val="000215FB"/>
    <w:rsid w:val="00022A9F"/>
    <w:rsid w:val="00023FF8"/>
    <w:rsid w:val="00024E7D"/>
    <w:rsid w:val="00025511"/>
    <w:rsid w:val="0002578D"/>
    <w:rsid w:val="00025950"/>
    <w:rsid w:val="00027900"/>
    <w:rsid w:val="00031078"/>
    <w:rsid w:val="000322F1"/>
    <w:rsid w:val="00032E02"/>
    <w:rsid w:val="0003486E"/>
    <w:rsid w:val="00034F8F"/>
    <w:rsid w:val="000357FB"/>
    <w:rsid w:val="00042878"/>
    <w:rsid w:val="00042E40"/>
    <w:rsid w:val="000472E3"/>
    <w:rsid w:val="00047352"/>
    <w:rsid w:val="00051A68"/>
    <w:rsid w:val="00052260"/>
    <w:rsid w:val="00054360"/>
    <w:rsid w:val="00060A24"/>
    <w:rsid w:val="00061106"/>
    <w:rsid w:val="0006289C"/>
    <w:rsid w:val="000634C5"/>
    <w:rsid w:val="00065A7A"/>
    <w:rsid w:val="00071407"/>
    <w:rsid w:val="0007263D"/>
    <w:rsid w:val="00073170"/>
    <w:rsid w:val="00080A2A"/>
    <w:rsid w:val="000817CE"/>
    <w:rsid w:val="00081865"/>
    <w:rsid w:val="00081D21"/>
    <w:rsid w:val="00082245"/>
    <w:rsid w:val="0008454D"/>
    <w:rsid w:val="00084FB3"/>
    <w:rsid w:val="0008602E"/>
    <w:rsid w:val="00087A97"/>
    <w:rsid w:val="000901EB"/>
    <w:rsid w:val="00090B72"/>
    <w:rsid w:val="00091F7E"/>
    <w:rsid w:val="000943EF"/>
    <w:rsid w:val="0009514B"/>
    <w:rsid w:val="00095F0E"/>
    <w:rsid w:val="0009663C"/>
    <w:rsid w:val="00097178"/>
    <w:rsid w:val="00097422"/>
    <w:rsid w:val="0009747D"/>
    <w:rsid w:val="00097BF3"/>
    <w:rsid w:val="000A1723"/>
    <w:rsid w:val="000A2005"/>
    <w:rsid w:val="000A21E2"/>
    <w:rsid w:val="000A49F2"/>
    <w:rsid w:val="000A7BD7"/>
    <w:rsid w:val="000B0191"/>
    <w:rsid w:val="000B0FED"/>
    <w:rsid w:val="000B3725"/>
    <w:rsid w:val="000B3854"/>
    <w:rsid w:val="000B5F04"/>
    <w:rsid w:val="000B626A"/>
    <w:rsid w:val="000B79D4"/>
    <w:rsid w:val="000C2A39"/>
    <w:rsid w:val="000C3330"/>
    <w:rsid w:val="000C3EBE"/>
    <w:rsid w:val="000C575D"/>
    <w:rsid w:val="000C5795"/>
    <w:rsid w:val="000C691B"/>
    <w:rsid w:val="000C6982"/>
    <w:rsid w:val="000D58A3"/>
    <w:rsid w:val="000D6C96"/>
    <w:rsid w:val="000E1167"/>
    <w:rsid w:val="000E15B0"/>
    <w:rsid w:val="000E25B7"/>
    <w:rsid w:val="000E4940"/>
    <w:rsid w:val="000E50CE"/>
    <w:rsid w:val="000E5A8B"/>
    <w:rsid w:val="000E6D21"/>
    <w:rsid w:val="000F0FC0"/>
    <w:rsid w:val="000F15E2"/>
    <w:rsid w:val="000F1727"/>
    <w:rsid w:val="000F3545"/>
    <w:rsid w:val="000F357A"/>
    <w:rsid w:val="00100F84"/>
    <w:rsid w:val="00106C2B"/>
    <w:rsid w:val="001128C7"/>
    <w:rsid w:val="00120D67"/>
    <w:rsid w:val="00123C6A"/>
    <w:rsid w:val="00126CB5"/>
    <w:rsid w:val="001303F3"/>
    <w:rsid w:val="001316E8"/>
    <w:rsid w:val="001349CC"/>
    <w:rsid w:val="0013539D"/>
    <w:rsid w:val="001356F3"/>
    <w:rsid w:val="0013688A"/>
    <w:rsid w:val="0013745A"/>
    <w:rsid w:val="00137982"/>
    <w:rsid w:val="00142591"/>
    <w:rsid w:val="00142861"/>
    <w:rsid w:val="00143115"/>
    <w:rsid w:val="001437C5"/>
    <w:rsid w:val="001438F6"/>
    <w:rsid w:val="00143A1E"/>
    <w:rsid w:val="00146E81"/>
    <w:rsid w:val="00153277"/>
    <w:rsid w:val="00153533"/>
    <w:rsid w:val="00154C12"/>
    <w:rsid w:val="0015758B"/>
    <w:rsid w:val="00157D20"/>
    <w:rsid w:val="00157FAA"/>
    <w:rsid w:val="001616F1"/>
    <w:rsid w:val="00161C9A"/>
    <w:rsid w:val="00162511"/>
    <w:rsid w:val="00163465"/>
    <w:rsid w:val="00164ADE"/>
    <w:rsid w:val="0016500E"/>
    <w:rsid w:val="00165AD3"/>
    <w:rsid w:val="00167E68"/>
    <w:rsid w:val="00167F9E"/>
    <w:rsid w:val="00171EEA"/>
    <w:rsid w:val="00171FBF"/>
    <w:rsid w:val="0017255F"/>
    <w:rsid w:val="001732AF"/>
    <w:rsid w:val="00173F5D"/>
    <w:rsid w:val="00177862"/>
    <w:rsid w:val="00177C95"/>
    <w:rsid w:val="00180FF8"/>
    <w:rsid w:val="001858D8"/>
    <w:rsid w:val="00190AF7"/>
    <w:rsid w:val="00190D82"/>
    <w:rsid w:val="00191BF4"/>
    <w:rsid w:val="00191C6C"/>
    <w:rsid w:val="00192EB2"/>
    <w:rsid w:val="001968EC"/>
    <w:rsid w:val="00197E80"/>
    <w:rsid w:val="001A025F"/>
    <w:rsid w:val="001A03BB"/>
    <w:rsid w:val="001A2F75"/>
    <w:rsid w:val="001A377F"/>
    <w:rsid w:val="001A5251"/>
    <w:rsid w:val="001A60A3"/>
    <w:rsid w:val="001A7223"/>
    <w:rsid w:val="001A7C31"/>
    <w:rsid w:val="001B044C"/>
    <w:rsid w:val="001B09A8"/>
    <w:rsid w:val="001B0E37"/>
    <w:rsid w:val="001B1824"/>
    <w:rsid w:val="001B3100"/>
    <w:rsid w:val="001B5348"/>
    <w:rsid w:val="001C06B1"/>
    <w:rsid w:val="001C1E47"/>
    <w:rsid w:val="001C472B"/>
    <w:rsid w:val="001C4D8E"/>
    <w:rsid w:val="001C7C14"/>
    <w:rsid w:val="001D0092"/>
    <w:rsid w:val="001D17EF"/>
    <w:rsid w:val="001D334F"/>
    <w:rsid w:val="001D3D67"/>
    <w:rsid w:val="001D4867"/>
    <w:rsid w:val="001D52EC"/>
    <w:rsid w:val="001D6E20"/>
    <w:rsid w:val="001D7286"/>
    <w:rsid w:val="001E24CA"/>
    <w:rsid w:val="001E35AD"/>
    <w:rsid w:val="001E3A93"/>
    <w:rsid w:val="001E6166"/>
    <w:rsid w:val="001E634B"/>
    <w:rsid w:val="001E707C"/>
    <w:rsid w:val="001F0425"/>
    <w:rsid w:val="001F05A6"/>
    <w:rsid w:val="001F0C50"/>
    <w:rsid w:val="001F31A3"/>
    <w:rsid w:val="001F4638"/>
    <w:rsid w:val="001F63E8"/>
    <w:rsid w:val="001F6BD4"/>
    <w:rsid w:val="00200B70"/>
    <w:rsid w:val="0020148A"/>
    <w:rsid w:val="0020549A"/>
    <w:rsid w:val="00206047"/>
    <w:rsid w:val="0021711E"/>
    <w:rsid w:val="00220AF9"/>
    <w:rsid w:val="002214E4"/>
    <w:rsid w:val="00221507"/>
    <w:rsid w:val="0022169B"/>
    <w:rsid w:val="00222660"/>
    <w:rsid w:val="002300EC"/>
    <w:rsid w:val="00230D49"/>
    <w:rsid w:val="002317E1"/>
    <w:rsid w:val="00231D4A"/>
    <w:rsid w:val="002324F1"/>
    <w:rsid w:val="00233067"/>
    <w:rsid w:val="002339D1"/>
    <w:rsid w:val="002353C7"/>
    <w:rsid w:val="00235FBC"/>
    <w:rsid w:val="002364E0"/>
    <w:rsid w:val="00237CFB"/>
    <w:rsid w:val="00240874"/>
    <w:rsid w:val="00241F47"/>
    <w:rsid w:val="00242FFA"/>
    <w:rsid w:val="00244D77"/>
    <w:rsid w:val="00244E70"/>
    <w:rsid w:val="00244F8C"/>
    <w:rsid w:val="00245233"/>
    <w:rsid w:val="00247638"/>
    <w:rsid w:val="00247C78"/>
    <w:rsid w:val="00250D21"/>
    <w:rsid w:val="00251722"/>
    <w:rsid w:val="00252A8B"/>
    <w:rsid w:val="00252D04"/>
    <w:rsid w:val="00256CA7"/>
    <w:rsid w:val="00257D1A"/>
    <w:rsid w:val="00261537"/>
    <w:rsid w:val="00262E46"/>
    <w:rsid w:val="00264AD7"/>
    <w:rsid w:val="00267332"/>
    <w:rsid w:val="00267E87"/>
    <w:rsid w:val="00271BAA"/>
    <w:rsid w:val="00272403"/>
    <w:rsid w:val="00281F51"/>
    <w:rsid w:val="00282D45"/>
    <w:rsid w:val="00283087"/>
    <w:rsid w:val="00286330"/>
    <w:rsid w:val="002870BA"/>
    <w:rsid w:val="00287854"/>
    <w:rsid w:val="00291468"/>
    <w:rsid w:val="002933FE"/>
    <w:rsid w:val="002936A7"/>
    <w:rsid w:val="00293CCD"/>
    <w:rsid w:val="00295626"/>
    <w:rsid w:val="00295D1A"/>
    <w:rsid w:val="0029738B"/>
    <w:rsid w:val="002977D6"/>
    <w:rsid w:val="002A100F"/>
    <w:rsid w:val="002A174A"/>
    <w:rsid w:val="002A35BF"/>
    <w:rsid w:val="002A43C8"/>
    <w:rsid w:val="002A5BA5"/>
    <w:rsid w:val="002A5CFC"/>
    <w:rsid w:val="002A5E75"/>
    <w:rsid w:val="002B0D59"/>
    <w:rsid w:val="002B22AB"/>
    <w:rsid w:val="002B49C0"/>
    <w:rsid w:val="002B4DEB"/>
    <w:rsid w:val="002B5DB8"/>
    <w:rsid w:val="002B642C"/>
    <w:rsid w:val="002C06A6"/>
    <w:rsid w:val="002C13B3"/>
    <w:rsid w:val="002C1B39"/>
    <w:rsid w:val="002C25FC"/>
    <w:rsid w:val="002C3455"/>
    <w:rsid w:val="002C55D5"/>
    <w:rsid w:val="002D084E"/>
    <w:rsid w:val="002D25F1"/>
    <w:rsid w:val="002E1CA0"/>
    <w:rsid w:val="002E2318"/>
    <w:rsid w:val="002E42B5"/>
    <w:rsid w:val="002E4382"/>
    <w:rsid w:val="002E5F33"/>
    <w:rsid w:val="002E645C"/>
    <w:rsid w:val="002E66B0"/>
    <w:rsid w:val="002E7001"/>
    <w:rsid w:val="002E713B"/>
    <w:rsid w:val="002E732C"/>
    <w:rsid w:val="002F3C5A"/>
    <w:rsid w:val="002F4371"/>
    <w:rsid w:val="002F513F"/>
    <w:rsid w:val="002F6663"/>
    <w:rsid w:val="002F710F"/>
    <w:rsid w:val="003003C3"/>
    <w:rsid w:val="00302C98"/>
    <w:rsid w:val="0030535C"/>
    <w:rsid w:val="003075B1"/>
    <w:rsid w:val="003079DC"/>
    <w:rsid w:val="0031121B"/>
    <w:rsid w:val="0031122C"/>
    <w:rsid w:val="00311A63"/>
    <w:rsid w:val="00312562"/>
    <w:rsid w:val="003145E3"/>
    <w:rsid w:val="00315BF1"/>
    <w:rsid w:val="003166CF"/>
    <w:rsid w:val="003217E7"/>
    <w:rsid w:val="0032323E"/>
    <w:rsid w:val="00325B62"/>
    <w:rsid w:val="00325F94"/>
    <w:rsid w:val="00327DED"/>
    <w:rsid w:val="00330820"/>
    <w:rsid w:val="00333D4B"/>
    <w:rsid w:val="00334F35"/>
    <w:rsid w:val="00337040"/>
    <w:rsid w:val="003372A3"/>
    <w:rsid w:val="003403F8"/>
    <w:rsid w:val="003409A3"/>
    <w:rsid w:val="00340B14"/>
    <w:rsid w:val="00341265"/>
    <w:rsid w:val="0034176B"/>
    <w:rsid w:val="00341B9E"/>
    <w:rsid w:val="00341C50"/>
    <w:rsid w:val="003421B7"/>
    <w:rsid w:val="00345573"/>
    <w:rsid w:val="00345C8A"/>
    <w:rsid w:val="00353E51"/>
    <w:rsid w:val="003542A9"/>
    <w:rsid w:val="00355025"/>
    <w:rsid w:val="00355783"/>
    <w:rsid w:val="00355E31"/>
    <w:rsid w:val="00357EB6"/>
    <w:rsid w:val="00360727"/>
    <w:rsid w:val="0036172A"/>
    <w:rsid w:val="00362241"/>
    <w:rsid w:val="00362596"/>
    <w:rsid w:val="00363EB0"/>
    <w:rsid w:val="0037174C"/>
    <w:rsid w:val="003718F2"/>
    <w:rsid w:val="0037235E"/>
    <w:rsid w:val="003745E4"/>
    <w:rsid w:val="00375732"/>
    <w:rsid w:val="00375E47"/>
    <w:rsid w:val="003774AD"/>
    <w:rsid w:val="00383122"/>
    <w:rsid w:val="003837B7"/>
    <w:rsid w:val="00383F5A"/>
    <w:rsid w:val="00384B41"/>
    <w:rsid w:val="003854E3"/>
    <w:rsid w:val="0039226F"/>
    <w:rsid w:val="00395D32"/>
    <w:rsid w:val="00397214"/>
    <w:rsid w:val="00397755"/>
    <w:rsid w:val="003A1002"/>
    <w:rsid w:val="003A3EFC"/>
    <w:rsid w:val="003A4153"/>
    <w:rsid w:val="003A47F7"/>
    <w:rsid w:val="003A577B"/>
    <w:rsid w:val="003A62C1"/>
    <w:rsid w:val="003A68C6"/>
    <w:rsid w:val="003A6D12"/>
    <w:rsid w:val="003A7C60"/>
    <w:rsid w:val="003B0020"/>
    <w:rsid w:val="003B541D"/>
    <w:rsid w:val="003B73E1"/>
    <w:rsid w:val="003C0A9A"/>
    <w:rsid w:val="003C3731"/>
    <w:rsid w:val="003D0E22"/>
    <w:rsid w:val="003D42E9"/>
    <w:rsid w:val="003D4665"/>
    <w:rsid w:val="003D68FB"/>
    <w:rsid w:val="003D699C"/>
    <w:rsid w:val="003D6D27"/>
    <w:rsid w:val="003D7298"/>
    <w:rsid w:val="003D7C73"/>
    <w:rsid w:val="003E27B3"/>
    <w:rsid w:val="003E542F"/>
    <w:rsid w:val="003E625D"/>
    <w:rsid w:val="003E7538"/>
    <w:rsid w:val="003F0A2D"/>
    <w:rsid w:val="003F0F49"/>
    <w:rsid w:val="003F1309"/>
    <w:rsid w:val="003F5FEA"/>
    <w:rsid w:val="00400102"/>
    <w:rsid w:val="004011F4"/>
    <w:rsid w:val="00401EFD"/>
    <w:rsid w:val="00403948"/>
    <w:rsid w:val="0040745B"/>
    <w:rsid w:val="00407BD7"/>
    <w:rsid w:val="00410B1F"/>
    <w:rsid w:val="0041198C"/>
    <w:rsid w:val="00413E5B"/>
    <w:rsid w:val="00415511"/>
    <w:rsid w:val="00415571"/>
    <w:rsid w:val="00415AD5"/>
    <w:rsid w:val="00416D70"/>
    <w:rsid w:val="004207DE"/>
    <w:rsid w:val="00421F65"/>
    <w:rsid w:val="0042352A"/>
    <w:rsid w:val="00423581"/>
    <w:rsid w:val="00424902"/>
    <w:rsid w:val="00424DF3"/>
    <w:rsid w:val="00424F5A"/>
    <w:rsid w:val="0042503D"/>
    <w:rsid w:val="00426F77"/>
    <w:rsid w:val="004271FC"/>
    <w:rsid w:val="004313D6"/>
    <w:rsid w:val="00432EEA"/>
    <w:rsid w:val="00433072"/>
    <w:rsid w:val="0043416A"/>
    <w:rsid w:val="00434F8C"/>
    <w:rsid w:val="004360E4"/>
    <w:rsid w:val="00437BD0"/>
    <w:rsid w:val="00440246"/>
    <w:rsid w:val="00442158"/>
    <w:rsid w:val="00444317"/>
    <w:rsid w:val="0044456B"/>
    <w:rsid w:val="00445CE5"/>
    <w:rsid w:val="00445D76"/>
    <w:rsid w:val="004515E0"/>
    <w:rsid w:val="0045440B"/>
    <w:rsid w:val="00457155"/>
    <w:rsid w:val="00460894"/>
    <w:rsid w:val="0046179A"/>
    <w:rsid w:val="00463090"/>
    <w:rsid w:val="00463398"/>
    <w:rsid w:val="0046750A"/>
    <w:rsid w:val="00474222"/>
    <w:rsid w:val="00475402"/>
    <w:rsid w:val="004763F2"/>
    <w:rsid w:val="00476427"/>
    <w:rsid w:val="0048050A"/>
    <w:rsid w:val="00481554"/>
    <w:rsid w:val="00481D62"/>
    <w:rsid w:val="00482700"/>
    <w:rsid w:val="00482DD3"/>
    <w:rsid w:val="00483155"/>
    <w:rsid w:val="0048392E"/>
    <w:rsid w:val="004845D3"/>
    <w:rsid w:val="004858F6"/>
    <w:rsid w:val="004900AF"/>
    <w:rsid w:val="00491E52"/>
    <w:rsid w:val="00494017"/>
    <w:rsid w:val="00494503"/>
    <w:rsid w:val="00494993"/>
    <w:rsid w:val="004959E3"/>
    <w:rsid w:val="00495B1A"/>
    <w:rsid w:val="0049790E"/>
    <w:rsid w:val="004A0854"/>
    <w:rsid w:val="004A0B54"/>
    <w:rsid w:val="004A1133"/>
    <w:rsid w:val="004A2C3C"/>
    <w:rsid w:val="004A648A"/>
    <w:rsid w:val="004A6700"/>
    <w:rsid w:val="004B0F1F"/>
    <w:rsid w:val="004B2114"/>
    <w:rsid w:val="004B23DD"/>
    <w:rsid w:val="004B2680"/>
    <w:rsid w:val="004B31A7"/>
    <w:rsid w:val="004B59CD"/>
    <w:rsid w:val="004C2376"/>
    <w:rsid w:val="004C3368"/>
    <w:rsid w:val="004C3477"/>
    <w:rsid w:val="004C4CF1"/>
    <w:rsid w:val="004C552B"/>
    <w:rsid w:val="004C687F"/>
    <w:rsid w:val="004C73B9"/>
    <w:rsid w:val="004D0393"/>
    <w:rsid w:val="004D386B"/>
    <w:rsid w:val="004D3C84"/>
    <w:rsid w:val="004D5037"/>
    <w:rsid w:val="004D7A0B"/>
    <w:rsid w:val="004E00F7"/>
    <w:rsid w:val="004E065D"/>
    <w:rsid w:val="004E2751"/>
    <w:rsid w:val="004E28EE"/>
    <w:rsid w:val="004E29C6"/>
    <w:rsid w:val="004E3DBB"/>
    <w:rsid w:val="004E4F8B"/>
    <w:rsid w:val="004E5ED2"/>
    <w:rsid w:val="004E653A"/>
    <w:rsid w:val="004E6662"/>
    <w:rsid w:val="004F2F9F"/>
    <w:rsid w:val="004F5170"/>
    <w:rsid w:val="005003DA"/>
    <w:rsid w:val="0050095F"/>
    <w:rsid w:val="00500DD4"/>
    <w:rsid w:val="00504E12"/>
    <w:rsid w:val="005061BD"/>
    <w:rsid w:val="00511481"/>
    <w:rsid w:val="00512DED"/>
    <w:rsid w:val="005130C9"/>
    <w:rsid w:val="00513BF3"/>
    <w:rsid w:val="00513F12"/>
    <w:rsid w:val="00516228"/>
    <w:rsid w:val="00517B71"/>
    <w:rsid w:val="00520BC8"/>
    <w:rsid w:val="005226B4"/>
    <w:rsid w:val="0052393D"/>
    <w:rsid w:val="005240E7"/>
    <w:rsid w:val="00524F7D"/>
    <w:rsid w:val="00525478"/>
    <w:rsid w:val="005267C9"/>
    <w:rsid w:val="005276AD"/>
    <w:rsid w:val="00527DC5"/>
    <w:rsid w:val="005351D1"/>
    <w:rsid w:val="005374C6"/>
    <w:rsid w:val="00537DD6"/>
    <w:rsid w:val="005406BA"/>
    <w:rsid w:val="0054085B"/>
    <w:rsid w:val="00543DEF"/>
    <w:rsid w:val="005442FB"/>
    <w:rsid w:val="0054490E"/>
    <w:rsid w:val="005510B6"/>
    <w:rsid w:val="00552313"/>
    <w:rsid w:val="005532C4"/>
    <w:rsid w:val="0055459E"/>
    <w:rsid w:val="005575FC"/>
    <w:rsid w:val="00560C13"/>
    <w:rsid w:val="0056101B"/>
    <w:rsid w:val="00563389"/>
    <w:rsid w:val="005654C4"/>
    <w:rsid w:val="00566472"/>
    <w:rsid w:val="0056738C"/>
    <w:rsid w:val="00567B59"/>
    <w:rsid w:val="00570047"/>
    <w:rsid w:val="00570DD0"/>
    <w:rsid w:val="00570E40"/>
    <w:rsid w:val="005721BA"/>
    <w:rsid w:val="00572D5B"/>
    <w:rsid w:val="0057370E"/>
    <w:rsid w:val="005779E1"/>
    <w:rsid w:val="00581657"/>
    <w:rsid w:val="00582316"/>
    <w:rsid w:val="00585C7C"/>
    <w:rsid w:val="0059410F"/>
    <w:rsid w:val="0059591C"/>
    <w:rsid w:val="00595E62"/>
    <w:rsid w:val="00596112"/>
    <w:rsid w:val="00596195"/>
    <w:rsid w:val="00597BC6"/>
    <w:rsid w:val="005A3836"/>
    <w:rsid w:val="005A6D99"/>
    <w:rsid w:val="005A7AAC"/>
    <w:rsid w:val="005B0C92"/>
    <w:rsid w:val="005B1092"/>
    <w:rsid w:val="005B211E"/>
    <w:rsid w:val="005B2E45"/>
    <w:rsid w:val="005B400D"/>
    <w:rsid w:val="005B51C6"/>
    <w:rsid w:val="005B55B3"/>
    <w:rsid w:val="005C2873"/>
    <w:rsid w:val="005C31A1"/>
    <w:rsid w:val="005C33DB"/>
    <w:rsid w:val="005C3A62"/>
    <w:rsid w:val="005C7A1E"/>
    <w:rsid w:val="005D14F8"/>
    <w:rsid w:val="005D3390"/>
    <w:rsid w:val="005D4423"/>
    <w:rsid w:val="005D6BD1"/>
    <w:rsid w:val="005D71D6"/>
    <w:rsid w:val="005D7988"/>
    <w:rsid w:val="005E054C"/>
    <w:rsid w:val="005E056B"/>
    <w:rsid w:val="005E05D6"/>
    <w:rsid w:val="005E2FD1"/>
    <w:rsid w:val="005E302A"/>
    <w:rsid w:val="005E6546"/>
    <w:rsid w:val="005E6754"/>
    <w:rsid w:val="005E726B"/>
    <w:rsid w:val="005E72D1"/>
    <w:rsid w:val="005F0EB5"/>
    <w:rsid w:val="005F20E2"/>
    <w:rsid w:val="005F381D"/>
    <w:rsid w:val="005F4CF8"/>
    <w:rsid w:val="005F527A"/>
    <w:rsid w:val="005F5F60"/>
    <w:rsid w:val="005F686C"/>
    <w:rsid w:val="006019E0"/>
    <w:rsid w:val="00601D38"/>
    <w:rsid w:val="00601E16"/>
    <w:rsid w:val="0060203F"/>
    <w:rsid w:val="00602C79"/>
    <w:rsid w:val="00603237"/>
    <w:rsid w:val="00605E89"/>
    <w:rsid w:val="0060605B"/>
    <w:rsid w:val="00611154"/>
    <w:rsid w:val="0061239B"/>
    <w:rsid w:val="006130C9"/>
    <w:rsid w:val="00616807"/>
    <w:rsid w:val="00617BB1"/>
    <w:rsid w:val="00617CB7"/>
    <w:rsid w:val="00620B19"/>
    <w:rsid w:val="00621F93"/>
    <w:rsid w:val="0062204E"/>
    <w:rsid w:val="006229D5"/>
    <w:rsid w:val="00624320"/>
    <w:rsid w:val="006246CF"/>
    <w:rsid w:val="006250EE"/>
    <w:rsid w:val="00626BF2"/>
    <w:rsid w:val="00627714"/>
    <w:rsid w:val="00627A6A"/>
    <w:rsid w:val="0063033F"/>
    <w:rsid w:val="0063068C"/>
    <w:rsid w:val="0063097D"/>
    <w:rsid w:val="00633951"/>
    <w:rsid w:val="006349B6"/>
    <w:rsid w:val="00634DCF"/>
    <w:rsid w:val="0063529D"/>
    <w:rsid w:val="00635989"/>
    <w:rsid w:val="00636665"/>
    <w:rsid w:val="00640886"/>
    <w:rsid w:val="00642208"/>
    <w:rsid w:val="0064558F"/>
    <w:rsid w:val="00654444"/>
    <w:rsid w:val="0065546A"/>
    <w:rsid w:val="00655E0A"/>
    <w:rsid w:val="00657592"/>
    <w:rsid w:val="00657BDB"/>
    <w:rsid w:val="006615E8"/>
    <w:rsid w:val="0066354E"/>
    <w:rsid w:val="0066390F"/>
    <w:rsid w:val="006645BE"/>
    <w:rsid w:val="0066507D"/>
    <w:rsid w:val="00665092"/>
    <w:rsid w:val="00666E68"/>
    <w:rsid w:val="006702F5"/>
    <w:rsid w:val="006719E4"/>
    <w:rsid w:val="00672324"/>
    <w:rsid w:val="0067333F"/>
    <w:rsid w:val="00673450"/>
    <w:rsid w:val="00675673"/>
    <w:rsid w:val="0068008C"/>
    <w:rsid w:val="00684C94"/>
    <w:rsid w:val="00685BA8"/>
    <w:rsid w:val="00691280"/>
    <w:rsid w:val="00691A7B"/>
    <w:rsid w:val="006934CC"/>
    <w:rsid w:val="006936E9"/>
    <w:rsid w:val="00693E4D"/>
    <w:rsid w:val="0069476F"/>
    <w:rsid w:val="006957CD"/>
    <w:rsid w:val="00697364"/>
    <w:rsid w:val="006A19AA"/>
    <w:rsid w:val="006A259E"/>
    <w:rsid w:val="006A3748"/>
    <w:rsid w:val="006A3A22"/>
    <w:rsid w:val="006A416D"/>
    <w:rsid w:val="006A488E"/>
    <w:rsid w:val="006A4A3D"/>
    <w:rsid w:val="006A5B8F"/>
    <w:rsid w:val="006A6F31"/>
    <w:rsid w:val="006A74A0"/>
    <w:rsid w:val="006B32EA"/>
    <w:rsid w:val="006B4BC2"/>
    <w:rsid w:val="006C2F17"/>
    <w:rsid w:val="006C4019"/>
    <w:rsid w:val="006C5060"/>
    <w:rsid w:val="006C5F8C"/>
    <w:rsid w:val="006C6928"/>
    <w:rsid w:val="006D0069"/>
    <w:rsid w:val="006D0EFC"/>
    <w:rsid w:val="006D1A80"/>
    <w:rsid w:val="006D3379"/>
    <w:rsid w:val="006E19F5"/>
    <w:rsid w:val="006E2C78"/>
    <w:rsid w:val="006E308A"/>
    <w:rsid w:val="006E48B9"/>
    <w:rsid w:val="006E50AA"/>
    <w:rsid w:val="006E54E1"/>
    <w:rsid w:val="006E6642"/>
    <w:rsid w:val="006E6BD5"/>
    <w:rsid w:val="006F1D3A"/>
    <w:rsid w:val="006F6673"/>
    <w:rsid w:val="006F6745"/>
    <w:rsid w:val="006F6CD2"/>
    <w:rsid w:val="006F77B8"/>
    <w:rsid w:val="00700B9C"/>
    <w:rsid w:val="007023D4"/>
    <w:rsid w:val="00704B63"/>
    <w:rsid w:val="00706C91"/>
    <w:rsid w:val="0070721D"/>
    <w:rsid w:val="007079B2"/>
    <w:rsid w:val="00707BB4"/>
    <w:rsid w:val="00707D12"/>
    <w:rsid w:val="007101E8"/>
    <w:rsid w:val="00711378"/>
    <w:rsid w:val="00713607"/>
    <w:rsid w:val="007171D4"/>
    <w:rsid w:val="00721CB1"/>
    <w:rsid w:val="0072207C"/>
    <w:rsid w:val="007231E0"/>
    <w:rsid w:val="00723E89"/>
    <w:rsid w:val="007244B1"/>
    <w:rsid w:val="007257B4"/>
    <w:rsid w:val="00726EBF"/>
    <w:rsid w:val="0073019F"/>
    <w:rsid w:val="007323D7"/>
    <w:rsid w:val="007330C6"/>
    <w:rsid w:val="00733DC1"/>
    <w:rsid w:val="007348D7"/>
    <w:rsid w:val="007405F7"/>
    <w:rsid w:val="00741D39"/>
    <w:rsid w:val="00741FCA"/>
    <w:rsid w:val="00743481"/>
    <w:rsid w:val="00743D09"/>
    <w:rsid w:val="00744108"/>
    <w:rsid w:val="00744138"/>
    <w:rsid w:val="00746F7B"/>
    <w:rsid w:val="00750412"/>
    <w:rsid w:val="00750559"/>
    <w:rsid w:val="00750D4F"/>
    <w:rsid w:val="0075260C"/>
    <w:rsid w:val="007536B2"/>
    <w:rsid w:val="007538DD"/>
    <w:rsid w:val="0075455E"/>
    <w:rsid w:val="007601A0"/>
    <w:rsid w:val="00760BA0"/>
    <w:rsid w:val="00761A93"/>
    <w:rsid w:val="00761CD4"/>
    <w:rsid w:val="00763F54"/>
    <w:rsid w:val="00764DDD"/>
    <w:rsid w:val="00764E84"/>
    <w:rsid w:val="00765D7F"/>
    <w:rsid w:val="007660D1"/>
    <w:rsid w:val="00766157"/>
    <w:rsid w:val="0076796F"/>
    <w:rsid w:val="00776B0B"/>
    <w:rsid w:val="00780E34"/>
    <w:rsid w:val="00781FCA"/>
    <w:rsid w:val="0078354B"/>
    <w:rsid w:val="007839BE"/>
    <w:rsid w:val="0078668C"/>
    <w:rsid w:val="007867F1"/>
    <w:rsid w:val="00786819"/>
    <w:rsid w:val="00787226"/>
    <w:rsid w:val="007901D2"/>
    <w:rsid w:val="0079048C"/>
    <w:rsid w:val="00791526"/>
    <w:rsid w:val="00793346"/>
    <w:rsid w:val="00795516"/>
    <w:rsid w:val="0079682E"/>
    <w:rsid w:val="00797804"/>
    <w:rsid w:val="007A0B77"/>
    <w:rsid w:val="007A3204"/>
    <w:rsid w:val="007A3A7E"/>
    <w:rsid w:val="007A46EB"/>
    <w:rsid w:val="007A4C20"/>
    <w:rsid w:val="007A727C"/>
    <w:rsid w:val="007A7C2C"/>
    <w:rsid w:val="007B019F"/>
    <w:rsid w:val="007B1687"/>
    <w:rsid w:val="007B16A7"/>
    <w:rsid w:val="007B1C04"/>
    <w:rsid w:val="007B2FEB"/>
    <w:rsid w:val="007B530C"/>
    <w:rsid w:val="007B54D5"/>
    <w:rsid w:val="007B6D4C"/>
    <w:rsid w:val="007B6DBD"/>
    <w:rsid w:val="007B7363"/>
    <w:rsid w:val="007B73FA"/>
    <w:rsid w:val="007C0E17"/>
    <w:rsid w:val="007C3803"/>
    <w:rsid w:val="007C3F78"/>
    <w:rsid w:val="007C47B5"/>
    <w:rsid w:val="007C7083"/>
    <w:rsid w:val="007D19BE"/>
    <w:rsid w:val="007D2980"/>
    <w:rsid w:val="007D3795"/>
    <w:rsid w:val="007D3FD0"/>
    <w:rsid w:val="007D3FEB"/>
    <w:rsid w:val="007D4F8C"/>
    <w:rsid w:val="007D4F8D"/>
    <w:rsid w:val="007D70F8"/>
    <w:rsid w:val="007E2650"/>
    <w:rsid w:val="007E2D53"/>
    <w:rsid w:val="007E60F0"/>
    <w:rsid w:val="007E6157"/>
    <w:rsid w:val="007F02AB"/>
    <w:rsid w:val="007F186C"/>
    <w:rsid w:val="007F1B94"/>
    <w:rsid w:val="007F20A3"/>
    <w:rsid w:val="007F3D45"/>
    <w:rsid w:val="007F3E82"/>
    <w:rsid w:val="007F4D60"/>
    <w:rsid w:val="007F780F"/>
    <w:rsid w:val="00804385"/>
    <w:rsid w:val="008043CB"/>
    <w:rsid w:val="008059D3"/>
    <w:rsid w:val="0080668E"/>
    <w:rsid w:val="00806AB9"/>
    <w:rsid w:val="00807032"/>
    <w:rsid w:val="00813B78"/>
    <w:rsid w:val="008142C7"/>
    <w:rsid w:val="00814F5B"/>
    <w:rsid w:val="008152D7"/>
    <w:rsid w:val="0081577F"/>
    <w:rsid w:val="008171DE"/>
    <w:rsid w:val="0081725E"/>
    <w:rsid w:val="0082024B"/>
    <w:rsid w:val="00820832"/>
    <w:rsid w:val="00824EC8"/>
    <w:rsid w:val="00826E7C"/>
    <w:rsid w:val="00827A37"/>
    <w:rsid w:val="00827A3D"/>
    <w:rsid w:val="0083117A"/>
    <w:rsid w:val="008327BA"/>
    <w:rsid w:val="00832AB9"/>
    <w:rsid w:val="00833440"/>
    <w:rsid w:val="00836033"/>
    <w:rsid w:val="00840103"/>
    <w:rsid w:val="008402E2"/>
    <w:rsid w:val="008419C4"/>
    <w:rsid w:val="00842254"/>
    <w:rsid w:val="00842B6B"/>
    <w:rsid w:val="00843F88"/>
    <w:rsid w:val="00845E50"/>
    <w:rsid w:val="00846520"/>
    <w:rsid w:val="0084699A"/>
    <w:rsid w:val="00846AEC"/>
    <w:rsid w:val="00851374"/>
    <w:rsid w:val="0085373B"/>
    <w:rsid w:val="0085512D"/>
    <w:rsid w:val="008556B5"/>
    <w:rsid w:val="008611E1"/>
    <w:rsid w:val="008612D2"/>
    <w:rsid w:val="00861719"/>
    <w:rsid w:val="00862785"/>
    <w:rsid w:val="00865733"/>
    <w:rsid w:val="00865E8B"/>
    <w:rsid w:val="00866DAA"/>
    <w:rsid w:val="00867FA6"/>
    <w:rsid w:val="00872DBC"/>
    <w:rsid w:val="00872E97"/>
    <w:rsid w:val="00875233"/>
    <w:rsid w:val="00875569"/>
    <w:rsid w:val="00876C22"/>
    <w:rsid w:val="0087771A"/>
    <w:rsid w:val="00885001"/>
    <w:rsid w:val="0088795A"/>
    <w:rsid w:val="00890526"/>
    <w:rsid w:val="00890B00"/>
    <w:rsid w:val="00890EB8"/>
    <w:rsid w:val="00893134"/>
    <w:rsid w:val="008941CD"/>
    <w:rsid w:val="00895C85"/>
    <w:rsid w:val="00897D9A"/>
    <w:rsid w:val="00897EF7"/>
    <w:rsid w:val="008A00A7"/>
    <w:rsid w:val="008A12B8"/>
    <w:rsid w:val="008A29F1"/>
    <w:rsid w:val="008A3C98"/>
    <w:rsid w:val="008A411C"/>
    <w:rsid w:val="008A569C"/>
    <w:rsid w:val="008A5FD3"/>
    <w:rsid w:val="008A65FA"/>
    <w:rsid w:val="008A6E88"/>
    <w:rsid w:val="008A7163"/>
    <w:rsid w:val="008B0213"/>
    <w:rsid w:val="008B1AD5"/>
    <w:rsid w:val="008B2D6C"/>
    <w:rsid w:val="008B3889"/>
    <w:rsid w:val="008B6A7F"/>
    <w:rsid w:val="008B76D9"/>
    <w:rsid w:val="008C1308"/>
    <w:rsid w:val="008C3F35"/>
    <w:rsid w:val="008C433F"/>
    <w:rsid w:val="008C44A5"/>
    <w:rsid w:val="008C6667"/>
    <w:rsid w:val="008C770F"/>
    <w:rsid w:val="008D214B"/>
    <w:rsid w:val="008D33A5"/>
    <w:rsid w:val="008D3796"/>
    <w:rsid w:val="008D45FA"/>
    <w:rsid w:val="008D63EB"/>
    <w:rsid w:val="008D6540"/>
    <w:rsid w:val="008D69A7"/>
    <w:rsid w:val="008E17D1"/>
    <w:rsid w:val="008E3180"/>
    <w:rsid w:val="008E3F9C"/>
    <w:rsid w:val="008E412A"/>
    <w:rsid w:val="008E48CE"/>
    <w:rsid w:val="008F2E8D"/>
    <w:rsid w:val="008F6014"/>
    <w:rsid w:val="008F62AB"/>
    <w:rsid w:val="008F6C2F"/>
    <w:rsid w:val="009012B7"/>
    <w:rsid w:val="00902A82"/>
    <w:rsid w:val="0090748A"/>
    <w:rsid w:val="009076B2"/>
    <w:rsid w:val="00912CC7"/>
    <w:rsid w:val="00913233"/>
    <w:rsid w:val="00915534"/>
    <w:rsid w:val="009155AA"/>
    <w:rsid w:val="00915872"/>
    <w:rsid w:val="00920986"/>
    <w:rsid w:val="009217AC"/>
    <w:rsid w:val="009223E5"/>
    <w:rsid w:val="009228A6"/>
    <w:rsid w:val="00922F83"/>
    <w:rsid w:val="00923AB9"/>
    <w:rsid w:val="00923AEA"/>
    <w:rsid w:val="00924539"/>
    <w:rsid w:val="00924A53"/>
    <w:rsid w:val="009252E2"/>
    <w:rsid w:val="00925767"/>
    <w:rsid w:val="00932DBD"/>
    <w:rsid w:val="00934A11"/>
    <w:rsid w:val="00935E27"/>
    <w:rsid w:val="00936D86"/>
    <w:rsid w:val="00937D45"/>
    <w:rsid w:val="00941A1F"/>
    <w:rsid w:val="00942215"/>
    <w:rsid w:val="00944C36"/>
    <w:rsid w:val="00946A9F"/>
    <w:rsid w:val="00946AA1"/>
    <w:rsid w:val="0095554F"/>
    <w:rsid w:val="009558D8"/>
    <w:rsid w:val="009564AC"/>
    <w:rsid w:val="00957909"/>
    <w:rsid w:val="0096142B"/>
    <w:rsid w:val="0096176D"/>
    <w:rsid w:val="00961B3D"/>
    <w:rsid w:val="009642A7"/>
    <w:rsid w:val="00964998"/>
    <w:rsid w:val="00964C3B"/>
    <w:rsid w:val="00964CDB"/>
    <w:rsid w:val="0097149D"/>
    <w:rsid w:val="00971C45"/>
    <w:rsid w:val="00973FE9"/>
    <w:rsid w:val="00974443"/>
    <w:rsid w:val="0097496C"/>
    <w:rsid w:val="009756B1"/>
    <w:rsid w:val="009760F3"/>
    <w:rsid w:val="00977098"/>
    <w:rsid w:val="009774A9"/>
    <w:rsid w:val="00977A79"/>
    <w:rsid w:val="00981812"/>
    <w:rsid w:val="00982612"/>
    <w:rsid w:val="00982A59"/>
    <w:rsid w:val="00983C1A"/>
    <w:rsid w:val="00985C53"/>
    <w:rsid w:val="00987CE5"/>
    <w:rsid w:val="0099220F"/>
    <w:rsid w:val="00993516"/>
    <w:rsid w:val="009939A9"/>
    <w:rsid w:val="00993BB5"/>
    <w:rsid w:val="00994BC3"/>
    <w:rsid w:val="009A0D47"/>
    <w:rsid w:val="009A0E08"/>
    <w:rsid w:val="009A1410"/>
    <w:rsid w:val="009A2DF0"/>
    <w:rsid w:val="009A50F6"/>
    <w:rsid w:val="009B0A6E"/>
    <w:rsid w:val="009B0C6C"/>
    <w:rsid w:val="009B168C"/>
    <w:rsid w:val="009B4426"/>
    <w:rsid w:val="009B692D"/>
    <w:rsid w:val="009B7490"/>
    <w:rsid w:val="009B7B25"/>
    <w:rsid w:val="009C1026"/>
    <w:rsid w:val="009C1266"/>
    <w:rsid w:val="009C3894"/>
    <w:rsid w:val="009C515F"/>
    <w:rsid w:val="009C6892"/>
    <w:rsid w:val="009C75B6"/>
    <w:rsid w:val="009D0BCC"/>
    <w:rsid w:val="009D3701"/>
    <w:rsid w:val="009D561D"/>
    <w:rsid w:val="009D568E"/>
    <w:rsid w:val="009D5C1A"/>
    <w:rsid w:val="009D787D"/>
    <w:rsid w:val="009D7DE0"/>
    <w:rsid w:val="009E0ADD"/>
    <w:rsid w:val="009E0E97"/>
    <w:rsid w:val="009E1736"/>
    <w:rsid w:val="009E20C5"/>
    <w:rsid w:val="009E2595"/>
    <w:rsid w:val="009E4A3C"/>
    <w:rsid w:val="009F4106"/>
    <w:rsid w:val="009F4A3A"/>
    <w:rsid w:val="009F6836"/>
    <w:rsid w:val="00A00E69"/>
    <w:rsid w:val="00A02C7F"/>
    <w:rsid w:val="00A02EFE"/>
    <w:rsid w:val="00A03395"/>
    <w:rsid w:val="00A04520"/>
    <w:rsid w:val="00A07788"/>
    <w:rsid w:val="00A1022E"/>
    <w:rsid w:val="00A107A8"/>
    <w:rsid w:val="00A11934"/>
    <w:rsid w:val="00A14040"/>
    <w:rsid w:val="00A143E9"/>
    <w:rsid w:val="00A15FBB"/>
    <w:rsid w:val="00A205F7"/>
    <w:rsid w:val="00A24472"/>
    <w:rsid w:val="00A24D53"/>
    <w:rsid w:val="00A3218F"/>
    <w:rsid w:val="00A33F91"/>
    <w:rsid w:val="00A35C7B"/>
    <w:rsid w:val="00A371BB"/>
    <w:rsid w:val="00A374D5"/>
    <w:rsid w:val="00A40CEF"/>
    <w:rsid w:val="00A439BC"/>
    <w:rsid w:val="00A44DCF"/>
    <w:rsid w:val="00A45241"/>
    <w:rsid w:val="00A46E5E"/>
    <w:rsid w:val="00A47D82"/>
    <w:rsid w:val="00A507FF"/>
    <w:rsid w:val="00A52B28"/>
    <w:rsid w:val="00A5352C"/>
    <w:rsid w:val="00A55CA5"/>
    <w:rsid w:val="00A572F4"/>
    <w:rsid w:val="00A61734"/>
    <w:rsid w:val="00A618DF"/>
    <w:rsid w:val="00A620A1"/>
    <w:rsid w:val="00A62AA2"/>
    <w:rsid w:val="00A63F9D"/>
    <w:rsid w:val="00A64CE3"/>
    <w:rsid w:val="00A655B5"/>
    <w:rsid w:val="00A669C9"/>
    <w:rsid w:val="00A673C9"/>
    <w:rsid w:val="00A675B8"/>
    <w:rsid w:val="00A71351"/>
    <w:rsid w:val="00A72EC7"/>
    <w:rsid w:val="00A74638"/>
    <w:rsid w:val="00A803D5"/>
    <w:rsid w:val="00A8764F"/>
    <w:rsid w:val="00A9058C"/>
    <w:rsid w:val="00A906FB"/>
    <w:rsid w:val="00A943F1"/>
    <w:rsid w:val="00A944C0"/>
    <w:rsid w:val="00A9554B"/>
    <w:rsid w:val="00A962C9"/>
    <w:rsid w:val="00A9718C"/>
    <w:rsid w:val="00A973FF"/>
    <w:rsid w:val="00AA0855"/>
    <w:rsid w:val="00AA1697"/>
    <w:rsid w:val="00AA179A"/>
    <w:rsid w:val="00AA435E"/>
    <w:rsid w:val="00AA4A4A"/>
    <w:rsid w:val="00AA6BEE"/>
    <w:rsid w:val="00AB2458"/>
    <w:rsid w:val="00AB2F2D"/>
    <w:rsid w:val="00AB3824"/>
    <w:rsid w:val="00AB415D"/>
    <w:rsid w:val="00AB4177"/>
    <w:rsid w:val="00AB4DE1"/>
    <w:rsid w:val="00AB5C34"/>
    <w:rsid w:val="00AB728D"/>
    <w:rsid w:val="00AB75F1"/>
    <w:rsid w:val="00AC0EE2"/>
    <w:rsid w:val="00AC1ABB"/>
    <w:rsid w:val="00AC458C"/>
    <w:rsid w:val="00AC6911"/>
    <w:rsid w:val="00AC6EF3"/>
    <w:rsid w:val="00AE23FC"/>
    <w:rsid w:val="00AE2DD7"/>
    <w:rsid w:val="00AE3C7B"/>
    <w:rsid w:val="00AE48A2"/>
    <w:rsid w:val="00AE60FF"/>
    <w:rsid w:val="00AF040B"/>
    <w:rsid w:val="00AF2DF3"/>
    <w:rsid w:val="00AF3BE3"/>
    <w:rsid w:val="00AF451F"/>
    <w:rsid w:val="00AF65F6"/>
    <w:rsid w:val="00AF6D4C"/>
    <w:rsid w:val="00AF770D"/>
    <w:rsid w:val="00B043CF"/>
    <w:rsid w:val="00B068AD"/>
    <w:rsid w:val="00B06FD7"/>
    <w:rsid w:val="00B11A98"/>
    <w:rsid w:val="00B1308F"/>
    <w:rsid w:val="00B15BB7"/>
    <w:rsid w:val="00B206E2"/>
    <w:rsid w:val="00B21B52"/>
    <w:rsid w:val="00B245EA"/>
    <w:rsid w:val="00B257FD"/>
    <w:rsid w:val="00B26989"/>
    <w:rsid w:val="00B2766E"/>
    <w:rsid w:val="00B31FCE"/>
    <w:rsid w:val="00B321C5"/>
    <w:rsid w:val="00B32AA4"/>
    <w:rsid w:val="00B332F3"/>
    <w:rsid w:val="00B33B4F"/>
    <w:rsid w:val="00B34043"/>
    <w:rsid w:val="00B35EE6"/>
    <w:rsid w:val="00B4027C"/>
    <w:rsid w:val="00B40A76"/>
    <w:rsid w:val="00B42E5F"/>
    <w:rsid w:val="00B43CAD"/>
    <w:rsid w:val="00B478F0"/>
    <w:rsid w:val="00B500E1"/>
    <w:rsid w:val="00B50202"/>
    <w:rsid w:val="00B50A4F"/>
    <w:rsid w:val="00B51C87"/>
    <w:rsid w:val="00B5372B"/>
    <w:rsid w:val="00B56770"/>
    <w:rsid w:val="00B624A5"/>
    <w:rsid w:val="00B626B7"/>
    <w:rsid w:val="00B63251"/>
    <w:rsid w:val="00B65A30"/>
    <w:rsid w:val="00B67D3E"/>
    <w:rsid w:val="00B72FF3"/>
    <w:rsid w:val="00B74101"/>
    <w:rsid w:val="00B74E6C"/>
    <w:rsid w:val="00B7654D"/>
    <w:rsid w:val="00B800E7"/>
    <w:rsid w:val="00B83FA3"/>
    <w:rsid w:val="00B84F5E"/>
    <w:rsid w:val="00B85110"/>
    <w:rsid w:val="00B91E26"/>
    <w:rsid w:val="00B92BBF"/>
    <w:rsid w:val="00B9368B"/>
    <w:rsid w:val="00B93E92"/>
    <w:rsid w:val="00B9411D"/>
    <w:rsid w:val="00B94225"/>
    <w:rsid w:val="00B945E6"/>
    <w:rsid w:val="00B95D79"/>
    <w:rsid w:val="00B96861"/>
    <w:rsid w:val="00B96CBE"/>
    <w:rsid w:val="00BA15F7"/>
    <w:rsid w:val="00BA21D2"/>
    <w:rsid w:val="00BA45C6"/>
    <w:rsid w:val="00BA46C1"/>
    <w:rsid w:val="00BA58AE"/>
    <w:rsid w:val="00BA636A"/>
    <w:rsid w:val="00BA6911"/>
    <w:rsid w:val="00BA6B9B"/>
    <w:rsid w:val="00BA794E"/>
    <w:rsid w:val="00BA7AC5"/>
    <w:rsid w:val="00BB03A9"/>
    <w:rsid w:val="00BB239F"/>
    <w:rsid w:val="00BB3861"/>
    <w:rsid w:val="00BB3926"/>
    <w:rsid w:val="00BB67A7"/>
    <w:rsid w:val="00BB6C4E"/>
    <w:rsid w:val="00BC0625"/>
    <w:rsid w:val="00BC42E4"/>
    <w:rsid w:val="00BC59D9"/>
    <w:rsid w:val="00BC5BD4"/>
    <w:rsid w:val="00BC7C3A"/>
    <w:rsid w:val="00BD109D"/>
    <w:rsid w:val="00BD1AFC"/>
    <w:rsid w:val="00BD2B01"/>
    <w:rsid w:val="00BD311E"/>
    <w:rsid w:val="00BD43BF"/>
    <w:rsid w:val="00BD71F8"/>
    <w:rsid w:val="00BD7796"/>
    <w:rsid w:val="00BE5617"/>
    <w:rsid w:val="00BE5E78"/>
    <w:rsid w:val="00BE6BAD"/>
    <w:rsid w:val="00BF1051"/>
    <w:rsid w:val="00BF233F"/>
    <w:rsid w:val="00BF2994"/>
    <w:rsid w:val="00BF2E90"/>
    <w:rsid w:val="00BF2EDF"/>
    <w:rsid w:val="00BF330E"/>
    <w:rsid w:val="00BF3E63"/>
    <w:rsid w:val="00BF62DC"/>
    <w:rsid w:val="00BF6A75"/>
    <w:rsid w:val="00C00AEA"/>
    <w:rsid w:val="00C04894"/>
    <w:rsid w:val="00C05F7C"/>
    <w:rsid w:val="00C14AF9"/>
    <w:rsid w:val="00C15324"/>
    <w:rsid w:val="00C17587"/>
    <w:rsid w:val="00C24C88"/>
    <w:rsid w:val="00C26758"/>
    <w:rsid w:val="00C27587"/>
    <w:rsid w:val="00C32005"/>
    <w:rsid w:val="00C3298A"/>
    <w:rsid w:val="00C32BEF"/>
    <w:rsid w:val="00C33299"/>
    <w:rsid w:val="00C33E12"/>
    <w:rsid w:val="00C33EB3"/>
    <w:rsid w:val="00C40904"/>
    <w:rsid w:val="00C4102E"/>
    <w:rsid w:val="00C429D7"/>
    <w:rsid w:val="00C43FF7"/>
    <w:rsid w:val="00C44E52"/>
    <w:rsid w:val="00C4525C"/>
    <w:rsid w:val="00C47541"/>
    <w:rsid w:val="00C512AA"/>
    <w:rsid w:val="00C54911"/>
    <w:rsid w:val="00C54A13"/>
    <w:rsid w:val="00C54F3C"/>
    <w:rsid w:val="00C56B5D"/>
    <w:rsid w:val="00C57F0C"/>
    <w:rsid w:val="00C6032C"/>
    <w:rsid w:val="00C605D9"/>
    <w:rsid w:val="00C63147"/>
    <w:rsid w:val="00C634C7"/>
    <w:rsid w:val="00C653BB"/>
    <w:rsid w:val="00C664F8"/>
    <w:rsid w:val="00C677AC"/>
    <w:rsid w:val="00C710B8"/>
    <w:rsid w:val="00C71D67"/>
    <w:rsid w:val="00C7510F"/>
    <w:rsid w:val="00C758B9"/>
    <w:rsid w:val="00C808B8"/>
    <w:rsid w:val="00C80C09"/>
    <w:rsid w:val="00C81C2E"/>
    <w:rsid w:val="00C8261E"/>
    <w:rsid w:val="00C82CD3"/>
    <w:rsid w:val="00C86966"/>
    <w:rsid w:val="00C86C18"/>
    <w:rsid w:val="00C87F66"/>
    <w:rsid w:val="00C97FDF"/>
    <w:rsid w:val="00CA19A2"/>
    <w:rsid w:val="00CA5632"/>
    <w:rsid w:val="00CA5A92"/>
    <w:rsid w:val="00CA6AF0"/>
    <w:rsid w:val="00CB0CE4"/>
    <w:rsid w:val="00CB1CE7"/>
    <w:rsid w:val="00CB3237"/>
    <w:rsid w:val="00CB537E"/>
    <w:rsid w:val="00CB56AC"/>
    <w:rsid w:val="00CB7126"/>
    <w:rsid w:val="00CB7997"/>
    <w:rsid w:val="00CC0C53"/>
    <w:rsid w:val="00CC1475"/>
    <w:rsid w:val="00CC34B3"/>
    <w:rsid w:val="00CC36B1"/>
    <w:rsid w:val="00CC54D1"/>
    <w:rsid w:val="00CC5717"/>
    <w:rsid w:val="00CC5955"/>
    <w:rsid w:val="00CC6275"/>
    <w:rsid w:val="00CC6606"/>
    <w:rsid w:val="00CD1D10"/>
    <w:rsid w:val="00CD48DE"/>
    <w:rsid w:val="00CD5585"/>
    <w:rsid w:val="00CD6CFA"/>
    <w:rsid w:val="00CE1881"/>
    <w:rsid w:val="00CE2C59"/>
    <w:rsid w:val="00CE2DC0"/>
    <w:rsid w:val="00CE53AA"/>
    <w:rsid w:val="00CE6817"/>
    <w:rsid w:val="00CE7F75"/>
    <w:rsid w:val="00CF1A29"/>
    <w:rsid w:val="00CF2809"/>
    <w:rsid w:val="00CF2F34"/>
    <w:rsid w:val="00CF406D"/>
    <w:rsid w:val="00CF723A"/>
    <w:rsid w:val="00D00C5F"/>
    <w:rsid w:val="00D026C8"/>
    <w:rsid w:val="00D02A1F"/>
    <w:rsid w:val="00D04E8C"/>
    <w:rsid w:val="00D06654"/>
    <w:rsid w:val="00D06C32"/>
    <w:rsid w:val="00D06C81"/>
    <w:rsid w:val="00D11091"/>
    <w:rsid w:val="00D13E80"/>
    <w:rsid w:val="00D13EA5"/>
    <w:rsid w:val="00D177E4"/>
    <w:rsid w:val="00D205FE"/>
    <w:rsid w:val="00D207F6"/>
    <w:rsid w:val="00D22321"/>
    <w:rsid w:val="00D22332"/>
    <w:rsid w:val="00D22A3C"/>
    <w:rsid w:val="00D2553C"/>
    <w:rsid w:val="00D2651E"/>
    <w:rsid w:val="00D26A7A"/>
    <w:rsid w:val="00D26DB8"/>
    <w:rsid w:val="00D2716C"/>
    <w:rsid w:val="00D306AF"/>
    <w:rsid w:val="00D31B86"/>
    <w:rsid w:val="00D32AB8"/>
    <w:rsid w:val="00D333F2"/>
    <w:rsid w:val="00D35348"/>
    <w:rsid w:val="00D35C54"/>
    <w:rsid w:val="00D35D10"/>
    <w:rsid w:val="00D3653B"/>
    <w:rsid w:val="00D3710D"/>
    <w:rsid w:val="00D376EC"/>
    <w:rsid w:val="00D406ED"/>
    <w:rsid w:val="00D406EE"/>
    <w:rsid w:val="00D41051"/>
    <w:rsid w:val="00D410AB"/>
    <w:rsid w:val="00D42127"/>
    <w:rsid w:val="00D43831"/>
    <w:rsid w:val="00D452D7"/>
    <w:rsid w:val="00D47057"/>
    <w:rsid w:val="00D47169"/>
    <w:rsid w:val="00D52FE5"/>
    <w:rsid w:val="00D55594"/>
    <w:rsid w:val="00D55B72"/>
    <w:rsid w:val="00D572AC"/>
    <w:rsid w:val="00D57F4C"/>
    <w:rsid w:val="00D6254C"/>
    <w:rsid w:val="00D639A8"/>
    <w:rsid w:val="00D64A0F"/>
    <w:rsid w:val="00D65B96"/>
    <w:rsid w:val="00D671DB"/>
    <w:rsid w:val="00D70125"/>
    <w:rsid w:val="00D7031C"/>
    <w:rsid w:val="00D7159C"/>
    <w:rsid w:val="00D74043"/>
    <w:rsid w:val="00D7485C"/>
    <w:rsid w:val="00D74B58"/>
    <w:rsid w:val="00D74C31"/>
    <w:rsid w:val="00D75A78"/>
    <w:rsid w:val="00D767D5"/>
    <w:rsid w:val="00D7693F"/>
    <w:rsid w:val="00D7776A"/>
    <w:rsid w:val="00D804F0"/>
    <w:rsid w:val="00D83080"/>
    <w:rsid w:val="00D84AB2"/>
    <w:rsid w:val="00D85880"/>
    <w:rsid w:val="00D87019"/>
    <w:rsid w:val="00D9003B"/>
    <w:rsid w:val="00D9197B"/>
    <w:rsid w:val="00D9217A"/>
    <w:rsid w:val="00D93F0A"/>
    <w:rsid w:val="00D94581"/>
    <w:rsid w:val="00D9510A"/>
    <w:rsid w:val="00D96BDD"/>
    <w:rsid w:val="00DA01AF"/>
    <w:rsid w:val="00DA059E"/>
    <w:rsid w:val="00DA4697"/>
    <w:rsid w:val="00DA4809"/>
    <w:rsid w:val="00DA5203"/>
    <w:rsid w:val="00DA631E"/>
    <w:rsid w:val="00DA6399"/>
    <w:rsid w:val="00DA6A92"/>
    <w:rsid w:val="00DB404B"/>
    <w:rsid w:val="00DB489E"/>
    <w:rsid w:val="00DB4A04"/>
    <w:rsid w:val="00DB54C0"/>
    <w:rsid w:val="00DB5F81"/>
    <w:rsid w:val="00DB7B41"/>
    <w:rsid w:val="00DC2E1E"/>
    <w:rsid w:val="00DC3D53"/>
    <w:rsid w:val="00DC6231"/>
    <w:rsid w:val="00DC6C6D"/>
    <w:rsid w:val="00DD0EE6"/>
    <w:rsid w:val="00DD139F"/>
    <w:rsid w:val="00DD2993"/>
    <w:rsid w:val="00DD2ACE"/>
    <w:rsid w:val="00DE3C96"/>
    <w:rsid w:val="00DE50D9"/>
    <w:rsid w:val="00DE5D9B"/>
    <w:rsid w:val="00DE6590"/>
    <w:rsid w:val="00DE7249"/>
    <w:rsid w:val="00DE7749"/>
    <w:rsid w:val="00DF2113"/>
    <w:rsid w:val="00DF6213"/>
    <w:rsid w:val="00E0145F"/>
    <w:rsid w:val="00E0237D"/>
    <w:rsid w:val="00E0410A"/>
    <w:rsid w:val="00E06F28"/>
    <w:rsid w:val="00E07036"/>
    <w:rsid w:val="00E07757"/>
    <w:rsid w:val="00E11648"/>
    <w:rsid w:val="00E11E35"/>
    <w:rsid w:val="00E14245"/>
    <w:rsid w:val="00E14841"/>
    <w:rsid w:val="00E1542E"/>
    <w:rsid w:val="00E16399"/>
    <w:rsid w:val="00E16FDA"/>
    <w:rsid w:val="00E20E60"/>
    <w:rsid w:val="00E210D1"/>
    <w:rsid w:val="00E22735"/>
    <w:rsid w:val="00E235F0"/>
    <w:rsid w:val="00E25F72"/>
    <w:rsid w:val="00E33139"/>
    <w:rsid w:val="00E33515"/>
    <w:rsid w:val="00E347FD"/>
    <w:rsid w:val="00E35398"/>
    <w:rsid w:val="00E37BD5"/>
    <w:rsid w:val="00E41193"/>
    <w:rsid w:val="00E41D7B"/>
    <w:rsid w:val="00E469CF"/>
    <w:rsid w:val="00E46C3D"/>
    <w:rsid w:val="00E47E96"/>
    <w:rsid w:val="00E50325"/>
    <w:rsid w:val="00E513A2"/>
    <w:rsid w:val="00E51556"/>
    <w:rsid w:val="00E51A9E"/>
    <w:rsid w:val="00E51DE1"/>
    <w:rsid w:val="00E54131"/>
    <w:rsid w:val="00E543BD"/>
    <w:rsid w:val="00E54EFD"/>
    <w:rsid w:val="00E55B30"/>
    <w:rsid w:val="00E56E3A"/>
    <w:rsid w:val="00E57410"/>
    <w:rsid w:val="00E60FBA"/>
    <w:rsid w:val="00E62D41"/>
    <w:rsid w:val="00E63CAB"/>
    <w:rsid w:val="00E7096A"/>
    <w:rsid w:val="00E71D9A"/>
    <w:rsid w:val="00E71E5E"/>
    <w:rsid w:val="00E7343D"/>
    <w:rsid w:val="00E74204"/>
    <w:rsid w:val="00E744FC"/>
    <w:rsid w:val="00E7451B"/>
    <w:rsid w:val="00E74E6F"/>
    <w:rsid w:val="00E74F43"/>
    <w:rsid w:val="00E7508E"/>
    <w:rsid w:val="00E756D7"/>
    <w:rsid w:val="00E758EE"/>
    <w:rsid w:val="00E75D3A"/>
    <w:rsid w:val="00E77399"/>
    <w:rsid w:val="00E77ECE"/>
    <w:rsid w:val="00E81815"/>
    <w:rsid w:val="00E81A09"/>
    <w:rsid w:val="00E83404"/>
    <w:rsid w:val="00E8401D"/>
    <w:rsid w:val="00E84903"/>
    <w:rsid w:val="00E84BF5"/>
    <w:rsid w:val="00E85EEE"/>
    <w:rsid w:val="00E91A36"/>
    <w:rsid w:val="00E92091"/>
    <w:rsid w:val="00E920E4"/>
    <w:rsid w:val="00E9408E"/>
    <w:rsid w:val="00E95C5B"/>
    <w:rsid w:val="00E96E79"/>
    <w:rsid w:val="00E970D3"/>
    <w:rsid w:val="00EA4601"/>
    <w:rsid w:val="00EA47BB"/>
    <w:rsid w:val="00EA47F3"/>
    <w:rsid w:val="00EA557D"/>
    <w:rsid w:val="00EA5D04"/>
    <w:rsid w:val="00EA613B"/>
    <w:rsid w:val="00EA6531"/>
    <w:rsid w:val="00EB279B"/>
    <w:rsid w:val="00EB520C"/>
    <w:rsid w:val="00EB5600"/>
    <w:rsid w:val="00EB6BBE"/>
    <w:rsid w:val="00EB7772"/>
    <w:rsid w:val="00EC16D9"/>
    <w:rsid w:val="00EC24C5"/>
    <w:rsid w:val="00ED241A"/>
    <w:rsid w:val="00ED2A37"/>
    <w:rsid w:val="00ED3969"/>
    <w:rsid w:val="00ED4297"/>
    <w:rsid w:val="00ED686A"/>
    <w:rsid w:val="00ED72A8"/>
    <w:rsid w:val="00EE0FD0"/>
    <w:rsid w:val="00EE1213"/>
    <w:rsid w:val="00EE26ED"/>
    <w:rsid w:val="00EE331D"/>
    <w:rsid w:val="00EE3C0A"/>
    <w:rsid w:val="00EE4459"/>
    <w:rsid w:val="00EE6045"/>
    <w:rsid w:val="00EF05AC"/>
    <w:rsid w:val="00EF0A41"/>
    <w:rsid w:val="00EF0D14"/>
    <w:rsid w:val="00EF247A"/>
    <w:rsid w:val="00EF26E0"/>
    <w:rsid w:val="00EF7D82"/>
    <w:rsid w:val="00F010FD"/>
    <w:rsid w:val="00F0171B"/>
    <w:rsid w:val="00F0175D"/>
    <w:rsid w:val="00F0185C"/>
    <w:rsid w:val="00F0397F"/>
    <w:rsid w:val="00F03F20"/>
    <w:rsid w:val="00F04ACB"/>
    <w:rsid w:val="00F05FCB"/>
    <w:rsid w:val="00F06768"/>
    <w:rsid w:val="00F06849"/>
    <w:rsid w:val="00F071BA"/>
    <w:rsid w:val="00F13110"/>
    <w:rsid w:val="00F13C51"/>
    <w:rsid w:val="00F13E2D"/>
    <w:rsid w:val="00F15271"/>
    <w:rsid w:val="00F17A03"/>
    <w:rsid w:val="00F20BF4"/>
    <w:rsid w:val="00F20E7D"/>
    <w:rsid w:val="00F22956"/>
    <w:rsid w:val="00F23036"/>
    <w:rsid w:val="00F23389"/>
    <w:rsid w:val="00F25FDD"/>
    <w:rsid w:val="00F26290"/>
    <w:rsid w:val="00F26449"/>
    <w:rsid w:val="00F31242"/>
    <w:rsid w:val="00F31455"/>
    <w:rsid w:val="00F31CE0"/>
    <w:rsid w:val="00F32EDA"/>
    <w:rsid w:val="00F35AA6"/>
    <w:rsid w:val="00F36F2C"/>
    <w:rsid w:val="00F37B28"/>
    <w:rsid w:val="00F37F19"/>
    <w:rsid w:val="00F404BA"/>
    <w:rsid w:val="00F41309"/>
    <w:rsid w:val="00F426AA"/>
    <w:rsid w:val="00F44256"/>
    <w:rsid w:val="00F45B11"/>
    <w:rsid w:val="00F45C19"/>
    <w:rsid w:val="00F45FE1"/>
    <w:rsid w:val="00F47EDD"/>
    <w:rsid w:val="00F500DE"/>
    <w:rsid w:val="00F50AC8"/>
    <w:rsid w:val="00F51F3F"/>
    <w:rsid w:val="00F5218F"/>
    <w:rsid w:val="00F53E75"/>
    <w:rsid w:val="00F54173"/>
    <w:rsid w:val="00F54EFA"/>
    <w:rsid w:val="00F56A9B"/>
    <w:rsid w:val="00F56C29"/>
    <w:rsid w:val="00F61A14"/>
    <w:rsid w:val="00F6356A"/>
    <w:rsid w:val="00F65043"/>
    <w:rsid w:val="00F668AE"/>
    <w:rsid w:val="00F70580"/>
    <w:rsid w:val="00F70BD4"/>
    <w:rsid w:val="00F7228B"/>
    <w:rsid w:val="00F7559F"/>
    <w:rsid w:val="00F773E1"/>
    <w:rsid w:val="00F77A09"/>
    <w:rsid w:val="00F77FE3"/>
    <w:rsid w:val="00F82327"/>
    <w:rsid w:val="00F824B7"/>
    <w:rsid w:val="00F84141"/>
    <w:rsid w:val="00F85051"/>
    <w:rsid w:val="00F86074"/>
    <w:rsid w:val="00F86C41"/>
    <w:rsid w:val="00F87F88"/>
    <w:rsid w:val="00F93106"/>
    <w:rsid w:val="00F95B92"/>
    <w:rsid w:val="00F96275"/>
    <w:rsid w:val="00F97A9D"/>
    <w:rsid w:val="00F97F41"/>
    <w:rsid w:val="00FA0AF5"/>
    <w:rsid w:val="00FA1CCE"/>
    <w:rsid w:val="00FA1E77"/>
    <w:rsid w:val="00FA2BCA"/>
    <w:rsid w:val="00FA5129"/>
    <w:rsid w:val="00FA6E2B"/>
    <w:rsid w:val="00FA77AC"/>
    <w:rsid w:val="00FB08AC"/>
    <w:rsid w:val="00FB1222"/>
    <w:rsid w:val="00FB2343"/>
    <w:rsid w:val="00FB2FDF"/>
    <w:rsid w:val="00FB5440"/>
    <w:rsid w:val="00FB57E8"/>
    <w:rsid w:val="00FB64E1"/>
    <w:rsid w:val="00FB6D36"/>
    <w:rsid w:val="00FC22F1"/>
    <w:rsid w:val="00FC2873"/>
    <w:rsid w:val="00FC3CC7"/>
    <w:rsid w:val="00FC495C"/>
    <w:rsid w:val="00FC4B7D"/>
    <w:rsid w:val="00FC4EEF"/>
    <w:rsid w:val="00FC69CB"/>
    <w:rsid w:val="00FD3A78"/>
    <w:rsid w:val="00FD550E"/>
    <w:rsid w:val="00FD578F"/>
    <w:rsid w:val="00FD5AB5"/>
    <w:rsid w:val="00FD7467"/>
    <w:rsid w:val="00FE3534"/>
    <w:rsid w:val="00FE4F0A"/>
    <w:rsid w:val="00FE5C52"/>
    <w:rsid w:val="00FE62AA"/>
    <w:rsid w:val="00FE63D4"/>
    <w:rsid w:val="00FE706C"/>
    <w:rsid w:val="00FF12C2"/>
    <w:rsid w:val="00FF1BCA"/>
    <w:rsid w:val="00FF3CB9"/>
    <w:rsid w:val="00FF5284"/>
    <w:rsid w:val="00FF59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78C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39F"/>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26290"/>
    <w:pPr>
      <w:spacing w:before="100" w:beforeAutospacing="1" w:after="100" w:afterAutospacing="1"/>
    </w:pPr>
  </w:style>
  <w:style w:type="character" w:customStyle="1" w:styleId="apple-converted-space">
    <w:name w:val="apple-converted-space"/>
    <w:basedOn w:val="Fuentedeprrafopredeter"/>
    <w:rsid w:val="0048050A"/>
  </w:style>
  <w:style w:type="table" w:styleId="Tablaconcuadrcula">
    <w:name w:val="Table Grid"/>
    <w:basedOn w:val="Tablanormal"/>
    <w:uiPriority w:val="39"/>
    <w:rsid w:val="0012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A2F75"/>
    <w:rPr>
      <w:sz w:val="16"/>
      <w:szCs w:val="16"/>
    </w:rPr>
  </w:style>
  <w:style w:type="paragraph" w:styleId="Textocomentario">
    <w:name w:val="annotation text"/>
    <w:basedOn w:val="Normal"/>
    <w:link w:val="TextocomentarioCar"/>
    <w:uiPriority w:val="99"/>
    <w:unhideWhenUsed/>
    <w:rsid w:val="001A2F75"/>
    <w:rPr>
      <w:sz w:val="20"/>
      <w:szCs w:val="20"/>
    </w:rPr>
  </w:style>
  <w:style w:type="character" w:customStyle="1" w:styleId="TextocomentarioCar">
    <w:name w:val="Texto comentario Car"/>
    <w:basedOn w:val="Fuentedeprrafopredeter"/>
    <w:link w:val="Textocomentario"/>
    <w:uiPriority w:val="99"/>
    <w:rsid w:val="001A2F75"/>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1A2F75"/>
    <w:rPr>
      <w:b/>
      <w:bCs/>
    </w:rPr>
  </w:style>
  <w:style w:type="character" w:customStyle="1" w:styleId="AsuntodelcomentarioCar">
    <w:name w:val="Asunto del comentario Car"/>
    <w:basedOn w:val="TextocomentarioCar"/>
    <w:link w:val="Asuntodelcomentario"/>
    <w:uiPriority w:val="99"/>
    <w:semiHidden/>
    <w:rsid w:val="001A2F75"/>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1A2F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2F75"/>
    <w:rPr>
      <w:rFonts w:ascii="Segoe UI" w:eastAsia="Times New Roman" w:hAnsi="Segoe UI" w:cs="Segoe UI"/>
      <w:sz w:val="18"/>
      <w:szCs w:val="18"/>
      <w:lang w:eastAsia="es-ES_tradnl"/>
    </w:rPr>
  </w:style>
  <w:style w:type="paragraph" w:styleId="Prrafodelista">
    <w:name w:val="List Paragraph"/>
    <w:basedOn w:val="Normal"/>
    <w:uiPriority w:val="34"/>
    <w:qFormat/>
    <w:rsid w:val="0063068C"/>
    <w:pPr>
      <w:ind w:left="720"/>
      <w:contextualSpacing/>
    </w:pPr>
  </w:style>
  <w:style w:type="character" w:customStyle="1" w:styleId="fontstyle01">
    <w:name w:val="fontstyle01"/>
    <w:basedOn w:val="Fuentedeprrafopredeter"/>
    <w:rsid w:val="00F84141"/>
    <w:rPr>
      <w:rFonts w:ascii="Times New Roman" w:hAnsi="Times New Roman" w:cs="Times New Roman" w:hint="default"/>
      <w:b w:val="0"/>
      <w:bCs w:val="0"/>
      <w:i w:val="0"/>
      <w:iCs w:val="0"/>
      <w:color w:val="000000"/>
      <w:sz w:val="20"/>
      <w:szCs w:val="20"/>
    </w:rPr>
  </w:style>
  <w:style w:type="character" w:customStyle="1" w:styleId="fontstyle21">
    <w:name w:val="fontstyle21"/>
    <w:basedOn w:val="Fuentedeprrafopredeter"/>
    <w:rsid w:val="00F84141"/>
    <w:rPr>
      <w:rFonts w:ascii="Times New Roman" w:hAnsi="Times New Roman" w:cs="Times New Roman" w:hint="default"/>
      <w:b/>
      <w:bCs/>
      <w:i w:val="0"/>
      <w:iCs w:val="0"/>
      <w:color w:val="000000"/>
      <w:sz w:val="20"/>
      <w:szCs w:val="20"/>
    </w:rPr>
  </w:style>
  <w:style w:type="character" w:customStyle="1" w:styleId="fontstyle31">
    <w:name w:val="fontstyle31"/>
    <w:basedOn w:val="Fuentedeprrafopredeter"/>
    <w:rsid w:val="00F84141"/>
    <w:rPr>
      <w:rFonts w:ascii="Calibri" w:hAnsi="Calibri" w:cs="Calibri" w:hint="default"/>
      <w:b w:val="0"/>
      <w:bCs w:val="0"/>
      <w:i w:val="0"/>
      <w:iCs w:val="0"/>
      <w:color w:val="000000"/>
      <w:sz w:val="22"/>
      <w:szCs w:val="22"/>
    </w:rPr>
  </w:style>
  <w:style w:type="character" w:customStyle="1" w:styleId="mord">
    <w:name w:val="mord"/>
    <w:basedOn w:val="Fuentedeprrafopredeter"/>
    <w:rsid w:val="002F6663"/>
  </w:style>
  <w:style w:type="character" w:customStyle="1" w:styleId="mrel">
    <w:name w:val="mrel"/>
    <w:basedOn w:val="Fuentedeprrafopredeter"/>
    <w:rsid w:val="002F6663"/>
  </w:style>
  <w:style w:type="character" w:customStyle="1" w:styleId="delimsizing">
    <w:name w:val="delimsizing"/>
    <w:basedOn w:val="Fuentedeprrafopredeter"/>
    <w:rsid w:val="002F6663"/>
  </w:style>
  <w:style w:type="character" w:customStyle="1" w:styleId="vlist-s">
    <w:name w:val="vlist-s"/>
    <w:basedOn w:val="Fuentedeprrafopredeter"/>
    <w:rsid w:val="002F6663"/>
  </w:style>
  <w:style w:type="character" w:customStyle="1" w:styleId="mbin">
    <w:name w:val="mbin"/>
    <w:basedOn w:val="Fuentedeprrafopredeter"/>
    <w:rsid w:val="002F6663"/>
  </w:style>
  <w:style w:type="character" w:styleId="Textodelmarcadordeposicin">
    <w:name w:val="Placeholder Text"/>
    <w:basedOn w:val="Fuentedeprrafopredeter"/>
    <w:uiPriority w:val="99"/>
    <w:semiHidden/>
    <w:rsid w:val="00EF247A"/>
    <w:rPr>
      <w:color w:val="808080"/>
    </w:rPr>
  </w:style>
  <w:style w:type="paragraph" w:styleId="HTMLconformatoprevio">
    <w:name w:val="HTML Preformatted"/>
    <w:basedOn w:val="Normal"/>
    <w:link w:val="HTMLconformatoprevioCar"/>
    <w:uiPriority w:val="99"/>
    <w:semiHidden/>
    <w:unhideWhenUsed/>
    <w:rsid w:val="00360727"/>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60727"/>
    <w:rPr>
      <w:rFonts w:ascii="Consolas" w:eastAsia="Times New Roman" w:hAnsi="Consolas" w:cs="Times New Roman"/>
      <w:sz w:val="20"/>
      <w:szCs w:val="20"/>
      <w:lang w:eastAsia="es-ES_tradnl"/>
    </w:rPr>
  </w:style>
  <w:style w:type="character" w:styleId="Hipervnculo">
    <w:name w:val="Hyperlink"/>
    <w:basedOn w:val="Fuentedeprrafopredeter"/>
    <w:uiPriority w:val="99"/>
    <w:unhideWhenUsed/>
    <w:rsid w:val="00345573"/>
    <w:rPr>
      <w:color w:val="0563C1" w:themeColor="hyperlink"/>
      <w:u w:val="single"/>
    </w:rPr>
  </w:style>
  <w:style w:type="paragraph" w:styleId="Encabezado">
    <w:name w:val="header"/>
    <w:basedOn w:val="Normal"/>
    <w:link w:val="EncabezadoCar"/>
    <w:uiPriority w:val="99"/>
    <w:unhideWhenUsed/>
    <w:rsid w:val="005276AD"/>
    <w:pPr>
      <w:tabs>
        <w:tab w:val="center" w:pos="4252"/>
        <w:tab w:val="right" w:pos="8504"/>
      </w:tabs>
    </w:pPr>
  </w:style>
  <w:style w:type="character" w:customStyle="1" w:styleId="EncabezadoCar">
    <w:name w:val="Encabezado Car"/>
    <w:basedOn w:val="Fuentedeprrafopredeter"/>
    <w:link w:val="Encabezado"/>
    <w:uiPriority w:val="99"/>
    <w:rsid w:val="005276AD"/>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5276AD"/>
    <w:pPr>
      <w:tabs>
        <w:tab w:val="center" w:pos="4252"/>
        <w:tab w:val="right" w:pos="8504"/>
      </w:tabs>
    </w:pPr>
  </w:style>
  <w:style w:type="character" w:customStyle="1" w:styleId="PiedepginaCar">
    <w:name w:val="Pie de página Car"/>
    <w:basedOn w:val="Fuentedeprrafopredeter"/>
    <w:link w:val="Piedepgina"/>
    <w:uiPriority w:val="99"/>
    <w:rsid w:val="005276AD"/>
    <w:rPr>
      <w:rFonts w:ascii="Times New Roman" w:eastAsia="Times New Roman" w:hAnsi="Times New Roman" w:cs="Times New Roman"/>
      <w:lang w:eastAsia="es-ES_tradnl"/>
    </w:rPr>
  </w:style>
  <w:style w:type="character" w:styleId="Nmerodelnea">
    <w:name w:val="line number"/>
    <w:basedOn w:val="Fuentedeprrafopredeter"/>
    <w:uiPriority w:val="99"/>
    <w:semiHidden/>
    <w:unhideWhenUsed/>
    <w:rsid w:val="00795516"/>
  </w:style>
  <w:style w:type="paragraph" w:styleId="Revisin">
    <w:name w:val="Revision"/>
    <w:hidden/>
    <w:uiPriority w:val="99"/>
    <w:semiHidden/>
    <w:rsid w:val="00084FB3"/>
    <w:rPr>
      <w:rFonts w:ascii="Times New Roman" w:eastAsia="Times New Roman" w:hAnsi="Times New Roman" w:cs="Times New Roman"/>
      <w:lang w:eastAsia="es-ES_tradnl"/>
    </w:rPr>
  </w:style>
  <w:style w:type="paragraph" w:styleId="Bibliografa">
    <w:name w:val="Bibliography"/>
    <w:basedOn w:val="Normal"/>
    <w:next w:val="Normal"/>
    <w:uiPriority w:val="37"/>
    <w:unhideWhenUsed/>
    <w:rsid w:val="00F010FD"/>
    <w:pPr>
      <w:spacing w:line="480" w:lineRule="auto"/>
      <w:ind w:left="720" w:hanging="720"/>
    </w:pPr>
  </w:style>
  <w:style w:type="table" w:customStyle="1" w:styleId="TableNormal">
    <w:name w:val="TableNormal"/>
    <w:rsid w:val="00120D67"/>
    <w:pPr>
      <w:spacing w:after="160" w:line="259" w:lineRule="auto"/>
    </w:pPr>
    <w:rPr>
      <w:rFonts w:ascii="Calibri" w:eastAsia="Calibri" w:hAnsi="Calibri" w:cs="Calibri"/>
      <w:sz w:val="22"/>
      <w:szCs w:val="22"/>
      <w:lang w:eastAsia="es-AR"/>
    </w:rPr>
    <w:tblPr>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4B31A7"/>
    <w:rPr>
      <w:color w:val="605E5C"/>
      <w:shd w:val="clear" w:color="auto" w:fill="E1DFDD"/>
    </w:rPr>
  </w:style>
  <w:style w:type="character" w:styleId="Mencinsinresolver">
    <w:name w:val="Unresolved Mention"/>
    <w:basedOn w:val="Fuentedeprrafopredeter"/>
    <w:uiPriority w:val="99"/>
    <w:semiHidden/>
    <w:unhideWhenUsed/>
    <w:rsid w:val="00570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3619">
      <w:bodyDiv w:val="1"/>
      <w:marLeft w:val="0"/>
      <w:marRight w:val="0"/>
      <w:marTop w:val="0"/>
      <w:marBottom w:val="0"/>
      <w:divBdr>
        <w:top w:val="none" w:sz="0" w:space="0" w:color="auto"/>
        <w:left w:val="none" w:sz="0" w:space="0" w:color="auto"/>
        <w:bottom w:val="none" w:sz="0" w:space="0" w:color="auto"/>
        <w:right w:val="none" w:sz="0" w:space="0" w:color="auto"/>
      </w:divBdr>
      <w:divsChild>
        <w:div w:id="862864609">
          <w:marLeft w:val="0"/>
          <w:marRight w:val="0"/>
          <w:marTop w:val="0"/>
          <w:marBottom w:val="0"/>
          <w:divBdr>
            <w:top w:val="none" w:sz="0" w:space="0" w:color="auto"/>
            <w:left w:val="none" w:sz="0" w:space="0" w:color="auto"/>
            <w:bottom w:val="none" w:sz="0" w:space="0" w:color="auto"/>
            <w:right w:val="none" w:sz="0" w:space="0" w:color="auto"/>
          </w:divBdr>
          <w:divsChild>
            <w:div w:id="1387601330">
              <w:marLeft w:val="0"/>
              <w:marRight w:val="0"/>
              <w:marTop w:val="0"/>
              <w:marBottom w:val="0"/>
              <w:divBdr>
                <w:top w:val="none" w:sz="0" w:space="0" w:color="auto"/>
                <w:left w:val="none" w:sz="0" w:space="0" w:color="auto"/>
                <w:bottom w:val="none" w:sz="0" w:space="0" w:color="auto"/>
                <w:right w:val="none" w:sz="0" w:space="0" w:color="auto"/>
              </w:divBdr>
              <w:divsChild>
                <w:div w:id="5501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961">
      <w:bodyDiv w:val="1"/>
      <w:marLeft w:val="0"/>
      <w:marRight w:val="0"/>
      <w:marTop w:val="0"/>
      <w:marBottom w:val="0"/>
      <w:divBdr>
        <w:top w:val="none" w:sz="0" w:space="0" w:color="auto"/>
        <w:left w:val="none" w:sz="0" w:space="0" w:color="auto"/>
        <w:bottom w:val="none" w:sz="0" w:space="0" w:color="auto"/>
        <w:right w:val="none" w:sz="0" w:space="0" w:color="auto"/>
      </w:divBdr>
      <w:divsChild>
        <w:div w:id="972640091">
          <w:marLeft w:val="0"/>
          <w:marRight w:val="0"/>
          <w:marTop w:val="0"/>
          <w:marBottom w:val="0"/>
          <w:divBdr>
            <w:top w:val="none" w:sz="0" w:space="0" w:color="auto"/>
            <w:left w:val="none" w:sz="0" w:space="0" w:color="auto"/>
            <w:bottom w:val="none" w:sz="0" w:space="0" w:color="auto"/>
            <w:right w:val="none" w:sz="0" w:space="0" w:color="auto"/>
          </w:divBdr>
          <w:divsChild>
            <w:div w:id="1062681535">
              <w:marLeft w:val="0"/>
              <w:marRight w:val="0"/>
              <w:marTop w:val="0"/>
              <w:marBottom w:val="0"/>
              <w:divBdr>
                <w:top w:val="none" w:sz="0" w:space="0" w:color="auto"/>
                <w:left w:val="none" w:sz="0" w:space="0" w:color="auto"/>
                <w:bottom w:val="none" w:sz="0" w:space="0" w:color="auto"/>
                <w:right w:val="none" w:sz="0" w:space="0" w:color="auto"/>
              </w:divBdr>
              <w:divsChild>
                <w:div w:id="6808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2473">
      <w:bodyDiv w:val="1"/>
      <w:marLeft w:val="0"/>
      <w:marRight w:val="0"/>
      <w:marTop w:val="0"/>
      <w:marBottom w:val="0"/>
      <w:divBdr>
        <w:top w:val="none" w:sz="0" w:space="0" w:color="auto"/>
        <w:left w:val="none" w:sz="0" w:space="0" w:color="auto"/>
        <w:bottom w:val="none" w:sz="0" w:space="0" w:color="auto"/>
        <w:right w:val="none" w:sz="0" w:space="0" w:color="auto"/>
      </w:divBdr>
      <w:divsChild>
        <w:div w:id="2132553778">
          <w:marLeft w:val="0"/>
          <w:marRight w:val="0"/>
          <w:marTop w:val="0"/>
          <w:marBottom w:val="0"/>
          <w:divBdr>
            <w:top w:val="none" w:sz="0" w:space="0" w:color="auto"/>
            <w:left w:val="none" w:sz="0" w:space="0" w:color="auto"/>
            <w:bottom w:val="none" w:sz="0" w:space="0" w:color="auto"/>
            <w:right w:val="none" w:sz="0" w:space="0" w:color="auto"/>
          </w:divBdr>
          <w:divsChild>
            <w:div w:id="218397344">
              <w:marLeft w:val="0"/>
              <w:marRight w:val="0"/>
              <w:marTop w:val="0"/>
              <w:marBottom w:val="0"/>
              <w:divBdr>
                <w:top w:val="none" w:sz="0" w:space="0" w:color="auto"/>
                <w:left w:val="none" w:sz="0" w:space="0" w:color="auto"/>
                <w:bottom w:val="none" w:sz="0" w:space="0" w:color="auto"/>
                <w:right w:val="none" w:sz="0" w:space="0" w:color="auto"/>
              </w:divBdr>
              <w:divsChild>
                <w:div w:id="12789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9885">
      <w:bodyDiv w:val="1"/>
      <w:marLeft w:val="0"/>
      <w:marRight w:val="0"/>
      <w:marTop w:val="0"/>
      <w:marBottom w:val="0"/>
      <w:divBdr>
        <w:top w:val="none" w:sz="0" w:space="0" w:color="auto"/>
        <w:left w:val="none" w:sz="0" w:space="0" w:color="auto"/>
        <w:bottom w:val="none" w:sz="0" w:space="0" w:color="auto"/>
        <w:right w:val="none" w:sz="0" w:space="0" w:color="auto"/>
      </w:divBdr>
      <w:divsChild>
        <w:div w:id="1579710522">
          <w:marLeft w:val="0"/>
          <w:marRight w:val="0"/>
          <w:marTop w:val="0"/>
          <w:marBottom w:val="0"/>
          <w:divBdr>
            <w:top w:val="none" w:sz="0" w:space="0" w:color="auto"/>
            <w:left w:val="none" w:sz="0" w:space="0" w:color="auto"/>
            <w:bottom w:val="none" w:sz="0" w:space="0" w:color="auto"/>
            <w:right w:val="none" w:sz="0" w:space="0" w:color="auto"/>
          </w:divBdr>
          <w:divsChild>
            <w:div w:id="1060902492">
              <w:marLeft w:val="0"/>
              <w:marRight w:val="0"/>
              <w:marTop w:val="0"/>
              <w:marBottom w:val="0"/>
              <w:divBdr>
                <w:top w:val="none" w:sz="0" w:space="0" w:color="auto"/>
                <w:left w:val="none" w:sz="0" w:space="0" w:color="auto"/>
                <w:bottom w:val="none" w:sz="0" w:space="0" w:color="auto"/>
                <w:right w:val="none" w:sz="0" w:space="0" w:color="auto"/>
              </w:divBdr>
              <w:divsChild>
                <w:div w:id="843741788">
                  <w:marLeft w:val="0"/>
                  <w:marRight w:val="0"/>
                  <w:marTop w:val="0"/>
                  <w:marBottom w:val="0"/>
                  <w:divBdr>
                    <w:top w:val="none" w:sz="0" w:space="0" w:color="auto"/>
                    <w:left w:val="none" w:sz="0" w:space="0" w:color="auto"/>
                    <w:bottom w:val="none" w:sz="0" w:space="0" w:color="auto"/>
                    <w:right w:val="none" w:sz="0" w:space="0" w:color="auto"/>
                  </w:divBdr>
                  <w:divsChild>
                    <w:div w:id="4009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266">
      <w:bodyDiv w:val="1"/>
      <w:marLeft w:val="0"/>
      <w:marRight w:val="0"/>
      <w:marTop w:val="0"/>
      <w:marBottom w:val="0"/>
      <w:divBdr>
        <w:top w:val="none" w:sz="0" w:space="0" w:color="auto"/>
        <w:left w:val="none" w:sz="0" w:space="0" w:color="auto"/>
        <w:bottom w:val="none" w:sz="0" w:space="0" w:color="auto"/>
        <w:right w:val="none" w:sz="0" w:space="0" w:color="auto"/>
      </w:divBdr>
      <w:divsChild>
        <w:div w:id="446244306">
          <w:marLeft w:val="0"/>
          <w:marRight w:val="0"/>
          <w:marTop w:val="0"/>
          <w:marBottom w:val="0"/>
          <w:divBdr>
            <w:top w:val="none" w:sz="0" w:space="0" w:color="auto"/>
            <w:left w:val="none" w:sz="0" w:space="0" w:color="auto"/>
            <w:bottom w:val="none" w:sz="0" w:space="0" w:color="auto"/>
            <w:right w:val="none" w:sz="0" w:space="0" w:color="auto"/>
          </w:divBdr>
          <w:divsChild>
            <w:div w:id="987250503">
              <w:marLeft w:val="0"/>
              <w:marRight w:val="0"/>
              <w:marTop w:val="0"/>
              <w:marBottom w:val="0"/>
              <w:divBdr>
                <w:top w:val="none" w:sz="0" w:space="0" w:color="auto"/>
                <w:left w:val="none" w:sz="0" w:space="0" w:color="auto"/>
                <w:bottom w:val="none" w:sz="0" w:space="0" w:color="auto"/>
                <w:right w:val="none" w:sz="0" w:space="0" w:color="auto"/>
              </w:divBdr>
              <w:divsChild>
                <w:div w:id="21250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9226">
      <w:bodyDiv w:val="1"/>
      <w:marLeft w:val="0"/>
      <w:marRight w:val="0"/>
      <w:marTop w:val="0"/>
      <w:marBottom w:val="0"/>
      <w:divBdr>
        <w:top w:val="none" w:sz="0" w:space="0" w:color="auto"/>
        <w:left w:val="none" w:sz="0" w:space="0" w:color="auto"/>
        <w:bottom w:val="none" w:sz="0" w:space="0" w:color="auto"/>
        <w:right w:val="none" w:sz="0" w:space="0" w:color="auto"/>
      </w:divBdr>
      <w:divsChild>
        <w:div w:id="971205012">
          <w:marLeft w:val="0"/>
          <w:marRight w:val="0"/>
          <w:marTop w:val="0"/>
          <w:marBottom w:val="0"/>
          <w:divBdr>
            <w:top w:val="none" w:sz="0" w:space="0" w:color="auto"/>
            <w:left w:val="none" w:sz="0" w:space="0" w:color="auto"/>
            <w:bottom w:val="none" w:sz="0" w:space="0" w:color="auto"/>
            <w:right w:val="none" w:sz="0" w:space="0" w:color="auto"/>
          </w:divBdr>
          <w:divsChild>
            <w:div w:id="1028794622">
              <w:marLeft w:val="0"/>
              <w:marRight w:val="0"/>
              <w:marTop w:val="0"/>
              <w:marBottom w:val="0"/>
              <w:divBdr>
                <w:top w:val="none" w:sz="0" w:space="0" w:color="auto"/>
                <w:left w:val="none" w:sz="0" w:space="0" w:color="auto"/>
                <w:bottom w:val="none" w:sz="0" w:space="0" w:color="auto"/>
                <w:right w:val="none" w:sz="0" w:space="0" w:color="auto"/>
              </w:divBdr>
              <w:divsChild>
                <w:div w:id="10067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1977">
      <w:bodyDiv w:val="1"/>
      <w:marLeft w:val="0"/>
      <w:marRight w:val="0"/>
      <w:marTop w:val="0"/>
      <w:marBottom w:val="0"/>
      <w:divBdr>
        <w:top w:val="none" w:sz="0" w:space="0" w:color="auto"/>
        <w:left w:val="none" w:sz="0" w:space="0" w:color="auto"/>
        <w:bottom w:val="none" w:sz="0" w:space="0" w:color="auto"/>
        <w:right w:val="none" w:sz="0" w:space="0" w:color="auto"/>
      </w:divBdr>
      <w:divsChild>
        <w:div w:id="36973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7779">
      <w:bodyDiv w:val="1"/>
      <w:marLeft w:val="0"/>
      <w:marRight w:val="0"/>
      <w:marTop w:val="0"/>
      <w:marBottom w:val="0"/>
      <w:divBdr>
        <w:top w:val="none" w:sz="0" w:space="0" w:color="auto"/>
        <w:left w:val="none" w:sz="0" w:space="0" w:color="auto"/>
        <w:bottom w:val="none" w:sz="0" w:space="0" w:color="auto"/>
        <w:right w:val="none" w:sz="0" w:space="0" w:color="auto"/>
      </w:divBdr>
    </w:div>
    <w:div w:id="250628276">
      <w:bodyDiv w:val="1"/>
      <w:marLeft w:val="0"/>
      <w:marRight w:val="0"/>
      <w:marTop w:val="0"/>
      <w:marBottom w:val="0"/>
      <w:divBdr>
        <w:top w:val="none" w:sz="0" w:space="0" w:color="auto"/>
        <w:left w:val="none" w:sz="0" w:space="0" w:color="auto"/>
        <w:bottom w:val="none" w:sz="0" w:space="0" w:color="auto"/>
        <w:right w:val="none" w:sz="0" w:space="0" w:color="auto"/>
      </w:divBdr>
      <w:divsChild>
        <w:div w:id="382216018">
          <w:marLeft w:val="0"/>
          <w:marRight w:val="0"/>
          <w:marTop w:val="0"/>
          <w:marBottom w:val="0"/>
          <w:divBdr>
            <w:top w:val="none" w:sz="0" w:space="0" w:color="auto"/>
            <w:left w:val="none" w:sz="0" w:space="0" w:color="auto"/>
            <w:bottom w:val="none" w:sz="0" w:space="0" w:color="auto"/>
            <w:right w:val="none" w:sz="0" w:space="0" w:color="auto"/>
          </w:divBdr>
          <w:divsChild>
            <w:div w:id="2061784821">
              <w:marLeft w:val="0"/>
              <w:marRight w:val="0"/>
              <w:marTop w:val="0"/>
              <w:marBottom w:val="0"/>
              <w:divBdr>
                <w:top w:val="none" w:sz="0" w:space="0" w:color="auto"/>
                <w:left w:val="none" w:sz="0" w:space="0" w:color="auto"/>
                <w:bottom w:val="none" w:sz="0" w:space="0" w:color="auto"/>
                <w:right w:val="none" w:sz="0" w:space="0" w:color="auto"/>
              </w:divBdr>
              <w:divsChild>
                <w:div w:id="147140591">
                  <w:marLeft w:val="0"/>
                  <w:marRight w:val="0"/>
                  <w:marTop w:val="0"/>
                  <w:marBottom w:val="0"/>
                  <w:divBdr>
                    <w:top w:val="none" w:sz="0" w:space="0" w:color="auto"/>
                    <w:left w:val="none" w:sz="0" w:space="0" w:color="auto"/>
                    <w:bottom w:val="none" w:sz="0" w:space="0" w:color="auto"/>
                    <w:right w:val="none" w:sz="0" w:space="0" w:color="auto"/>
                  </w:divBdr>
                </w:div>
                <w:div w:id="18576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32641">
      <w:bodyDiv w:val="1"/>
      <w:marLeft w:val="0"/>
      <w:marRight w:val="0"/>
      <w:marTop w:val="0"/>
      <w:marBottom w:val="0"/>
      <w:divBdr>
        <w:top w:val="none" w:sz="0" w:space="0" w:color="auto"/>
        <w:left w:val="none" w:sz="0" w:space="0" w:color="auto"/>
        <w:bottom w:val="none" w:sz="0" w:space="0" w:color="auto"/>
        <w:right w:val="none" w:sz="0" w:space="0" w:color="auto"/>
      </w:divBdr>
      <w:divsChild>
        <w:div w:id="1263220463">
          <w:marLeft w:val="0"/>
          <w:marRight w:val="0"/>
          <w:marTop w:val="0"/>
          <w:marBottom w:val="0"/>
          <w:divBdr>
            <w:top w:val="none" w:sz="0" w:space="0" w:color="auto"/>
            <w:left w:val="none" w:sz="0" w:space="0" w:color="auto"/>
            <w:bottom w:val="none" w:sz="0" w:space="0" w:color="auto"/>
            <w:right w:val="none" w:sz="0" w:space="0" w:color="auto"/>
          </w:divBdr>
          <w:divsChild>
            <w:div w:id="1300721614">
              <w:marLeft w:val="0"/>
              <w:marRight w:val="0"/>
              <w:marTop w:val="0"/>
              <w:marBottom w:val="0"/>
              <w:divBdr>
                <w:top w:val="none" w:sz="0" w:space="0" w:color="auto"/>
                <w:left w:val="none" w:sz="0" w:space="0" w:color="auto"/>
                <w:bottom w:val="none" w:sz="0" w:space="0" w:color="auto"/>
                <w:right w:val="none" w:sz="0" w:space="0" w:color="auto"/>
              </w:divBdr>
              <w:divsChild>
                <w:div w:id="2089618411">
                  <w:marLeft w:val="0"/>
                  <w:marRight w:val="0"/>
                  <w:marTop w:val="0"/>
                  <w:marBottom w:val="0"/>
                  <w:divBdr>
                    <w:top w:val="none" w:sz="0" w:space="0" w:color="auto"/>
                    <w:left w:val="none" w:sz="0" w:space="0" w:color="auto"/>
                    <w:bottom w:val="none" w:sz="0" w:space="0" w:color="auto"/>
                    <w:right w:val="none" w:sz="0" w:space="0" w:color="auto"/>
                  </w:divBdr>
                  <w:divsChild>
                    <w:div w:id="8239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5890">
      <w:bodyDiv w:val="1"/>
      <w:marLeft w:val="0"/>
      <w:marRight w:val="0"/>
      <w:marTop w:val="0"/>
      <w:marBottom w:val="0"/>
      <w:divBdr>
        <w:top w:val="none" w:sz="0" w:space="0" w:color="auto"/>
        <w:left w:val="none" w:sz="0" w:space="0" w:color="auto"/>
        <w:bottom w:val="none" w:sz="0" w:space="0" w:color="auto"/>
        <w:right w:val="none" w:sz="0" w:space="0" w:color="auto"/>
      </w:divBdr>
      <w:divsChild>
        <w:div w:id="1603948777">
          <w:marLeft w:val="0"/>
          <w:marRight w:val="0"/>
          <w:marTop w:val="0"/>
          <w:marBottom w:val="0"/>
          <w:divBdr>
            <w:top w:val="none" w:sz="0" w:space="0" w:color="auto"/>
            <w:left w:val="none" w:sz="0" w:space="0" w:color="auto"/>
            <w:bottom w:val="none" w:sz="0" w:space="0" w:color="auto"/>
            <w:right w:val="none" w:sz="0" w:space="0" w:color="auto"/>
          </w:divBdr>
          <w:divsChild>
            <w:div w:id="1507866407">
              <w:marLeft w:val="0"/>
              <w:marRight w:val="0"/>
              <w:marTop w:val="0"/>
              <w:marBottom w:val="0"/>
              <w:divBdr>
                <w:top w:val="none" w:sz="0" w:space="0" w:color="auto"/>
                <w:left w:val="none" w:sz="0" w:space="0" w:color="auto"/>
                <w:bottom w:val="none" w:sz="0" w:space="0" w:color="auto"/>
                <w:right w:val="none" w:sz="0" w:space="0" w:color="auto"/>
              </w:divBdr>
              <w:divsChild>
                <w:div w:id="20240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7882">
      <w:bodyDiv w:val="1"/>
      <w:marLeft w:val="0"/>
      <w:marRight w:val="0"/>
      <w:marTop w:val="0"/>
      <w:marBottom w:val="0"/>
      <w:divBdr>
        <w:top w:val="none" w:sz="0" w:space="0" w:color="auto"/>
        <w:left w:val="none" w:sz="0" w:space="0" w:color="auto"/>
        <w:bottom w:val="none" w:sz="0" w:space="0" w:color="auto"/>
        <w:right w:val="none" w:sz="0" w:space="0" w:color="auto"/>
      </w:divBdr>
    </w:div>
    <w:div w:id="349575843">
      <w:bodyDiv w:val="1"/>
      <w:marLeft w:val="0"/>
      <w:marRight w:val="0"/>
      <w:marTop w:val="0"/>
      <w:marBottom w:val="0"/>
      <w:divBdr>
        <w:top w:val="none" w:sz="0" w:space="0" w:color="auto"/>
        <w:left w:val="none" w:sz="0" w:space="0" w:color="auto"/>
        <w:bottom w:val="none" w:sz="0" w:space="0" w:color="auto"/>
        <w:right w:val="none" w:sz="0" w:space="0" w:color="auto"/>
      </w:divBdr>
      <w:divsChild>
        <w:div w:id="1596667461">
          <w:marLeft w:val="0"/>
          <w:marRight w:val="0"/>
          <w:marTop w:val="0"/>
          <w:marBottom w:val="0"/>
          <w:divBdr>
            <w:top w:val="none" w:sz="0" w:space="0" w:color="auto"/>
            <w:left w:val="none" w:sz="0" w:space="0" w:color="auto"/>
            <w:bottom w:val="none" w:sz="0" w:space="0" w:color="auto"/>
            <w:right w:val="none" w:sz="0" w:space="0" w:color="auto"/>
          </w:divBdr>
          <w:divsChild>
            <w:div w:id="1039015690">
              <w:marLeft w:val="0"/>
              <w:marRight w:val="0"/>
              <w:marTop w:val="0"/>
              <w:marBottom w:val="0"/>
              <w:divBdr>
                <w:top w:val="none" w:sz="0" w:space="0" w:color="auto"/>
                <w:left w:val="none" w:sz="0" w:space="0" w:color="auto"/>
                <w:bottom w:val="none" w:sz="0" w:space="0" w:color="auto"/>
                <w:right w:val="none" w:sz="0" w:space="0" w:color="auto"/>
              </w:divBdr>
              <w:divsChild>
                <w:div w:id="16535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2303">
      <w:bodyDiv w:val="1"/>
      <w:marLeft w:val="0"/>
      <w:marRight w:val="0"/>
      <w:marTop w:val="0"/>
      <w:marBottom w:val="0"/>
      <w:divBdr>
        <w:top w:val="none" w:sz="0" w:space="0" w:color="auto"/>
        <w:left w:val="none" w:sz="0" w:space="0" w:color="auto"/>
        <w:bottom w:val="none" w:sz="0" w:space="0" w:color="auto"/>
        <w:right w:val="none" w:sz="0" w:space="0" w:color="auto"/>
      </w:divBdr>
      <w:divsChild>
        <w:div w:id="1143279024">
          <w:marLeft w:val="0"/>
          <w:marRight w:val="0"/>
          <w:marTop w:val="0"/>
          <w:marBottom w:val="0"/>
          <w:divBdr>
            <w:top w:val="none" w:sz="0" w:space="0" w:color="auto"/>
            <w:left w:val="none" w:sz="0" w:space="0" w:color="auto"/>
            <w:bottom w:val="none" w:sz="0" w:space="0" w:color="auto"/>
            <w:right w:val="none" w:sz="0" w:space="0" w:color="auto"/>
          </w:divBdr>
          <w:divsChild>
            <w:div w:id="1373187724">
              <w:marLeft w:val="0"/>
              <w:marRight w:val="0"/>
              <w:marTop w:val="0"/>
              <w:marBottom w:val="0"/>
              <w:divBdr>
                <w:top w:val="none" w:sz="0" w:space="0" w:color="auto"/>
                <w:left w:val="none" w:sz="0" w:space="0" w:color="auto"/>
                <w:bottom w:val="none" w:sz="0" w:space="0" w:color="auto"/>
                <w:right w:val="none" w:sz="0" w:space="0" w:color="auto"/>
              </w:divBdr>
              <w:divsChild>
                <w:div w:id="5988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8283">
      <w:bodyDiv w:val="1"/>
      <w:marLeft w:val="0"/>
      <w:marRight w:val="0"/>
      <w:marTop w:val="0"/>
      <w:marBottom w:val="0"/>
      <w:divBdr>
        <w:top w:val="none" w:sz="0" w:space="0" w:color="auto"/>
        <w:left w:val="none" w:sz="0" w:space="0" w:color="auto"/>
        <w:bottom w:val="none" w:sz="0" w:space="0" w:color="auto"/>
        <w:right w:val="none" w:sz="0" w:space="0" w:color="auto"/>
      </w:divBdr>
      <w:divsChild>
        <w:div w:id="801072346">
          <w:marLeft w:val="0"/>
          <w:marRight w:val="0"/>
          <w:marTop w:val="0"/>
          <w:marBottom w:val="0"/>
          <w:divBdr>
            <w:top w:val="none" w:sz="0" w:space="0" w:color="auto"/>
            <w:left w:val="none" w:sz="0" w:space="0" w:color="auto"/>
            <w:bottom w:val="none" w:sz="0" w:space="0" w:color="auto"/>
            <w:right w:val="none" w:sz="0" w:space="0" w:color="auto"/>
          </w:divBdr>
          <w:divsChild>
            <w:div w:id="1498300782">
              <w:marLeft w:val="0"/>
              <w:marRight w:val="0"/>
              <w:marTop w:val="0"/>
              <w:marBottom w:val="0"/>
              <w:divBdr>
                <w:top w:val="none" w:sz="0" w:space="0" w:color="auto"/>
                <w:left w:val="none" w:sz="0" w:space="0" w:color="auto"/>
                <w:bottom w:val="none" w:sz="0" w:space="0" w:color="auto"/>
                <w:right w:val="none" w:sz="0" w:space="0" w:color="auto"/>
              </w:divBdr>
              <w:divsChild>
                <w:div w:id="12353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1766">
      <w:bodyDiv w:val="1"/>
      <w:marLeft w:val="0"/>
      <w:marRight w:val="0"/>
      <w:marTop w:val="0"/>
      <w:marBottom w:val="0"/>
      <w:divBdr>
        <w:top w:val="none" w:sz="0" w:space="0" w:color="auto"/>
        <w:left w:val="none" w:sz="0" w:space="0" w:color="auto"/>
        <w:bottom w:val="none" w:sz="0" w:space="0" w:color="auto"/>
        <w:right w:val="none" w:sz="0" w:space="0" w:color="auto"/>
      </w:divBdr>
    </w:div>
    <w:div w:id="468059583">
      <w:bodyDiv w:val="1"/>
      <w:marLeft w:val="0"/>
      <w:marRight w:val="0"/>
      <w:marTop w:val="0"/>
      <w:marBottom w:val="0"/>
      <w:divBdr>
        <w:top w:val="none" w:sz="0" w:space="0" w:color="auto"/>
        <w:left w:val="none" w:sz="0" w:space="0" w:color="auto"/>
        <w:bottom w:val="none" w:sz="0" w:space="0" w:color="auto"/>
        <w:right w:val="none" w:sz="0" w:space="0" w:color="auto"/>
      </w:divBdr>
      <w:divsChild>
        <w:div w:id="1661693623">
          <w:marLeft w:val="0"/>
          <w:marRight w:val="0"/>
          <w:marTop w:val="0"/>
          <w:marBottom w:val="0"/>
          <w:divBdr>
            <w:top w:val="none" w:sz="0" w:space="0" w:color="auto"/>
            <w:left w:val="none" w:sz="0" w:space="0" w:color="auto"/>
            <w:bottom w:val="none" w:sz="0" w:space="0" w:color="auto"/>
            <w:right w:val="none" w:sz="0" w:space="0" w:color="auto"/>
          </w:divBdr>
          <w:divsChild>
            <w:div w:id="2117364519">
              <w:marLeft w:val="0"/>
              <w:marRight w:val="0"/>
              <w:marTop w:val="0"/>
              <w:marBottom w:val="0"/>
              <w:divBdr>
                <w:top w:val="none" w:sz="0" w:space="0" w:color="auto"/>
                <w:left w:val="none" w:sz="0" w:space="0" w:color="auto"/>
                <w:bottom w:val="none" w:sz="0" w:space="0" w:color="auto"/>
                <w:right w:val="none" w:sz="0" w:space="0" w:color="auto"/>
              </w:divBdr>
              <w:divsChild>
                <w:div w:id="19835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83637">
      <w:bodyDiv w:val="1"/>
      <w:marLeft w:val="0"/>
      <w:marRight w:val="0"/>
      <w:marTop w:val="0"/>
      <w:marBottom w:val="0"/>
      <w:divBdr>
        <w:top w:val="none" w:sz="0" w:space="0" w:color="auto"/>
        <w:left w:val="none" w:sz="0" w:space="0" w:color="auto"/>
        <w:bottom w:val="none" w:sz="0" w:space="0" w:color="auto"/>
        <w:right w:val="none" w:sz="0" w:space="0" w:color="auto"/>
      </w:divBdr>
    </w:div>
    <w:div w:id="596182771">
      <w:bodyDiv w:val="1"/>
      <w:marLeft w:val="0"/>
      <w:marRight w:val="0"/>
      <w:marTop w:val="0"/>
      <w:marBottom w:val="0"/>
      <w:divBdr>
        <w:top w:val="none" w:sz="0" w:space="0" w:color="auto"/>
        <w:left w:val="none" w:sz="0" w:space="0" w:color="auto"/>
        <w:bottom w:val="none" w:sz="0" w:space="0" w:color="auto"/>
        <w:right w:val="none" w:sz="0" w:space="0" w:color="auto"/>
      </w:divBdr>
      <w:divsChild>
        <w:div w:id="2076663478">
          <w:marLeft w:val="0"/>
          <w:marRight w:val="0"/>
          <w:marTop w:val="0"/>
          <w:marBottom w:val="0"/>
          <w:divBdr>
            <w:top w:val="none" w:sz="0" w:space="0" w:color="auto"/>
            <w:left w:val="none" w:sz="0" w:space="0" w:color="auto"/>
            <w:bottom w:val="none" w:sz="0" w:space="0" w:color="auto"/>
            <w:right w:val="none" w:sz="0" w:space="0" w:color="auto"/>
          </w:divBdr>
          <w:divsChild>
            <w:div w:id="1076634089">
              <w:marLeft w:val="0"/>
              <w:marRight w:val="0"/>
              <w:marTop w:val="0"/>
              <w:marBottom w:val="0"/>
              <w:divBdr>
                <w:top w:val="none" w:sz="0" w:space="0" w:color="auto"/>
                <w:left w:val="none" w:sz="0" w:space="0" w:color="auto"/>
                <w:bottom w:val="none" w:sz="0" w:space="0" w:color="auto"/>
                <w:right w:val="none" w:sz="0" w:space="0" w:color="auto"/>
              </w:divBdr>
              <w:divsChild>
                <w:div w:id="17611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450">
      <w:bodyDiv w:val="1"/>
      <w:marLeft w:val="0"/>
      <w:marRight w:val="0"/>
      <w:marTop w:val="0"/>
      <w:marBottom w:val="0"/>
      <w:divBdr>
        <w:top w:val="none" w:sz="0" w:space="0" w:color="auto"/>
        <w:left w:val="none" w:sz="0" w:space="0" w:color="auto"/>
        <w:bottom w:val="none" w:sz="0" w:space="0" w:color="auto"/>
        <w:right w:val="none" w:sz="0" w:space="0" w:color="auto"/>
      </w:divBdr>
      <w:divsChild>
        <w:div w:id="1171872375">
          <w:marLeft w:val="0"/>
          <w:marRight w:val="0"/>
          <w:marTop w:val="0"/>
          <w:marBottom w:val="0"/>
          <w:divBdr>
            <w:top w:val="none" w:sz="0" w:space="0" w:color="auto"/>
            <w:left w:val="none" w:sz="0" w:space="0" w:color="auto"/>
            <w:bottom w:val="none" w:sz="0" w:space="0" w:color="auto"/>
            <w:right w:val="none" w:sz="0" w:space="0" w:color="auto"/>
          </w:divBdr>
          <w:divsChild>
            <w:div w:id="312300238">
              <w:marLeft w:val="0"/>
              <w:marRight w:val="0"/>
              <w:marTop w:val="0"/>
              <w:marBottom w:val="0"/>
              <w:divBdr>
                <w:top w:val="none" w:sz="0" w:space="0" w:color="auto"/>
                <w:left w:val="none" w:sz="0" w:space="0" w:color="auto"/>
                <w:bottom w:val="none" w:sz="0" w:space="0" w:color="auto"/>
                <w:right w:val="none" w:sz="0" w:space="0" w:color="auto"/>
              </w:divBdr>
              <w:divsChild>
                <w:div w:id="21461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3398">
      <w:bodyDiv w:val="1"/>
      <w:marLeft w:val="0"/>
      <w:marRight w:val="0"/>
      <w:marTop w:val="0"/>
      <w:marBottom w:val="0"/>
      <w:divBdr>
        <w:top w:val="none" w:sz="0" w:space="0" w:color="auto"/>
        <w:left w:val="none" w:sz="0" w:space="0" w:color="auto"/>
        <w:bottom w:val="none" w:sz="0" w:space="0" w:color="auto"/>
        <w:right w:val="none" w:sz="0" w:space="0" w:color="auto"/>
      </w:divBdr>
      <w:divsChild>
        <w:div w:id="538860892">
          <w:marLeft w:val="0"/>
          <w:marRight w:val="0"/>
          <w:marTop w:val="0"/>
          <w:marBottom w:val="0"/>
          <w:divBdr>
            <w:top w:val="none" w:sz="0" w:space="0" w:color="auto"/>
            <w:left w:val="none" w:sz="0" w:space="0" w:color="auto"/>
            <w:bottom w:val="none" w:sz="0" w:space="0" w:color="auto"/>
            <w:right w:val="none" w:sz="0" w:space="0" w:color="auto"/>
          </w:divBdr>
          <w:divsChild>
            <w:div w:id="1143304017">
              <w:marLeft w:val="0"/>
              <w:marRight w:val="0"/>
              <w:marTop w:val="0"/>
              <w:marBottom w:val="0"/>
              <w:divBdr>
                <w:top w:val="none" w:sz="0" w:space="0" w:color="auto"/>
                <w:left w:val="none" w:sz="0" w:space="0" w:color="auto"/>
                <w:bottom w:val="none" w:sz="0" w:space="0" w:color="auto"/>
                <w:right w:val="none" w:sz="0" w:space="0" w:color="auto"/>
              </w:divBdr>
              <w:divsChild>
                <w:div w:id="2610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8583">
      <w:bodyDiv w:val="1"/>
      <w:marLeft w:val="0"/>
      <w:marRight w:val="0"/>
      <w:marTop w:val="0"/>
      <w:marBottom w:val="0"/>
      <w:divBdr>
        <w:top w:val="none" w:sz="0" w:space="0" w:color="auto"/>
        <w:left w:val="none" w:sz="0" w:space="0" w:color="auto"/>
        <w:bottom w:val="none" w:sz="0" w:space="0" w:color="auto"/>
        <w:right w:val="none" w:sz="0" w:space="0" w:color="auto"/>
      </w:divBdr>
      <w:divsChild>
        <w:div w:id="2014917246">
          <w:marLeft w:val="0"/>
          <w:marRight w:val="0"/>
          <w:marTop w:val="0"/>
          <w:marBottom w:val="0"/>
          <w:divBdr>
            <w:top w:val="none" w:sz="0" w:space="0" w:color="auto"/>
            <w:left w:val="none" w:sz="0" w:space="0" w:color="auto"/>
            <w:bottom w:val="none" w:sz="0" w:space="0" w:color="auto"/>
            <w:right w:val="none" w:sz="0" w:space="0" w:color="auto"/>
          </w:divBdr>
          <w:divsChild>
            <w:div w:id="1347751119">
              <w:marLeft w:val="0"/>
              <w:marRight w:val="0"/>
              <w:marTop w:val="0"/>
              <w:marBottom w:val="0"/>
              <w:divBdr>
                <w:top w:val="none" w:sz="0" w:space="0" w:color="auto"/>
                <w:left w:val="none" w:sz="0" w:space="0" w:color="auto"/>
                <w:bottom w:val="none" w:sz="0" w:space="0" w:color="auto"/>
                <w:right w:val="none" w:sz="0" w:space="0" w:color="auto"/>
              </w:divBdr>
              <w:divsChild>
                <w:div w:id="98140153">
                  <w:marLeft w:val="0"/>
                  <w:marRight w:val="0"/>
                  <w:marTop w:val="0"/>
                  <w:marBottom w:val="0"/>
                  <w:divBdr>
                    <w:top w:val="none" w:sz="0" w:space="0" w:color="auto"/>
                    <w:left w:val="none" w:sz="0" w:space="0" w:color="auto"/>
                    <w:bottom w:val="none" w:sz="0" w:space="0" w:color="auto"/>
                    <w:right w:val="none" w:sz="0" w:space="0" w:color="auto"/>
                  </w:divBdr>
                </w:div>
                <w:div w:id="637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04259">
      <w:bodyDiv w:val="1"/>
      <w:marLeft w:val="0"/>
      <w:marRight w:val="0"/>
      <w:marTop w:val="0"/>
      <w:marBottom w:val="0"/>
      <w:divBdr>
        <w:top w:val="none" w:sz="0" w:space="0" w:color="auto"/>
        <w:left w:val="none" w:sz="0" w:space="0" w:color="auto"/>
        <w:bottom w:val="none" w:sz="0" w:space="0" w:color="auto"/>
        <w:right w:val="none" w:sz="0" w:space="0" w:color="auto"/>
      </w:divBdr>
      <w:divsChild>
        <w:div w:id="12344357">
          <w:marLeft w:val="0"/>
          <w:marRight w:val="0"/>
          <w:marTop w:val="0"/>
          <w:marBottom w:val="0"/>
          <w:divBdr>
            <w:top w:val="none" w:sz="0" w:space="0" w:color="auto"/>
            <w:left w:val="none" w:sz="0" w:space="0" w:color="auto"/>
            <w:bottom w:val="none" w:sz="0" w:space="0" w:color="auto"/>
            <w:right w:val="none" w:sz="0" w:space="0" w:color="auto"/>
          </w:divBdr>
          <w:divsChild>
            <w:div w:id="416245627">
              <w:marLeft w:val="0"/>
              <w:marRight w:val="0"/>
              <w:marTop w:val="0"/>
              <w:marBottom w:val="0"/>
              <w:divBdr>
                <w:top w:val="none" w:sz="0" w:space="0" w:color="auto"/>
                <w:left w:val="none" w:sz="0" w:space="0" w:color="auto"/>
                <w:bottom w:val="none" w:sz="0" w:space="0" w:color="auto"/>
                <w:right w:val="none" w:sz="0" w:space="0" w:color="auto"/>
              </w:divBdr>
              <w:divsChild>
                <w:div w:id="9126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111">
      <w:bodyDiv w:val="1"/>
      <w:marLeft w:val="0"/>
      <w:marRight w:val="0"/>
      <w:marTop w:val="0"/>
      <w:marBottom w:val="0"/>
      <w:divBdr>
        <w:top w:val="none" w:sz="0" w:space="0" w:color="auto"/>
        <w:left w:val="none" w:sz="0" w:space="0" w:color="auto"/>
        <w:bottom w:val="none" w:sz="0" w:space="0" w:color="auto"/>
        <w:right w:val="none" w:sz="0" w:space="0" w:color="auto"/>
      </w:divBdr>
      <w:divsChild>
        <w:div w:id="505436644">
          <w:marLeft w:val="0"/>
          <w:marRight w:val="0"/>
          <w:marTop w:val="0"/>
          <w:marBottom w:val="0"/>
          <w:divBdr>
            <w:top w:val="none" w:sz="0" w:space="0" w:color="auto"/>
            <w:left w:val="none" w:sz="0" w:space="0" w:color="auto"/>
            <w:bottom w:val="none" w:sz="0" w:space="0" w:color="auto"/>
            <w:right w:val="none" w:sz="0" w:space="0" w:color="auto"/>
          </w:divBdr>
          <w:divsChild>
            <w:div w:id="1546676539">
              <w:marLeft w:val="0"/>
              <w:marRight w:val="0"/>
              <w:marTop w:val="0"/>
              <w:marBottom w:val="0"/>
              <w:divBdr>
                <w:top w:val="none" w:sz="0" w:space="0" w:color="auto"/>
                <w:left w:val="none" w:sz="0" w:space="0" w:color="auto"/>
                <w:bottom w:val="none" w:sz="0" w:space="0" w:color="auto"/>
                <w:right w:val="none" w:sz="0" w:space="0" w:color="auto"/>
              </w:divBdr>
              <w:divsChild>
                <w:div w:id="2239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5598">
      <w:bodyDiv w:val="1"/>
      <w:marLeft w:val="0"/>
      <w:marRight w:val="0"/>
      <w:marTop w:val="0"/>
      <w:marBottom w:val="0"/>
      <w:divBdr>
        <w:top w:val="none" w:sz="0" w:space="0" w:color="auto"/>
        <w:left w:val="none" w:sz="0" w:space="0" w:color="auto"/>
        <w:bottom w:val="none" w:sz="0" w:space="0" w:color="auto"/>
        <w:right w:val="none" w:sz="0" w:space="0" w:color="auto"/>
      </w:divBdr>
    </w:div>
    <w:div w:id="825315597">
      <w:bodyDiv w:val="1"/>
      <w:marLeft w:val="0"/>
      <w:marRight w:val="0"/>
      <w:marTop w:val="0"/>
      <w:marBottom w:val="0"/>
      <w:divBdr>
        <w:top w:val="none" w:sz="0" w:space="0" w:color="auto"/>
        <w:left w:val="none" w:sz="0" w:space="0" w:color="auto"/>
        <w:bottom w:val="none" w:sz="0" w:space="0" w:color="auto"/>
        <w:right w:val="none" w:sz="0" w:space="0" w:color="auto"/>
      </w:divBdr>
      <w:divsChild>
        <w:div w:id="1351834561">
          <w:marLeft w:val="0"/>
          <w:marRight w:val="0"/>
          <w:marTop w:val="0"/>
          <w:marBottom w:val="0"/>
          <w:divBdr>
            <w:top w:val="none" w:sz="0" w:space="0" w:color="auto"/>
            <w:left w:val="none" w:sz="0" w:space="0" w:color="auto"/>
            <w:bottom w:val="none" w:sz="0" w:space="0" w:color="auto"/>
            <w:right w:val="none" w:sz="0" w:space="0" w:color="auto"/>
          </w:divBdr>
          <w:divsChild>
            <w:div w:id="1716276838">
              <w:marLeft w:val="0"/>
              <w:marRight w:val="0"/>
              <w:marTop w:val="0"/>
              <w:marBottom w:val="0"/>
              <w:divBdr>
                <w:top w:val="none" w:sz="0" w:space="0" w:color="auto"/>
                <w:left w:val="none" w:sz="0" w:space="0" w:color="auto"/>
                <w:bottom w:val="none" w:sz="0" w:space="0" w:color="auto"/>
                <w:right w:val="none" w:sz="0" w:space="0" w:color="auto"/>
              </w:divBdr>
              <w:divsChild>
                <w:div w:id="436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20324">
      <w:bodyDiv w:val="1"/>
      <w:marLeft w:val="0"/>
      <w:marRight w:val="0"/>
      <w:marTop w:val="0"/>
      <w:marBottom w:val="0"/>
      <w:divBdr>
        <w:top w:val="none" w:sz="0" w:space="0" w:color="auto"/>
        <w:left w:val="none" w:sz="0" w:space="0" w:color="auto"/>
        <w:bottom w:val="none" w:sz="0" w:space="0" w:color="auto"/>
        <w:right w:val="none" w:sz="0" w:space="0" w:color="auto"/>
      </w:divBdr>
      <w:divsChild>
        <w:div w:id="297613457">
          <w:marLeft w:val="0"/>
          <w:marRight w:val="0"/>
          <w:marTop w:val="0"/>
          <w:marBottom w:val="0"/>
          <w:divBdr>
            <w:top w:val="none" w:sz="0" w:space="0" w:color="auto"/>
            <w:left w:val="none" w:sz="0" w:space="0" w:color="auto"/>
            <w:bottom w:val="none" w:sz="0" w:space="0" w:color="auto"/>
            <w:right w:val="none" w:sz="0" w:space="0" w:color="auto"/>
          </w:divBdr>
          <w:divsChild>
            <w:div w:id="757560682">
              <w:marLeft w:val="0"/>
              <w:marRight w:val="0"/>
              <w:marTop w:val="0"/>
              <w:marBottom w:val="0"/>
              <w:divBdr>
                <w:top w:val="none" w:sz="0" w:space="0" w:color="auto"/>
                <w:left w:val="none" w:sz="0" w:space="0" w:color="auto"/>
                <w:bottom w:val="none" w:sz="0" w:space="0" w:color="auto"/>
                <w:right w:val="none" w:sz="0" w:space="0" w:color="auto"/>
              </w:divBdr>
              <w:divsChild>
                <w:div w:id="5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23115">
      <w:bodyDiv w:val="1"/>
      <w:marLeft w:val="0"/>
      <w:marRight w:val="0"/>
      <w:marTop w:val="0"/>
      <w:marBottom w:val="0"/>
      <w:divBdr>
        <w:top w:val="none" w:sz="0" w:space="0" w:color="auto"/>
        <w:left w:val="none" w:sz="0" w:space="0" w:color="auto"/>
        <w:bottom w:val="none" w:sz="0" w:space="0" w:color="auto"/>
        <w:right w:val="none" w:sz="0" w:space="0" w:color="auto"/>
      </w:divBdr>
      <w:divsChild>
        <w:div w:id="720255568">
          <w:marLeft w:val="0"/>
          <w:marRight w:val="0"/>
          <w:marTop w:val="0"/>
          <w:marBottom w:val="0"/>
          <w:divBdr>
            <w:top w:val="none" w:sz="0" w:space="0" w:color="auto"/>
            <w:left w:val="none" w:sz="0" w:space="0" w:color="auto"/>
            <w:bottom w:val="none" w:sz="0" w:space="0" w:color="auto"/>
            <w:right w:val="none" w:sz="0" w:space="0" w:color="auto"/>
          </w:divBdr>
          <w:divsChild>
            <w:div w:id="1247761585">
              <w:marLeft w:val="0"/>
              <w:marRight w:val="0"/>
              <w:marTop w:val="0"/>
              <w:marBottom w:val="0"/>
              <w:divBdr>
                <w:top w:val="none" w:sz="0" w:space="0" w:color="auto"/>
                <w:left w:val="none" w:sz="0" w:space="0" w:color="auto"/>
                <w:bottom w:val="none" w:sz="0" w:space="0" w:color="auto"/>
                <w:right w:val="none" w:sz="0" w:space="0" w:color="auto"/>
              </w:divBdr>
              <w:divsChild>
                <w:div w:id="3579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88578">
      <w:bodyDiv w:val="1"/>
      <w:marLeft w:val="0"/>
      <w:marRight w:val="0"/>
      <w:marTop w:val="0"/>
      <w:marBottom w:val="0"/>
      <w:divBdr>
        <w:top w:val="none" w:sz="0" w:space="0" w:color="auto"/>
        <w:left w:val="none" w:sz="0" w:space="0" w:color="auto"/>
        <w:bottom w:val="none" w:sz="0" w:space="0" w:color="auto"/>
        <w:right w:val="none" w:sz="0" w:space="0" w:color="auto"/>
      </w:divBdr>
    </w:div>
    <w:div w:id="1007558763">
      <w:bodyDiv w:val="1"/>
      <w:marLeft w:val="0"/>
      <w:marRight w:val="0"/>
      <w:marTop w:val="0"/>
      <w:marBottom w:val="0"/>
      <w:divBdr>
        <w:top w:val="none" w:sz="0" w:space="0" w:color="auto"/>
        <w:left w:val="none" w:sz="0" w:space="0" w:color="auto"/>
        <w:bottom w:val="none" w:sz="0" w:space="0" w:color="auto"/>
        <w:right w:val="none" w:sz="0" w:space="0" w:color="auto"/>
      </w:divBdr>
      <w:divsChild>
        <w:div w:id="470635524">
          <w:marLeft w:val="0"/>
          <w:marRight w:val="0"/>
          <w:marTop w:val="0"/>
          <w:marBottom w:val="0"/>
          <w:divBdr>
            <w:top w:val="none" w:sz="0" w:space="0" w:color="auto"/>
            <w:left w:val="none" w:sz="0" w:space="0" w:color="auto"/>
            <w:bottom w:val="none" w:sz="0" w:space="0" w:color="auto"/>
            <w:right w:val="none" w:sz="0" w:space="0" w:color="auto"/>
          </w:divBdr>
          <w:divsChild>
            <w:div w:id="963199064">
              <w:marLeft w:val="0"/>
              <w:marRight w:val="0"/>
              <w:marTop w:val="0"/>
              <w:marBottom w:val="0"/>
              <w:divBdr>
                <w:top w:val="none" w:sz="0" w:space="0" w:color="auto"/>
                <w:left w:val="none" w:sz="0" w:space="0" w:color="auto"/>
                <w:bottom w:val="none" w:sz="0" w:space="0" w:color="auto"/>
                <w:right w:val="none" w:sz="0" w:space="0" w:color="auto"/>
              </w:divBdr>
              <w:divsChild>
                <w:div w:id="19227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8072">
      <w:bodyDiv w:val="1"/>
      <w:marLeft w:val="0"/>
      <w:marRight w:val="0"/>
      <w:marTop w:val="0"/>
      <w:marBottom w:val="0"/>
      <w:divBdr>
        <w:top w:val="none" w:sz="0" w:space="0" w:color="auto"/>
        <w:left w:val="none" w:sz="0" w:space="0" w:color="auto"/>
        <w:bottom w:val="none" w:sz="0" w:space="0" w:color="auto"/>
        <w:right w:val="none" w:sz="0" w:space="0" w:color="auto"/>
      </w:divBdr>
    </w:div>
    <w:div w:id="1048533490">
      <w:bodyDiv w:val="1"/>
      <w:marLeft w:val="0"/>
      <w:marRight w:val="0"/>
      <w:marTop w:val="0"/>
      <w:marBottom w:val="0"/>
      <w:divBdr>
        <w:top w:val="none" w:sz="0" w:space="0" w:color="auto"/>
        <w:left w:val="none" w:sz="0" w:space="0" w:color="auto"/>
        <w:bottom w:val="none" w:sz="0" w:space="0" w:color="auto"/>
        <w:right w:val="none" w:sz="0" w:space="0" w:color="auto"/>
      </w:divBdr>
    </w:div>
    <w:div w:id="1063794726">
      <w:bodyDiv w:val="1"/>
      <w:marLeft w:val="0"/>
      <w:marRight w:val="0"/>
      <w:marTop w:val="0"/>
      <w:marBottom w:val="0"/>
      <w:divBdr>
        <w:top w:val="none" w:sz="0" w:space="0" w:color="auto"/>
        <w:left w:val="none" w:sz="0" w:space="0" w:color="auto"/>
        <w:bottom w:val="none" w:sz="0" w:space="0" w:color="auto"/>
        <w:right w:val="none" w:sz="0" w:space="0" w:color="auto"/>
      </w:divBdr>
    </w:div>
    <w:div w:id="1143696239">
      <w:bodyDiv w:val="1"/>
      <w:marLeft w:val="0"/>
      <w:marRight w:val="0"/>
      <w:marTop w:val="0"/>
      <w:marBottom w:val="0"/>
      <w:divBdr>
        <w:top w:val="none" w:sz="0" w:space="0" w:color="auto"/>
        <w:left w:val="none" w:sz="0" w:space="0" w:color="auto"/>
        <w:bottom w:val="none" w:sz="0" w:space="0" w:color="auto"/>
        <w:right w:val="none" w:sz="0" w:space="0" w:color="auto"/>
      </w:divBdr>
      <w:divsChild>
        <w:div w:id="463085729">
          <w:marLeft w:val="0"/>
          <w:marRight w:val="0"/>
          <w:marTop w:val="0"/>
          <w:marBottom w:val="0"/>
          <w:divBdr>
            <w:top w:val="none" w:sz="0" w:space="0" w:color="auto"/>
            <w:left w:val="none" w:sz="0" w:space="0" w:color="auto"/>
            <w:bottom w:val="none" w:sz="0" w:space="0" w:color="auto"/>
            <w:right w:val="none" w:sz="0" w:space="0" w:color="auto"/>
          </w:divBdr>
          <w:divsChild>
            <w:div w:id="364334753">
              <w:marLeft w:val="0"/>
              <w:marRight w:val="0"/>
              <w:marTop w:val="0"/>
              <w:marBottom w:val="0"/>
              <w:divBdr>
                <w:top w:val="none" w:sz="0" w:space="0" w:color="auto"/>
                <w:left w:val="none" w:sz="0" w:space="0" w:color="auto"/>
                <w:bottom w:val="none" w:sz="0" w:space="0" w:color="auto"/>
                <w:right w:val="none" w:sz="0" w:space="0" w:color="auto"/>
              </w:divBdr>
              <w:divsChild>
                <w:div w:id="17020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9271">
      <w:bodyDiv w:val="1"/>
      <w:marLeft w:val="0"/>
      <w:marRight w:val="0"/>
      <w:marTop w:val="0"/>
      <w:marBottom w:val="0"/>
      <w:divBdr>
        <w:top w:val="none" w:sz="0" w:space="0" w:color="auto"/>
        <w:left w:val="none" w:sz="0" w:space="0" w:color="auto"/>
        <w:bottom w:val="none" w:sz="0" w:space="0" w:color="auto"/>
        <w:right w:val="none" w:sz="0" w:space="0" w:color="auto"/>
      </w:divBdr>
      <w:divsChild>
        <w:div w:id="1613786532">
          <w:marLeft w:val="0"/>
          <w:marRight w:val="0"/>
          <w:marTop w:val="0"/>
          <w:marBottom w:val="0"/>
          <w:divBdr>
            <w:top w:val="none" w:sz="0" w:space="0" w:color="auto"/>
            <w:left w:val="none" w:sz="0" w:space="0" w:color="auto"/>
            <w:bottom w:val="none" w:sz="0" w:space="0" w:color="auto"/>
            <w:right w:val="none" w:sz="0" w:space="0" w:color="auto"/>
          </w:divBdr>
          <w:divsChild>
            <w:div w:id="117382956">
              <w:marLeft w:val="0"/>
              <w:marRight w:val="0"/>
              <w:marTop w:val="0"/>
              <w:marBottom w:val="0"/>
              <w:divBdr>
                <w:top w:val="none" w:sz="0" w:space="0" w:color="auto"/>
                <w:left w:val="none" w:sz="0" w:space="0" w:color="auto"/>
                <w:bottom w:val="none" w:sz="0" w:space="0" w:color="auto"/>
                <w:right w:val="none" w:sz="0" w:space="0" w:color="auto"/>
              </w:divBdr>
              <w:divsChild>
                <w:div w:id="1725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031">
      <w:bodyDiv w:val="1"/>
      <w:marLeft w:val="0"/>
      <w:marRight w:val="0"/>
      <w:marTop w:val="0"/>
      <w:marBottom w:val="0"/>
      <w:divBdr>
        <w:top w:val="none" w:sz="0" w:space="0" w:color="auto"/>
        <w:left w:val="none" w:sz="0" w:space="0" w:color="auto"/>
        <w:bottom w:val="none" w:sz="0" w:space="0" w:color="auto"/>
        <w:right w:val="none" w:sz="0" w:space="0" w:color="auto"/>
      </w:divBdr>
      <w:divsChild>
        <w:div w:id="1625307996">
          <w:marLeft w:val="0"/>
          <w:marRight w:val="0"/>
          <w:marTop w:val="0"/>
          <w:marBottom w:val="0"/>
          <w:divBdr>
            <w:top w:val="none" w:sz="0" w:space="0" w:color="auto"/>
            <w:left w:val="none" w:sz="0" w:space="0" w:color="auto"/>
            <w:bottom w:val="none" w:sz="0" w:space="0" w:color="auto"/>
            <w:right w:val="none" w:sz="0" w:space="0" w:color="auto"/>
          </w:divBdr>
          <w:divsChild>
            <w:div w:id="1403991770">
              <w:marLeft w:val="0"/>
              <w:marRight w:val="0"/>
              <w:marTop w:val="0"/>
              <w:marBottom w:val="0"/>
              <w:divBdr>
                <w:top w:val="none" w:sz="0" w:space="0" w:color="auto"/>
                <w:left w:val="none" w:sz="0" w:space="0" w:color="auto"/>
                <w:bottom w:val="none" w:sz="0" w:space="0" w:color="auto"/>
                <w:right w:val="none" w:sz="0" w:space="0" w:color="auto"/>
              </w:divBdr>
              <w:divsChild>
                <w:div w:id="8536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3328">
      <w:bodyDiv w:val="1"/>
      <w:marLeft w:val="0"/>
      <w:marRight w:val="0"/>
      <w:marTop w:val="0"/>
      <w:marBottom w:val="0"/>
      <w:divBdr>
        <w:top w:val="none" w:sz="0" w:space="0" w:color="auto"/>
        <w:left w:val="none" w:sz="0" w:space="0" w:color="auto"/>
        <w:bottom w:val="none" w:sz="0" w:space="0" w:color="auto"/>
        <w:right w:val="none" w:sz="0" w:space="0" w:color="auto"/>
      </w:divBdr>
    </w:div>
    <w:div w:id="1185943509">
      <w:bodyDiv w:val="1"/>
      <w:marLeft w:val="0"/>
      <w:marRight w:val="0"/>
      <w:marTop w:val="0"/>
      <w:marBottom w:val="0"/>
      <w:divBdr>
        <w:top w:val="none" w:sz="0" w:space="0" w:color="auto"/>
        <w:left w:val="none" w:sz="0" w:space="0" w:color="auto"/>
        <w:bottom w:val="none" w:sz="0" w:space="0" w:color="auto"/>
        <w:right w:val="none" w:sz="0" w:space="0" w:color="auto"/>
      </w:divBdr>
      <w:divsChild>
        <w:div w:id="1055591937">
          <w:marLeft w:val="0"/>
          <w:marRight w:val="0"/>
          <w:marTop w:val="0"/>
          <w:marBottom w:val="0"/>
          <w:divBdr>
            <w:top w:val="none" w:sz="0" w:space="0" w:color="auto"/>
            <w:left w:val="none" w:sz="0" w:space="0" w:color="auto"/>
            <w:bottom w:val="none" w:sz="0" w:space="0" w:color="auto"/>
            <w:right w:val="none" w:sz="0" w:space="0" w:color="auto"/>
          </w:divBdr>
          <w:divsChild>
            <w:div w:id="1096705770">
              <w:marLeft w:val="0"/>
              <w:marRight w:val="0"/>
              <w:marTop w:val="0"/>
              <w:marBottom w:val="0"/>
              <w:divBdr>
                <w:top w:val="none" w:sz="0" w:space="0" w:color="auto"/>
                <w:left w:val="none" w:sz="0" w:space="0" w:color="auto"/>
                <w:bottom w:val="none" w:sz="0" w:space="0" w:color="auto"/>
                <w:right w:val="none" w:sz="0" w:space="0" w:color="auto"/>
              </w:divBdr>
              <w:divsChild>
                <w:div w:id="4786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74696">
      <w:bodyDiv w:val="1"/>
      <w:marLeft w:val="0"/>
      <w:marRight w:val="0"/>
      <w:marTop w:val="0"/>
      <w:marBottom w:val="0"/>
      <w:divBdr>
        <w:top w:val="none" w:sz="0" w:space="0" w:color="auto"/>
        <w:left w:val="none" w:sz="0" w:space="0" w:color="auto"/>
        <w:bottom w:val="none" w:sz="0" w:space="0" w:color="auto"/>
        <w:right w:val="none" w:sz="0" w:space="0" w:color="auto"/>
      </w:divBdr>
      <w:divsChild>
        <w:div w:id="830870755">
          <w:marLeft w:val="0"/>
          <w:marRight w:val="0"/>
          <w:marTop w:val="0"/>
          <w:marBottom w:val="0"/>
          <w:divBdr>
            <w:top w:val="none" w:sz="0" w:space="0" w:color="auto"/>
            <w:left w:val="none" w:sz="0" w:space="0" w:color="auto"/>
            <w:bottom w:val="none" w:sz="0" w:space="0" w:color="auto"/>
            <w:right w:val="none" w:sz="0" w:space="0" w:color="auto"/>
          </w:divBdr>
          <w:divsChild>
            <w:div w:id="1218662951">
              <w:marLeft w:val="0"/>
              <w:marRight w:val="0"/>
              <w:marTop w:val="0"/>
              <w:marBottom w:val="0"/>
              <w:divBdr>
                <w:top w:val="none" w:sz="0" w:space="0" w:color="auto"/>
                <w:left w:val="none" w:sz="0" w:space="0" w:color="auto"/>
                <w:bottom w:val="none" w:sz="0" w:space="0" w:color="auto"/>
                <w:right w:val="none" w:sz="0" w:space="0" w:color="auto"/>
              </w:divBdr>
              <w:divsChild>
                <w:div w:id="10164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26911">
      <w:bodyDiv w:val="1"/>
      <w:marLeft w:val="0"/>
      <w:marRight w:val="0"/>
      <w:marTop w:val="0"/>
      <w:marBottom w:val="0"/>
      <w:divBdr>
        <w:top w:val="none" w:sz="0" w:space="0" w:color="auto"/>
        <w:left w:val="none" w:sz="0" w:space="0" w:color="auto"/>
        <w:bottom w:val="none" w:sz="0" w:space="0" w:color="auto"/>
        <w:right w:val="none" w:sz="0" w:space="0" w:color="auto"/>
      </w:divBdr>
    </w:div>
    <w:div w:id="1261988313">
      <w:bodyDiv w:val="1"/>
      <w:marLeft w:val="0"/>
      <w:marRight w:val="0"/>
      <w:marTop w:val="0"/>
      <w:marBottom w:val="0"/>
      <w:divBdr>
        <w:top w:val="none" w:sz="0" w:space="0" w:color="auto"/>
        <w:left w:val="none" w:sz="0" w:space="0" w:color="auto"/>
        <w:bottom w:val="none" w:sz="0" w:space="0" w:color="auto"/>
        <w:right w:val="none" w:sz="0" w:space="0" w:color="auto"/>
      </w:divBdr>
      <w:divsChild>
        <w:div w:id="2079549236">
          <w:marLeft w:val="0"/>
          <w:marRight w:val="0"/>
          <w:marTop w:val="0"/>
          <w:marBottom w:val="0"/>
          <w:divBdr>
            <w:top w:val="none" w:sz="0" w:space="0" w:color="auto"/>
            <w:left w:val="none" w:sz="0" w:space="0" w:color="auto"/>
            <w:bottom w:val="none" w:sz="0" w:space="0" w:color="auto"/>
            <w:right w:val="none" w:sz="0" w:space="0" w:color="auto"/>
          </w:divBdr>
          <w:divsChild>
            <w:div w:id="1827670276">
              <w:marLeft w:val="0"/>
              <w:marRight w:val="0"/>
              <w:marTop w:val="0"/>
              <w:marBottom w:val="0"/>
              <w:divBdr>
                <w:top w:val="none" w:sz="0" w:space="0" w:color="auto"/>
                <w:left w:val="none" w:sz="0" w:space="0" w:color="auto"/>
                <w:bottom w:val="none" w:sz="0" w:space="0" w:color="auto"/>
                <w:right w:val="none" w:sz="0" w:space="0" w:color="auto"/>
              </w:divBdr>
              <w:divsChild>
                <w:div w:id="14537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3130">
      <w:bodyDiv w:val="1"/>
      <w:marLeft w:val="0"/>
      <w:marRight w:val="0"/>
      <w:marTop w:val="0"/>
      <w:marBottom w:val="0"/>
      <w:divBdr>
        <w:top w:val="none" w:sz="0" w:space="0" w:color="auto"/>
        <w:left w:val="none" w:sz="0" w:space="0" w:color="auto"/>
        <w:bottom w:val="none" w:sz="0" w:space="0" w:color="auto"/>
        <w:right w:val="none" w:sz="0" w:space="0" w:color="auto"/>
      </w:divBdr>
      <w:divsChild>
        <w:div w:id="388502208">
          <w:marLeft w:val="0"/>
          <w:marRight w:val="0"/>
          <w:marTop w:val="0"/>
          <w:marBottom w:val="0"/>
          <w:divBdr>
            <w:top w:val="none" w:sz="0" w:space="0" w:color="auto"/>
            <w:left w:val="none" w:sz="0" w:space="0" w:color="auto"/>
            <w:bottom w:val="none" w:sz="0" w:space="0" w:color="auto"/>
            <w:right w:val="none" w:sz="0" w:space="0" w:color="auto"/>
          </w:divBdr>
          <w:divsChild>
            <w:div w:id="1354917222">
              <w:marLeft w:val="0"/>
              <w:marRight w:val="0"/>
              <w:marTop w:val="0"/>
              <w:marBottom w:val="0"/>
              <w:divBdr>
                <w:top w:val="none" w:sz="0" w:space="0" w:color="auto"/>
                <w:left w:val="none" w:sz="0" w:space="0" w:color="auto"/>
                <w:bottom w:val="none" w:sz="0" w:space="0" w:color="auto"/>
                <w:right w:val="none" w:sz="0" w:space="0" w:color="auto"/>
              </w:divBdr>
              <w:divsChild>
                <w:div w:id="279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3232">
      <w:bodyDiv w:val="1"/>
      <w:marLeft w:val="0"/>
      <w:marRight w:val="0"/>
      <w:marTop w:val="0"/>
      <w:marBottom w:val="0"/>
      <w:divBdr>
        <w:top w:val="none" w:sz="0" w:space="0" w:color="auto"/>
        <w:left w:val="none" w:sz="0" w:space="0" w:color="auto"/>
        <w:bottom w:val="none" w:sz="0" w:space="0" w:color="auto"/>
        <w:right w:val="none" w:sz="0" w:space="0" w:color="auto"/>
      </w:divBdr>
      <w:divsChild>
        <w:div w:id="1259678999">
          <w:marLeft w:val="0"/>
          <w:marRight w:val="0"/>
          <w:marTop w:val="0"/>
          <w:marBottom w:val="0"/>
          <w:divBdr>
            <w:top w:val="none" w:sz="0" w:space="0" w:color="auto"/>
            <w:left w:val="none" w:sz="0" w:space="0" w:color="auto"/>
            <w:bottom w:val="none" w:sz="0" w:space="0" w:color="auto"/>
            <w:right w:val="none" w:sz="0" w:space="0" w:color="auto"/>
          </w:divBdr>
          <w:divsChild>
            <w:div w:id="860120310">
              <w:marLeft w:val="0"/>
              <w:marRight w:val="0"/>
              <w:marTop w:val="0"/>
              <w:marBottom w:val="0"/>
              <w:divBdr>
                <w:top w:val="none" w:sz="0" w:space="0" w:color="auto"/>
                <w:left w:val="none" w:sz="0" w:space="0" w:color="auto"/>
                <w:bottom w:val="none" w:sz="0" w:space="0" w:color="auto"/>
                <w:right w:val="none" w:sz="0" w:space="0" w:color="auto"/>
              </w:divBdr>
              <w:divsChild>
                <w:div w:id="20321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9765">
      <w:bodyDiv w:val="1"/>
      <w:marLeft w:val="0"/>
      <w:marRight w:val="0"/>
      <w:marTop w:val="0"/>
      <w:marBottom w:val="0"/>
      <w:divBdr>
        <w:top w:val="none" w:sz="0" w:space="0" w:color="auto"/>
        <w:left w:val="none" w:sz="0" w:space="0" w:color="auto"/>
        <w:bottom w:val="none" w:sz="0" w:space="0" w:color="auto"/>
        <w:right w:val="none" w:sz="0" w:space="0" w:color="auto"/>
      </w:divBdr>
    </w:div>
    <w:div w:id="1355112741">
      <w:bodyDiv w:val="1"/>
      <w:marLeft w:val="0"/>
      <w:marRight w:val="0"/>
      <w:marTop w:val="0"/>
      <w:marBottom w:val="0"/>
      <w:divBdr>
        <w:top w:val="none" w:sz="0" w:space="0" w:color="auto"/>
        <w:left w:val="none" w:sz="0" w:space="0" w:color="auto"/>
        <w:bottom w:val="none" w:sz="0" w:space="0" w:color="auto"/>
        <w:right w:val="none" w:sz="0" w:space="0" w:color="auto"/>
      </w:divBdr>
    </w:div>
    <w:div w:id="1416827735">
      <w:bodyDiv w:val="1"/>
      <w:marLeft w:val="0"/>
      <w:marRight w:val="0"/>
      <w:marTop w:val="0"/>
      <w:marBottom w:val="0"/>
      <w:divBdr>
        <w:top w:val="none" w:sz="0" w:space="0" w:color="auto"/>
        <w:left w:val="none" w:sz="0" w:space="0" w:color="auto"/>
        <w:bottom w:val="none" w:sz="0" w:space="0" w:color="auto"/>
        <w:right w:val="none" w:sz="0" w:space="0" w:color="auto"/>
      </w:divBdr>
      <w:divsChild>
        <w:div w:id="1658651770">
          <w:marLeft w:val="0"/>
          <w:marRight w:val="0"/>
          <w:marTop w:val="0"/>
          <w:marBottom w:val="0"/>
          <w:divBdr>
            <w:top w:val="none" w:sz="0" w:space="0" w:color="auto"/>
            <w:left w:val="none" w:sz="0" w:space="0" w:color="auto"/>
            <w:bottom w:val="none" w:sz="0" w:space="0" w:color="auto"/>
            <w:right w:val="none" w:sz="0" w:space="0" w:color="auto"/>
          </w:divBdr>
          <w:divsChild>
            <w:div w:id="926035357">
              <w:marLeft w:val="0"/>
              <w:marRight w:val="0"/>
              <w:marTop w:val="0"/>
              <w:marBottom w:val="0"/>
              <w:divBdr>
                <w:top w:val="none" w:sz="0" w:space="0" w:color="auto"/>
                <w:left w:val="none" w:sz="0" w:space="0" w:color="auto"/>
                <w:bottom w:val="none" w:sz="0" w:space="0" w:color="auto"/>
                <w:right w:val="none" w:sz="0" w:space="0" w:color="auto"/>
              </w:divBdr>
              <w:divsChild>
                <w:div w:id="14463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9778">
      <w:bodyDiv w:val="1"/>
      <w:marLeft w:val="0"/>
      <w:marRight w:val="0"/>
      <w:marTop w:val="0"/>
      <w:marBottom w:val="0"/>
      <w:divBdr>
        <w:top w:val="none" w:sz="0" w:space="0" w:color="auto"/>
        <w:left w:val="none" w:sz="0" w:space="0" w:color="auto"/>
        <w:bottom w:val="none" w:sz="0" w:space="0" w:color="auto"/>
        <w:right w:val="none" w:sz="0" w:space="0" w:color="auto"/>
      </w:divBdr>
      <w:divsChild>
        <w:div w:id="710110828">
          <w:marLeft w:val="0"/>
          <w:marRight w:val="0"/>
          <w:marTop w:val="0"/>
          <w:marBottom w:val="0"/>
          <w:divBdr>
            <w:top w:val="none" w:sz="0" w:space="0" w:color="auto"/>
            <w:left w:val="none" w:sz="0" w:space="0" w:color="auto"/>
            <w:bottom w:val="none" w:sz="0" w:space="0" w:color="auto"/>
            <w:right w:val="none" w:sz="0" w:space="0" w:color="auto"/>
          </w:divBdr>
          <w:divsChild>
            <w:div w:id="905336882">
              <w:marLeft w:val="0"/>
              <w:marRight w:val="0"/>
              <w:marTop w:val="0"/>
              <w:marBottom w:val="0"/>
              <w:divBdr>
                <w:top w:val="none" w:sz="0" w:space="0" w:color="auto"/>
                <w:left w:val="none" w:sz="0" w:space="0" w:color="auto"/>
                <w:bottom w:val="none" w:sz="0" w:space="0" w:color="auto"/>
                <w:right w:val="none" w:sz="0" w:space="0" w:color="auto"/>
              </w:divBdr>
              <w:divsChild>
                <w:div w:id="15471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30470">
      <w:bodyDiv w:val="1"/>
      <w:marLeft w:val="0"/>
      <w:marRight w:val="0"/>
      <w:marTop w:val="0"/>
      <w:marBottom w:val="0"/>
      <w:divBdr>
        <w:top w:val="none" w:sz="0" w:space="0" w:color="auto"/>
        <w:left w:val="none" w:sz="0" w:space="0" w:color="auto"/>
        <w:bottom w:val="none" w:sz="0" w:space="0" w:color="auto"/>
        <w:right w:val="none" w:sz="0" w:space="0" w:color="auto"/>
      </w:divBdr>
      <w:divsChild>
        <w:div w:id="1972176108">
          <w:marLeft w:val="0"/>
          <w:marRight w:val="0"/>
          <w:marTop w:val="0"/>
          <w:marBottom w:val="0"/>
          <w:divBdr>
            <w:top w:val="none" w:sz="0" w:space="0" w:color="auto"/>
            <w:left w:val="none" w:sz="0" w:space="0" w:color="auto"/>
            <w:bottom w:val="none" w:sz="0" w:space="0" w:color="auto"/>
            <w:right w:val="none" w:sz="0" w:space="0" w:color="auto"/>
          </w:divBdr>
          <w:divsChild>
            <w:div w:id="1559247118">
              <w:marLeft w:val="0"/>
              <w:marRight w:val="0"/>
              <w:marTop w:val="0"/>
              <w:marBottom w:val="0"/>
              <w:divBdr>
                <w:top w:val="none" w:sz="0" w:space="0" w:color="auto"/>
                <w:left w:val="none" w:sz="0" w:space="0" w:color="auto"/>
                <w:bottom w:val="none" w:sz="0" w:space="0" w:color="auto"/>
                <w:right w:val="none" w:sz="0" w:space="0" w:color="auto"/>
              </w:divBdr>
              <w:divsChild>
                <w:div w:id="14488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90563">
      <w:bodyDiv w:val="1"/>
      <w:marLeft w:val="0"/>
      <w:marRight w:val="0"/>
      <w:marTop w:val="0"/>
      <w:marBottom w:val="0"/>
      <w:divBdr>
        <w:top w:val="none" w:sz="0" w:space="0" w:color="auto"/>
        <w:left w:val="none" w:sz="0" w:space="0" w:color="auto"/>
        <w:bottom w:val="none" w:sz="0" w:space="0" w:color="auto"/>
        <w:right w:val="none" w:sz="0" w:space="0" w:color="auto"/>
      </w:divBdr>
      <w:divsChild>
        <w:div w:id="1886285620">
          <w:marLeft w:val="0"/>
          <w:marRight w:val="0"/>
          <w:marTop w:val="0"/>
          <w:marBottom w:val="0"/>
          <w:divBdr>
            <w:top w:val="none" w:sz="0" w:space="0" w:color="auto"/>
            <w:left w:val="none" w:sz="0" w:space="0" w:color="auto"/>
            <w:bottom w:val="none" w:sz="0" w:space="0" w:color="auto"/>
            <w:right w:val="none" w:sz="0" w:space="0" w:color="auto"/>
          </w:divBdr>
          <w:divsChild>
            <w:div w:id="248122659">
              <w:marLeft w:val="0"/>
              <w:marRight w:val="0"/>
              <w:marTop w:val="0"/>
              <w:marBottom w:val="0"/>
              <w:divBdr>
                <w:top w:val="none" w:sz="0" w:space="0" w:color="auto"/>
                <w:left w:val="none" w:sz="0" w:space="0" w:color="auto"/>
                <w:bottom w:val="none" w:sz="0" w:space="0" w:color="auto"/>
                <w:right w:val="none" w:sz="0" w:space="0" w:color="auto"/>
              </w:divBdr>
              <w:divsChild>
                <w:div w:id="20669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7972">
      <w:bodyDiv w:val="1"/>
      <w:marLeft w:val="0"/>
      <w:marRight w:val="0"/>
      <w:marTop w:val="0"/>
      <w:marBottom w:val="0"/>
      <w:divBdr>
        <w:top w:val="none" w:sz="0" w:space="0" w:color="auto"/>
        <w:left w:val="none" w:sz="0" w:space="0" w:color="auto"/>
        <w:bottom w:val="none" w:sz="0" w:space="0" w:color="auto"/>
        <w:right w:val="none" w:sz="0" w:space="0" w:color="auto"/>
      </w:divBdr>
      <w:divsChild>
        <w:div w:id="1599024247">
          <w:marLeft w:val="0"/>
          <w:marRight w:val="0"/>
          <w:marTop w:val="0"/>
          <w:marBottom w:val="0"/>
          <w:divBdr>
            <w:top w:val="none" w:sz="0" w:space="0" w:color="auto"/>
            <w:left w:val="none" w:sz="0" w:space="0" w:color="auto"/>
            <w:bottom w:val="none" w:sz="0" w:space="0" w:color="auto"/>
            <w:right w:val="none" w:sz="0" w:space="0" w:color="auto"/>
          </w:divBdr>
          <w:divsChild>
            <w:div w:id="474301053">
              <w:marLeft w:val="0"/>
              <w:marRight w:val="0"/>
              <w:marTop w:val="0"/>
              <w:marBottom w:val="0"/>
              <w:divBdr>
                <w:top w:val="none" w:sz="0" w:space="0" w:color="auto"/>
                <w:left w:val="none" w:sz="0" w:space="0" w:color="auto"/>
                <w:bottom w:val="none" w:sz="0" w:space="0" w:color="auto"/>
                <w:right w:val="none" w:sz="0" w:space="0" w:color="auto"/>
              </w:divBdr>
              <w:divsChild>
                <w:div w:id="7088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25418">
      <w:bodyDiv w:val="1"/>
      <w:marLeft w:val="0"/>
      <w:marRight w:val="0"/>
      <w:marTop w:val="0"/>
      <w:marBottom w:val="0"/>
      <w:divBdr>
        <w:top w:val="none" w:sz="0" w:space="0" w:color="auto"/>
        <w:left w:val="none" w:sz="0" w:space="0" w:color="auto"/>
        <w:bottom w:val="none" w:sz="0" w:space="0" w:color="auto"/>
        <w:right w:val="none" w:sz="0" w:space="0" w:color="auto"/>
      </w:divBdr>
      <w:divsChild>
        <w:div w:id="440103789">
          <w:marLeft w:val="0"/>
          <w:marRight w:val="0"/>
          <w:marTop w:val="0"/>
          <w:marBottom w:val="0"/>
          <w:divBdr>
            <w:top w:val="none" w:sz="0" w:space="0" w:color="auto"/>
            <w:left w:val="none" w:sz="0" w:space="0" w:color="auto"/>
            <w:bottom w:val="none" w:sz="0" w:space="0" w:color="auto"/>
            <w:right w:val="none" w:sz="0" w:space="0" w:color="auto"/>
          </w:divBdr>
          <w:divsChild>
            <w:div w:id="870993336">
              <w:marLeft w:val="0"/>
              <w:marRight w:val="0"/>
              <w:marTop w:val="0"/>
              <w:marBottom w:val="0"/>
              <w:divBdr>
                <w:top w:val="none" w:sz="0" w:space="0" w:color="auto"/>
                <w:left w:val="none" w:sz="0" w:space="0" w:color="auto"/>
                <w:bottom w:val="none" w:sz="0" w:space="0" w:color="auto"/>
                <w:right w:val="none" w:sz="0" w:space="0" w:color="auto"/>
              </w:divBdr>
              <w:divsChild>
                <w:div w:id="1065882763">
                  <w:marLeft w:val="0"/>
                  <w:marRight w:val="0"/>
                  <w:marTop w:val="0"/>
                  <w:marBottom w:val="0"/>
                  <w:divBdr>
                    <w:top w:val="none" w:sz="0" w:space="0" w:color="auto"/>
                    <w:left w:val="none" w:sz="0" w:space="0" w:color="auto"/>
                    <w:bottom w:val="none" w:sz="0" w:space="0" w:color="auto"/>
                    <w:right w:val="none" w:sz="0" w:space="0" w:color="auto"/>
                  </w:divBdr>
                  <w:divsChild>
                    <w:div w:id="1182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033925">
      <w:bodyDiv w:val="1"/>
      <w:marLeft w:val="0"/>
      <w:marRight w:val="0"/>
      <w:marTop w:val="0"/>
      <w:marBottom w:val="0"/>
      <w:divBdr>
        <w:top w:val="none" w:sz="0" w:space="0" w:color="auto"/>
        <w:left w:val="none" w:sz="0" w:space="0" w:color="auto"/>
        <w:bottom w:val="none" w:sz="0" w:space="0" w:color="auto"/>
        <w:right w:val="none" w:sz="0" w:space="0" w:color="auto"/>
      </w:divBdr>
      <w:divsChild>
        <w:div w:id="1425421588">
          <w:marLeft w:val="0"/>
          <w:marRight w:val="0"/>
          <w:marTop w:val="0"/>
          <w:marBottom w:val="0"/>
          <w:divBdr>
            <w:top w:val="none" w:sz="0" w:space="0" w:color="auto"/>
            <w:left w:val="none" w:sz="0" w:space="0" w:color="auto"/>
            <w:bottom w:val="none" w:sz="0" w:space="0" w:color="auto"/>
            <w:right w:val="none" w:sz="0" w:space="0" w:color="auto"/>
          </w:divBdr>
          <w:divsChild>
            <w:div w:id="866455402">
              <w:marLeft w:val="0"/>
              <w:marRight w:val="0"/>
              <w:marTop w:val="0"/>
              <w:marBottom w:val="0"/>
              <w:divBdr>
                <w:top w:val="none" w:sz="0" w:space="0" w:color="auto"/>
                <w:left w:val="none" w:sz="0" w:space="0" w:color="auto"/>
                <w:bottom w:val="none" w:sz="0" w:space="0" w:color="auto"/>
                <w:right w:val="none" w:sz="0" w:space="0" w:color="auto"/>
              </w:divBdr>
              <w:divsChild>
                <w:div w:id="19722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77823">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1">
          <w:marLeft w:val="0"/>
          <w:marRight w:val="0"/>
          <w:marTop w:val="0"/>
          <w:marBottom w:val="0"/>
          <w:divBdr>
            <w:top w:val="none" w:sz="0" w:space="0" w:color="auto"/>
            <w:left w:val="none" w:sz="0" w:space="0" w:color="auto"/>
            <w:bottom w:val="none" w:sz="0" w:space="0" w:color="auto"/>
            <w:right w:val="none" w:sz="0" w:space="0" w:color="auto"/>
          </w:divBdr>
          <w:divsChild>
            <w:div w:id="499661847">
              <w:marLeft w:val="0"/>
              <w:marRight w:val="0"/>
              <w:marTop w:val="0"/>
              <w:marBottom w:val="0"/>
              <w:divBdr>
                <w:top w:val="none" w:sz="0" w:space="0" w:color="auto"/>
                <w:left w:val="none" w:sz="0" w:space="0" w:color="auto"/>
                <w:bottom w:val="none" w:sz="0" w:space="0" w:color="auto"/>
                <w:right w:val="none" w:sz="0" w:space="0" w:color="auto"/>
              </w:divBdr>
              <w:divsChild>
                <w:div w:id="17732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86">
      <w:bodyDiv w:val="1"/>
      <w:marLeft w:val="0"/>
      <w:marRight w:val="0"/>
      <w:marTop w:val="0"/>
      <w:marBottom w:val="0"/>
      <w:divBdr>
        <w:top w:val="none" w:sz="0" w:space="0" w:color="auto"/>
        <w:left w:val="none" w:sz="0" w:space="0" w:color="auto"/>
        <w:bottom w:val="none" w:sz="0" w:space="0" w:color="auto"/>
        <w:right w:val="none" w:sz="0" w:space="0" w:color="auto"/>
      </w:divBdr>
      <w:divsChild>
        <w:div w:id="1612085469">
          <w:marLeft w:val="0"/>
          <w:marRight w:val="0"/>
          <w:marTop w:val="0"/>
          <w:marBottom w:val="0"/>
          <w:divBdr>
            <w:top w:val="none" w:sz="0" w:space="0" w:color="auto"/>
            <w:left w:val="none" w:sz="0" w:space="0" w:color="auto"/>
            <w:bottom w:val="none" w:sz="0" w:space="0" w:color="auto"/>
            <w:right w:val="none" w:sz="0" w:space="0" w:color="auto"/>
          </w:divBdr>
          <w:divsChild>
            <w:div w:id="961958206">
              <w:marLeft w:val="0"/>
              <w:marRight w:val="0"/>
              <w:marTop w:val="0"/>
              <w:marBottom w:val="0"/>
              <w:divBdr>
                <w:top w:val="none" w:sz="0" w:space="0" w:color="auto"/>
                <w:left w:val="none" w:sz="0" w:space="0" w:color="auto"/>
                <w:bottom w:val="none" w:sz="0" w:space="0" w:color="auto"/>
                <w:right w:val="none" w:sz="0" w:space="0" w:color="auto"/>
              </w:divBdr>
              <w:divsChild>
                <w:div w:id="719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5802">
      <w:bodyDiv w:val="1"/>
      <w:marLeft w:val="0"/>
      <w:marRight w:val="0"/>
      <w:marTop w:val="0"/>
      <w:marBottom w:val="0"/>
      <w:divBdr>
        <w:top w:val="none" w:sz="0" w:space="0" w:color="auto"/>
        <w:left w:val="none" w:sz="0" w:space="0" w:color="auto"/>
        <w:bottom w:val="none" w:sz="0" w:space="0" w:color="auto"/>
        <w:right w:val="none" w:sz="0" w:space="0" w:color="auto"/>
      </w:divBdr>
    </w:div>
    <w:div w:id="1612200658">
      <w:bodyDiv w:val="1"/>
      <w:marLeft w:val="0"/>
      <w:marRight w:val="0"/>
      <w:marTop w:val="0"/>
      <w:marBottom w:val="0"/>
      <w:divBdr>
        <w:top w:val="none" w:sz="0" w:space="0" w:color="auto"/>
        <w:left w:val="none" w:sz="0" w:space="0" w:color="auto"/>
        <w:bottom w:val="none" w:sz="0" w:space="0" w:color="auto"/>
        <w:right w:val="none" w:sz="0" w:space="0" w:color="auto"/>
      </w:divBdr>
    </w:div>
    <w:div w:id="1616713802">
      <w:bodyDiv w:val="1"/>
      <w:marLeft w:val="0"/>
      <w:marRight w:val="0"/>
      <w:marTop w:val="0"/>
      <w:marBottom w:val="0"/>
      <w:divBdr>
        <w:top w:val="none" w:sz="0" w:space="0" w:color="auto"/>
        <w:left w:val="none" w:sz="0" w:space="0" w:color="auto"/>
        <w:bottom w:val="none" w:sz="0" w:space="0" w:color="auto"/>
        <w:right w:val="none" w:sz="0" w:space="0" w:color="auto"/>
      </w:divBdr>
      <w:divsChild>
        <w:div w:id="812216073">
          <w:marLeft w:val="0"/>
          <w:marRight w:val="0"/>
          <w:marTop w:val="0"/>
          <w:marBottom w:val="0"/>
          <w:divBdr>
            <w:top w:val="none" w:sz="0" w:space="0" w:color="auto"/>
            <w:left w:val="none" w:sz="0" w:space="0" w:color="auto"/>
            <w:bottom w:val="none" w:sz="0" w:space="0" w:color="auto"/>
            <w:right w:val="none" w:sz="0" w:space="0" w:color="auto"/>
          </w:divBdr>
          <w:divsChild>
            <w:div w:id="1811046808">
              <w:marLeft w:val="0"/>
              <w:marRight w:val="0"/>
              <w:marTop w:val="0"/>
              <w:marBottom w:val="0"/>
              <w:divBdr>
                <w:top w:val="none" w:sz="0" w:space="0" w:color="auto"/>
                <w:left w:val="none" w:sz="0" w:space="0" w:color="auto"/>
                <w:bottom w:val="none" w:sz="0" w:space="0" w:color="auto"/>
                <w:right w:val="none" w:sz="0" w:space="0" w:color="auto"/>
              </w:divBdr>
              <w:divsChild>
                <w:div w:id="11463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0954">
      <w:bodyDiv w:val="1"/>
      <w:marLeft w:val="0"/>
      <w:marRight w:val="0"/>
      <w:marTop w:val="0"/>
      <w:marBottom w:val="0"/>
      <w:divBdr>
        <w:top w:val="none" w:sz="0" w:space="0" w:color="auto"/>
        <w:left w:val="none" w:sz="0" w:space="0" w:color="auto"/>
        <w:bottom w:val="none" w:sz="0" w:space="0" w:color="auto"/>
        <w:right w:val="none" w:sz="0" w:space="0" w:color="auto"/>
      </w:divBdr>
    </w:div>
    <w:div w:id="1698002384">
      <w:bodyDiv w:val="1"/>
      <w:marLeft w:val="0"/>
      <w:marRight w:val="0"/>
      <w:marTop w:val="0"/>
      <w:marBottom w:val="0"/>
      <w:divBdr>
        <w:top w:val="none" w:sz="0" w:space="0" w:color="auto"/>
        <w:left w:val="none" w:sz="0" w:space="0" w:color="auto"/>
        <w:bottom w:val="none" w:sz="0" w:space="0" w:color="auto"/>
        <w:right w:val="none" w:sz="0" w:space="0" w:color="auto"/>
      </w:divBdr>
      <w:divsChild>
        <w:div w:id="710569594">
          <w:marLeft w:val="0"/>
          <w:marRight w:val="0"/>
          <w:marTop w:val="0"/>
          <w:marBottom w:val="0"/>
          <w:divBdr>
            <w:top w:val="none" w:sz="0" w:space="0" w:color="auto"/>
            <w:left w:val="none" w:sz="0" w:space="0" w:color="auto"/>
            <w:bottom w:val="none" w:sz="0" w:space="0" w:color="auto"/>
            <w:right w:val="none" w:sz="0" w:space="0" w:color="auto"/>
          </w:divBdr>
          <w:divsChild>
            <w:div w:id="171651830">
              <w:marLeft w:val="0"/>
              <w:marRight w:val="0"/>
              <w:marTop w:val="0"/>
              <w:marBottom w:val="0"/>
              <w:divBdr>
                <w:top w:val="none" w:sz="0" w:space="0" w:color="auto"/>
                <w:left w:val="none" w:sz="0" w:space="0" w:color="auto"/>
                <w:bottom w:val="none" w:sz="0" w:space="0" w:color="auto"/>
                <w:right w:val="none" w:sz="0" w:space="0" w:color="auto"/>
              </w:divBdr>
              <w:divsChild>
                <w:div w:id="1489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11829">
      <w:bodyDiv w:val="1"/>
      <w:marLeft w:val="0"/>
      <w:marRight w:val="0"/>
      <w:marTop w:val="0"/>
      <w:marBottom w:val="0"/>
      <w:divBdr>
        <w:top w:val="none" w:sz="0" w:space="0" w:color="auto"/>
        <w:left w:val="none" w:sz="0" w:space="0" w:color="auto"/>
        <w:bottom w:val="none" w:sz="0" w:space="0" w:color="auto"/>
        <w:right w:val="none" w:sz="0" w:space="0" w:color="auto"/>
      </w:divBdr>
      <w:divsChild>
        <w:div w:id="1719403106">
          <w:marLeft w:val="0"/>
          <w:marRight w:val="0"/>
          <w:marTop w:val="0"/>
          <w:marBottom w:val="0"/>
          <w:divBdr>
            <w:top w:val="none" w:sz="0" w:space="0" w:color="auto"/>
            <w:left w:val="none" w:sz="0" w:space="0" w:color="auto"/>
            <w:bottom w:val="none" w:sz="0" w:space="0" w:color="auto"/>
            <w:right w:val="none" w:sz="0" w:space="0" w:color="auto"/>
          </w:divBdr>
          <w:divsChild>
            <w:div w:id="1386678522">
              <w:marLeft w:val="0"/>
              <w:marRight w:val="0"/>
              <w:marTop w:val="0"/>
              <w:marBottom w:val="0"/>
              <w:divBdr>
                <w:top w:val="none" w:sz="0" w:space="0" w:color="auto"/>
                <w:left w:val="none" w:sz="0" w:space="0" w:color="auto"/>
                <w:bottom w:val="none" w:sz="0" w:space="0" w:color="auto"/>
                <w:right w:val="none" w:sz="0" w:space="0" w:color="auto"/>
              </w:divBdr>
              <w:divsChild>
                <w:div w:id="1792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81689">
      <w:bodyDiv w:val="1"/>
      <w:marLeft w:val="0"/>
      <w:marRight w:val="0"/>
      <w:marTop w:val="0"/>
      <w:marBottom w:val="0"/>
      <w:divBdr>
        <w:top w:val="none" w:sz="0" w:space="0" w:color="auto"/>
        <w:left w:val="none" w:sz="0" w:space="0" w:color="auto"/>
        <w:bottom w:val="none" w:sz="0" w:space="0" w:color="auto"/>
        <w:right w:val="none" w:sz="0" w:space="0" w:color="auto"/>
      </w:divBdr>
      <w:divsChild>
        <w:div w:id="2108188068">
          <w:marLeft w:val="0"/>
          <w:marRight w:val="0"/>
          <w:marTop w:val="0"/>
          <w:marBottom w:val="0"/>
          <w:divBdr>
            <w:top w:val="none" w:sz="0" w:space="0" w:color="auto"/>
            <w:left w:val="none" w:sz="0" w:space="0" w:color="auto"/>
            <w:bottom w:val="none" w:sz="0" w:space="0" w:color="auto"/>
            <w:right w:val="none" w:sz="0" w:space="0" w:color="auto"/>
          </w:divBdr>
          <w:divsChild>
            <w:div w:id="914314703">
              <w:marLeft w:val="0"/>
              <w:marRight w:val="0"/>
              <w:marTop w:val="0"/>
              <w:marBottom w:val="0"/>
              <w:divBdr>
                <w:top w:val="none" w:sz="0" w:space="0" w:color="auto"/>
                <w:left w:val="none" w:sz="0" w:space="0" w:color="auto"/>
                <w:bottom w:val="none" w:sz="0" w:space="0" w:color="auto"/>
                <w:right w:val="none" w:sz="0" w:space="0" w:color="auto"/>
              </w:divBdr>
              <w:divsChild>
                <w:div w:id="3264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5226">
      <w:bodyDiv w:val="1"/>
      <w:marLeft w:val="0"/>
      <w:marRight w:val="0"/>
      <w:marTop w:val="0"/>
      <w:marBottom w:val="0"/>
      <w:divBdr>
        <w:top w:val="none" w:sz="0" w:space="0" w:color="auto"/>
        <w:left w:val="none" w:sz="0" w:space="0" w:color="auto"/>
        <w:bottom w:val="none" w:sz="0" w:space="0" w:color="auto"/>
        <w:right w:val="none" w:sz="0" w:space="0" w:color="auto"/>
      </w:divBdr>
      <w:divsChild>
        <w:div w:id="588739852">
          <w:marLeft w:val="0"/>
          <w:marRight w:val="0"/>
          <w:marTop w:val="0"/>
          <w:marBottom w:val="0"/>
          <w:divBdr>
            <w:top w:val="none" w:sz="0" w:space="0" w:color="auto"/>
            <w:left w:val="none" w:sz="0" w:space="0" w:color="auto"/>
            <w:bottom w:val="none" w:sz="0" w:space="0" w:color="auto"/>
            <w:right w:val="none" w:sz="0" w:space="0" w:color="auto"/>
          </w:divBdr>
          <w:divsChild>
            <w:div w:id="16005668">
              <w:marLeft w:val="0"/>
              <w:marRight w:val="0"/>
              <w:marTop w:val="0"/>
              <w:marBottom w:val="0"/>
              <w:divBdr>
                <w:top w:val="none" w:sz="0" w:space="0" w:color="auto"/>
                <w:left w:val="none" w:sz="0" w:space="0" w:color="auto"/>
                <w:bottom w:val="none" w:sz="0" w:space="0" w:color="auto"/>
                <w:right w:val="none" w:sz="0" w:space="0" w:color="auto"/>
              </w:divBdr>
              <w:divsChild>
                <w:div w:id="17471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0153">
      <w:bodyDiv w:val="1"/>
      <w:marLeft w:val="0"/>
      <w:marRight w:val="0"/>
      <w:marTop w:val="0"/>
      <w:marBottom w:val="0"/>
      <w:divBdr>
        <w:top w:val="none" w:sz="0" w:space="0" w:color="auto"/>
        <w:left w:val="none" w:sz="0" w:space="0" w:color="auto"/>
        <w:bottom w:val="none" w:sz="0" w:space="0" w:color="auto"/>
        <w:right w:val="none" w:sz="0" w:space="0" w:color="auto"/>
      </w:divBdr>
    </w:div>
    <w:div w:id="1962301732">
      <w:bodyDiv w:val="1"/>
      <w:marLeft w:val="0"/>
      <w:marRight w:val="0"/>
      <w:marTop w:val="0"/>
      <w:marBottom w:val="0"/>
      <w:divBdr>
        <w:top w:val="none" w:sz="0" w:space="0" w:color="auto"/>
        <w:left w:val="none" w:sz="0" w:space="0" w:color="auto"/>
        <w:bottom w:val="none" w:sz="0" w:space="0" w:color="auto"/>
        <w:right w:val="none" w:sz="0" w:space="0" w:color="auto"/>
      </w:divBdr>
    </w:div>
    <w:div w:id="1992326509">
      <w:bodyDiv w:val="1"/>
      <w:marLeft w:val="0"/>
      <w:marRight w:val="0"/>
      <w:marTop w:val="0"/>
      <w:marBottom w:val="0"/>
      <w:divBdr>
        <w:top w:val="none" w:sz="0" w:space="0" w:color="auto"/>
        <w:left w:val="none" w:sz="0" w:space="0" w:color="auto"/>
        <w:bottom w:val="none" w:sz="0" w:space="0" w:color="auto"/>
        <w:right w:val="none" w:sz="0" w:space="0" w:color="auto"/>
      </w:divBdr>
      <w:divsChild>
        <w:div w:id="412245972">
          <w:marLeft w:val="0"/>
          <w:marRight w:val="0"/>
          <w:marTop w:val="0"/>
          <w:marBottom w:val="0"/>
          <w:divBdr>
            <w:top w:val="none" w:sz="0" w:space="0" w:color="auto"/>
            <w:left w:val="none" w:sz="0" w:space="0" w:color="auto"/>
            <w:bottom w:val="none" w:sz="0" w:space="0" w:color="auto"/>
            <w:right w:val="none" w:sz="0" w:space="0" w:color="auto"/>
          </w:divBdr>
          <w:divsChild>
            <w:div w:id="1777216689">
              <w:marLeft w:val="0"/>
              <w:marRight w:val="0"/>
              <w:marTop w:val="0"/>
              <w:marBottom w:val="0"/>
              <w:divBdr>
                <w:top w:val="none" w:sz="0" w:space="0" w:color="auto"/>
                <w:left w:val="none" w:sz="0" w:space="0" w:color="auto"/>
                <w:bottom w:val="none" w:sz="0" w:space="0" w:color="auto"/>
                <w:right w:val="none" w:sz="0" w:space="0" w:color="auto"/>
              </w:divBdr>
              <w:divsChild>
                <w:div w:id="8377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2219">
      <w:bodyDiv w:val="1"/>
      <w:marLeft w:val="0"/>
      <w:marRight w:val="0"/>
      <w:marTop w:val="0"/>
      <w:marBottom w:val="0"/>
      <w:divBdr>
        <w:top w:val="none" w:sz="0" w:space="0" w:color="auto"/>
        <w:left w:val="none" w:sz="0" w:space="0" w:color="auto"/>
        <w:bottom w:val="none" w:sz="0" w:space="0" w:color="auto"/>
        <w:right w:val="none" w:sz="0" w:space="0" w:color="auto"/>
      </w:divBdr>
      <w:divsChild>
        <w:div w:id="2105372903">
          <w:marLeft w:val="0"/>
          <w:marRight w:val="0"/>
          <w:marTop w:val="0"/>
          <w:marBottom w:val="0"/>
          <w:divBdr>
            <w:top w:val="none" w:sz="0" w:space="0" w:color="auto"/>
            <w:left w:val="none" w:sz="0" w:space="0" w:color="auto"/>
            <w:bottom w:val="none" w:sz="0" w:space="0" w:color="auto"/>
            <w:right w:val="none" w:sz="0" w:space="0" w:color="auto"/>
          </w:divBdr>
          <w:divsChild>
            <w:div w:id="2137747263">
              <w:marLeft w:val="0"/>
              <w:marRight w:val="0"/>
              <w:marTop w:val="0"/>
              <w:marBottom w:val="0"/>
              <w:divBdr>
                <w:top w:val="none" w:sz="0" w:space="0" w:color="auto"/>
                <w:left w:val="none" w:sz="0" w:space="0" w:color="auto"/>
                <w:bottom w:val="none" w:sz="0" w:space="0" w:color="auto"/>
                <w:right w:val="none" w:sz="0" w:space="0" w:color="auto"/>
              </w:divBdr>
              <w:divsChild>
                <w:div w:id="833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4031">
      <w:bodyDiv w:val="1"/>
      <w:marLeft w:val="0"/>
      <w:marRight w:val="0"/>
      <w:marTop w:val="0"/>
      <w:marBottom w:val="0"/>
      <w:divBdr>
        <w:top w:val="none" w:sz="0" w:space="0" w:color="auto"/>
        <w:left w:val="none" w:sz="0" w:space="0" w:color="auto"/>
        <w:bottom w:val="none" w:sz="0" w:space="0" w:color="auto"/>
        <w:right w:val="none" w:sz="0" w:space="0" w:color="auto"/>
      </w:divBdr>
      <w:divsChild>
        <w:div w:id="1229681769">
          <w:marLeft w:val="0"/>
          <w:marRight w:val="0"/>
          <w:marTop w:val="0"/>
          <w:marBottom w:val="0"/>
          <w:divBdr>
            <w:top w:val="none" w:sz="0" w:space="0" w:color="auto"/>
            <w:left w:val="none" w:sz="0" w:space="0" w:color="auto"/>
            <w:bottom w:val="none" w:sz="0" w:space="0" w:color="auto"/>
            <w:right w:val="none" w:sz="0" w:space="0" w:color="auto"/>
          </w:divBdr>
          <w:divsChild>
            <w:div w:id="1454519762">
              <w:marLeft w:val="0"/>
              <w:marRight w:val="0"/>
              <w:marTop w:val="0"/>
              <w:marBottom w:val="0"/>
              <w:divBdr>
                <w:top w:val="none" w:sz="0" w:space="0" w:color="auto"/>
                <w:left w:val="none" w:sz="0" w:space="0" w:color="auto"/>
                <w:bottom w:val="none" w:sz="0" w:space="0" w:color="auto"/>
                <w:right w:val="none" w:sz="0" w:space="0" w:color="auto"/>
              </w:divBdr>
              <w:divsChild>
                <w:div w:id="14800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6761">
      <w:bodyDiv w:val="1"/>
      <w:marLeft w:val="0"/>
      <w:marRight w:val="0"/>
      <w:marTop w:val="0"/>
      <w:marBottom w:val="0"/>
      <w:divBdr>
        <w:top w:val="none" w:sz="0" w:space="0" w:color="auto"/>
        <w:left w:val="none" w:sz="0" w:space="0" w:color="auto"/>
        <w:bottom w:val="none" w:sz="0" w:space="0" w:color="auto"/>
        <w:right w:val="none" w:sz="0" w:space="0" w:color="auto"/>
      </w:divBdr>
      <w:divsChild>
        <w:div w:id="2041971548">
          <w:marLeft w:val="0"/>
          <w:marRight w:val="0"/>
          <w:marTop w:val="0"/>
          <w:marBottom w:val="0"/>
          <w:divBdr>
            <w:top w:val="none" w:sz="0" w:space="0" w:color="auto"/>
            <w:left w:val="none" w:sz="0" w:space="0" w:color="auto"/>
            <w:bottom w:val="none" w:sz="0" w:space="0" w:color="auto"/>
            <w:right w:val="none" w:sz="0" w:space="0" w:color="auto"/>
          </w:divBdr>
          <w:divsChild>
            <w:div w:id="812791955">
              <w:marLeft w:val="0"/>
              <w:marRight w:val="0"/>
              <w:marTop w:val="0"/>
              <w:marBottom w:val="0"/>
              <w:divBdr>
                <w:top w:val="none" w:sz="0" w:space="0" w:color="auto"/>
                <w:left w:val="none" w:sz="0" w:space="0" w:color="auto"/>
                <w:bottom w:val="none" w:sz="0" w:space="0" w:color="auto"/>
                <w:right w:val="none" w:sz="0" w:space="0" w:color="auto"/>
              </w:divBdr>
              <w:divsChild>
                <w:div w:id="95951396">
                  <w:marLeft w:val="0"/>
                  <w:marRight w:val="0"/>
                  <w:marTop w:val="0"/>
                  <w:marBottom w:val="0"/>
                  <w:divBdr>
                    <w:top w:val="none" w:sz="0" w:space="0" w:color="auto"/>
                    <w:left w:val="none" w:sz="0" w:space="0" w:color="auto"/>
                    <w:bottom w:val="none" w:sz="0" w:space="0" w:color="auto"/>
                    <w:right w:val="none" w:sz="0" w:space="0" w:color="auto"/>
                  </w:divBdr>
                </w:div>
                <w:div w:id="19605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69870">
      <w:bodyDiv w:val="1"/>
      <w:marLeft w:val="0"/>
      <w:marRight w:val="0"/>
      <w:marTop w:val="0"/>
      <w:marBottom w:val="0"/>
      <w:divBdr>
        <w:top w:val="none" w:sz="0" w:space="0" w:color="auto"/>
        <w:left w:val="none" w:sz="0" w:space="0" w:color="auto"/>
        <w:bottom w:val="none" w:sz="0" w:space="0" w:color="auto"/>
        <w:right w:val="none" w:sz="0" w:space="0" w:color="auto"/>
      </w:divBdr>
      <w:divsChild>
        <w:div w:id="2010600811">
          <w:marLeft w:val="0"/>
          <w:marRight w:val="0"/>
          <w:marTop w:val="0"/>
          <w:marBottom w:val="0"/>
          <w:divBdr>
            <w:top w:val="none" w:sz="0" w:space="0" w:color="auto"/>
            <w:left w:val="none" w:sz="0" w:space="0" w:color="auto"/>
            <w:bottom w:val="none" w:sz="0" w:space="0" w:color="auto"/>
            <w:right w:val="none" w:sz="0" w:space="0" w:color="auto"/>
          </w:divBdr>
          <w:divsChild>
            <w:div w:id="989752457">
              <w:marLeft w:val="0"/>
              <w:marRight w:val="0"/>
              <w:marTop w:val="0"/>
              <w:marBottom w:val="0"/>
              <w:divBdr>
                <w:top w:val="none" w:sz="0" w:space="0" w:color="auto"/>
                <w:left w:val="none" w:sz="0" w:space="0" w:color="auto"/>
                <w:bottom w:val="none" w:sz="0" w:space="0" w:color="auto"/>
                <w:right w:val="none" w:sz="0" w:space="0" w:color="auto"/>
              </w:divBdr>
              <w:divsChild>
                <w:div w:id="926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9102">
      <w:bodyDiv w:val="1"/>
      <w:marLeft w:val="0"/>
      <w:marRight w:val="0"/>
      <w:marTop w:val="0"/>
      <w:marBottom w:val="0"/>
      <w:divBdr>
        <w:top w:val="none" w:sz="0" w:space="0" w:color="auto"/>
        <w:left w:val="none" w:sz="0" w:space="0" w:color="auto"/>
        <w:bottom w:val="none" w:sz="0" w:space="0" w:color="auto"/>
        <w:right w:val="none" w:sz="0" w:space="0" w:color="auto"/>
      </w:divBdr>
    </w:div>
    <w:div w:id="2098865007">
      <w:bodyDiv w:val="1"/>
      <w:marLeft w:val="0"/>
      <w:marRight w:val="0"/>
      <w:marTop w:val="0"/>
      <w:marBottom w:val="0"/>
      <w:divBdr>
        <w:top w:val="none" w:sz="0" w:space="0" w:color="auto"/>
        <w:left w:val="none" w:sz="0" w:space="0" w:color="auto"/>
        <w:bottom w:val="none" w:sz="0" w:space="0" w:color="auto"/>
        <w:right w:val="none" w:sz="0" w:space="0" w:color="auto"/>
      </w:divBdr>
      <w:divsChild>
        <w:div w:id="693386958">
          <w:marLeft w:val="0"/>
          <w:marRight w:val="0"/>
          <w:marTop w:val="0"/>
          <w:marBottom w:val="0"/>
          <w:divBdr>
            <w:top w:val="none" w:sz="0" w:space="0" w:color="auto"/>
            <w:left w:val="none" w:sz="0" w:space="0" w:color="auto"/>
            <w:bottom w:val="none" w:sz="0" w:space="0" w:color="auto"/>
            <w:right w:val="none" w:sz="0" w:space="0" w:color="auto"/>
          </w:divBdr>
          <w:divsChild>
            <w:div w:id="1308239625">
              <w:marLeft w:val="0"/>
              <w:marRight w:val="0"/>
              <w:marTop w:val="0"/>
              <w:marBottom w:val="0"/>
              <w:divBdr>
                <w:top w:val="none" w:sz="0" w:space="0" w:color="auto"/>
                <w:left w:val="none" w:sz="0" w:space="0" w:color="auto"/>
                <w:bottom w:val="none" w:sz="0" w:space="0" w:color="auto"/>
                <w:right w:val="none" w:sz="0" w:space="0" w:color="auto"/>
              </w:divBdr>
              <w:divsChild>
                <w:div w:id="690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uccigraciela@gmail.com" TargetMode="External"/><Relationship Id="rId18" Type="http://schemas.openxmlformats.org/officeDocument/2006/relationships/hyperlink" Target="mailto:rominaanabeldiaz91@gmai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adrianjacuna@yahoo.com.ar" TargetMode="External"/><Relationship Id="rId17" Type="http://schemas.openxmlformats.org/officeDocument/2006/relationships/hyperlink" Target="https://orcid.org/0000-0002-0238-2394"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rcid.org/0000-0002-2686-9869" TargetMode="External"/><Relationship Id="rId20" Type="http://schemas.openxmlformats.org/officeDocument/2006/relationships/hyperlink" Target="http://www.midi-inc.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quiroga@gmai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orcid.org/0000-0002-9834-7226" TargetMode="Externa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hyperlink" Target="mailto:gutierrez.me@hotmail.com" TargetMode="External"/><Relationship Id="rId19" Type="http://schemas.openxmlformats.org/officeDocument/2006/relationships/hyperlink" Target="https://doi.org/10.15446/abc.v31n1.116986" TargetMode="External"/><Relationship Id="rId4" Type="http://schemas.openxmlformats.org/officeDocument/2006/relationships/settings" Target="settings.xml"/><Relationship Id="rId9" Type="http://schemas.openxmlformats.org/officeDocument/2006/relationships/hyperlink" Target="mailto:rominaanabeldiaz91@gmail.com" TargetMode="External"/><Relationship Id="rId14" Type="http://schemas.openxmlformats.org/officeDocument/2006/relationships/hyperlink" Target="https://orcid.org/0009-0000-7270-7206"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9CCF2-0E70-4502-AE34-55D0E5AE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32782</Words>
  <Characters>180302</Characters>
  <Application>Microsoft Office Word</Application>
  <DocSecurity>0</DocSecurity>
  <Lines>1502</Lines>
  <Paragraphs>425</Paragraphs>
  <ScaleCrop>false</ScaleCrop>
  <Company/>
  <LinksUpToDate>false</LinksUpToDate>
  <CharactersWithSpaces>212659</CharactersWithSpaces>
  <SharedDoc>false</SharedDoc>
  <HLinks>
    <vt:vector size="78" baseType="variant">
      <vt:variant>
        <vt:i4>983124</vt:i4>
      </vt:variant>
      <vt:variant>
        <vt:i4>96</vt:i4>
      </vt:variant>
      <vt:variant>
        <vt:i4>0</vt:i4>
      </vt:variant>
      <vt:variant>
        <vt:i4>5</vt:i4>
      </vt:variant>
      <vt:variant>
        <vt:lpwstr>http://www.midi-inc.com/</vt:lpwstr>
      </vt:variant>
      <vt:variant>
        <vt:lpwstr/>
      </vt:variant>
      <vt:variant>
        <vt:i4>4522051</vt:i4>
      </vt:variant>
      <vt:variant>
        <vt:i4>33</vt:i4>
      </vt:variant>
      <vt:variant>
        <vt:i4>0</vt:i4>
      </vt:variant>
      <vt:variant>
        <vt:i4>5</vt:i4>
      </vt:variant>
      <vt:variant>
        <vt:lpwstr>https://doi.org/10.15446/abc.v31n1.116986</vt:lpwstr>
      </vt:variant>
      <vt:variant>
        <vt:lpwstr/>
      </vt:variant>
      <vt:variant>
        <vt:i4>5177446</vt:i4>
      </vt:variant>
      <vt:variant>
        <vt:i4>30</vt:i4>
      </vt:variant>
      <vt:variant>
        <vt:i4>0</vt:i4>
      </vt:variant>
      <vt:variant>
        <vt:i4>5</vt:i4>
      </vt:variant>
      <vt:variant>
        <vt:lpwstr>mailto:rominaanabeldiaz91@gmail.com</vt:lpwstr>
      </vt:variant>
      <vt:variant>
        <vt:lpwstr/>
      </vt:variant>
      <vt:variant>
        <vt:i4>5570578</vt:i4>
      </vt:variant>
      <vt:variant>
        <vt:i4>27</vt:i4>
      </vt:variant>
      <vt:variant>
        <vt:i4>0</vt:i4>
      </vt:variant>
      <vt:variant>
        <vt:i4>5</vt:i4>
      </vt:variant>
      <vt:variant>
        <vt:lpwstr>https://orcid.org/0000-0002-0238-2394</vt:lpwstr>
      </vt:variant>
      <vt:variant>
        <vt:lpwstr/>
      </vt:variant>
      <vt:variant>
        <vt:i4>8257581</vt:i4>
      </vt:variant>
      <vt:variant>
        <vt:i4>24</vt:i4>
      </vt:variant>
      <vt:variant>
        <vt:i4>0</vt:i4>
      </vt:variant>
      <vt:variant>
        <vt:i4>5</vt:i4>
      </vt:variant>
      <vt:variant>
        <vt:lpwstr>https://orcid.org/0000-0002-0382-3681 5</vt:lpwstr>
      </vt:variant>
      <vt:variant>
        <vt:lpwstr/>
      </vt:variant>
      <vt:variant>
        <vt:i4>5963792</vt:i4>
      </vt:variant>
      <vt:variant>
        <vt:i4>21</vt:i4>
      </vt:variant>
      <vt:variant>
        <vt:i4>0</vt:i4>
      </vt:variant>
      <vt:variant>
        <vt:i4>5</vt:i4>
      </vt:variant>
      <vt:variant>
        <vt:lpwstr>https://orcid.org/0000-0002-2686-9869</vt:lpwstr>
      </vt:variant>
      <vt:variant>
        <vt:lpwstr/>
      </vt:variant>
      <vt:variant>
        <vt:i4>6094874</vt:i4>
      </vt:variant>
      <vt:variant>
        <vt:i4>18</vt:i4>
      </vt:variant>
      <vt:variant>
        <vt:i4>0</vt:i4>
      </vt:variant>
      <vt:variant>
        <vt:i4>5</vt:i4>
      </vt:variant>
      <vt:variant>
        <vt:lpwstr>https://orcid.org/0000-0002-9834-7226</vt:lpwstr>
      </vt:variant>
      <vt:variant>
        <vt:lpwstr/>
      </vt:variant>
      <vt:variant>
        <vt:i4>5767186</vt:i4>
      </vt:variant>
      <vt:variant>
        <vt:i4>15</vt:i4>
      </vt:variant>
      <vt:variant>
        <vt:i4>0</vt:i4>
      </vt:variant>
      <vt:variant>
        <vt:i4>5</vt:i4>
      </vt:variant>
      <vt:variant>
        <vt:lpwstr>https://orcid.org/0009-0000-7270-7206</vt:lpwstr>
      </vt:variant>
      <vt:variant>
        <vt:lpwstr/>
      </vt:variant>
      <vt:variant>
        <vt:i4>6881370</vt:i4>
      </vt:variant>
      <vt:variant>
        <vt:i4>12</vt:i4>
      </vt:variant>
      <vt:variant>
        <vt:i4>0</vt:i4>
      </vt:variant>
      <vt:variant>
        <vt:i4>5</vt:i4>
      </vt:variant>
      <vt:variant>
        <vt:lpwstr>mailto:puccigraciela@gmail.com</vt:lpwstr>
      </vt:variant>
      <vt:variant>
        <vt:lpwstr/>
      </vt:variant>
      <vt:variant>
        <vt:i4>2359373</vt:i4>
      </vt:variant>
      <vt:variant>
        <vt:i4>9</vt:i4>
      </vt:variant>
      <vt:variant>
        <vt:i4>0</vt:i4>
      </vt:variant>
      <vt:variant>
        <vt:i4>5</vt:i4>
      </vt:variant>
      <vt:variant>
        <vt:lpwstr>mailto:adrianjacuna@yahoo.com.ar</vt:lpwstr>
      </vt:variant>
      <vt:variant>
        <vt:lpwstr/>
      </vt:variant>
      <vt:variant>
        <vt:i4>2949211</vt:i4>
      </vt:variant>
      <vt:variant>
        <vt:i4>6</vt:i4>
      </vt:variant>
      <vt:variant>
        <vt:i4>0</vt:i4>
      </vt:variant>
      <vt:variant>
        <vt:i4>5</vt:i4>
      </vt:variant>
      <vt:variant>
        <vt:lpwstr>mailto:jona.quiroga@gmail.com</vt:lpwstr>
      </vt:variant>
      <vt:variant>
        <vt:lpwstr/>
      </vt:variant>
      <vt:variant>
        <vt:i4>1769592</vt:i4>
      </vt:variant>
      <vt:variant>
        <vt:i4>3</vt:i4>
      </vt:variant>
      <vt:variant>
        <vt:i4>0</vt:i4>
      </vt:variant>
      <vt:variant>
        <vt:i4>5</vt:i4>
      </vt:variant>
      <vt:variant>
        <vt:lpwstr>mailto:gutierrez.me@hotmail.com</vt:lpwstr>
      </vt:variant>
      <vt:variant>
        <vt:lpwstr/>
      </vt:variant>
      <vt:variant>
        <vt:i4>5177446</vt:i4>
      </vt:variant>
      <vt:variant>
        <vt:i4>0</vt:i4>
      </vt:variant>
      <vt:variant>
        <vt:i4>0</vt:i4>
      </vt:variant>
      <vt:variant>
        <vt:i4>5</vt:i4>
      </vt:variant>
      <vt:variant>
        <vt:lpwstr>mailto:rominaanabeldiaz91@gmail.com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2026-03-26T03:08:00Z</dcterms:created>
  <dcterms:modified xsi:type="dcterms:W3CDTF">2026-03-26T03:09:00Z</dcterms:modified>
</cp:coreProperties>
</file>