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31B9" w14:textId="77777777" w:rsidR="00F15443" w:rsidRPr="00834DB8" w:rsidRDefault="00F15443" w:rsidP="006F23D2">
      <w:pPr>
        <w:pStyle w:val="Ttulo"/>
        <w:spacing w:after="240"/>
        <w:jc w:val="left"/>
        <w:rPr>
          <w:rFonts w:ascii="Ancizar Sans" w:hAnsi="Ancizar Sans"/>
          <w:b w:val="0"/>
        </w:rPr>
      </w:pPr>
    </w:p>
    <w:p w14:paraId="6C1C3E67" w14:textId="08841A19" w:rsidR="00E95296" w:rsidRPr="00E95296" w:rsidRDefault="007833ED" w:rsidP="00E95296">
      <w:pPr>
        <w:spacing w:after="160" w:line="480" w:lineRule="auto"/>
        <w:ind w:hanging="2"/>
        <w:jc w:val="center"/>
        <w:rPr>
          <w:lang w:val="en" w:eastAsia="pt-BR"/>
        </w:rPr>
      </w:pPr>
      <w:r w:rsidRPr="00E95296">
        <w:rPr>
          <w:rFonts w:cs="Calibri"/>
          <w:noProof/>
          <w:lang w:val="en"/>
        </w:rPr>
        <w:drawing>
          <wp:inline distT="0" distB="0" distL="0" distR="0" wp14:anchorId="0C5DE1B5" wp14:editId="26B9F8D0">
            <wp:extent cx="2941320" cy="960120"/>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960120"/>
                    </a:xfrm>
                    <a:prstGeom prst="rect">
                      <a:avLst/>
                    </a:prstGeom>
                    <a:noFill/>
                    <a:ln>
                      <a:noFill/>
                    </a:ln>
                  </pic:spPr>
                </pic:pic>
              </a:graphicData>
            </a:graphic>
          </wp:inline>
        </w:drawing>
      </w:r>
    </w:p>
    <w:p w14:paraId="1292D81A" w14:textId="2CF5B78A" w:rsidR="00E95296" w:rsidRPr="001D4E67" w:rsidRDefault="007833ED" w:rsidP="00E95296">
      <w:pPr>
        <w:widowControl w:val="0"/>
        <w:autoSpaceDE w:val="0"/>
        <w:autoSpaceDN w:val="0"/>
        <w:spacing w:after="160" w:line="480" w:lineRule="auto"/>
        <w:jc w:val="both"/>
        <w:rPr>
          <w:b/>
          <w:bCs/>
          <w:spacing w:val="-2"/>
          <w:lang w:val="en"/>
        </w:rPr>
      </w:pPr>
      <w:r w:rsidRPr="001D4E67">
        <w:rPr>
          <w:b/>
          <w:bCs/>
          <w:noProof/>
        </w:rPr>
        <mc:AlternateContent>
          <mc:Choice Requires="wps">
            <w:drawing>
              <wp:anchor distT="0" distB="0" distL="114299" distR="114299" simplePos="0" relativeHeight="251659776" behindDoc="0" locked="0" layoutInCell="1" allowOverlap="1" wp14:anchorId="08A8A18B" wp14:editId="0A990F89">
                <wp:simplePos x="0" y="0"/>
                <wp:positionH relativeFrom="column">
                  <wp:posOffset>-12701</wp:posOffset>
                </wp:positionH>
                <wp:positionV relativeFrom="paragraph">
                  <wp:posOffset>673100</wp:posOffset>
                </wp:positionV>
                <wp:extent cx="0" cy="12700"/>
                <wp:effectExtent l="0" t="0" r="19050" b="6350"/>
                <wp:wrapNone/>
                <wp:docPr id="471552175" name="Conector de Seta Reta 471552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4579B8"/>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4C0C20A1" id="_x0000_t32" coordsize="21600,21600" o:spt="32" o:oned="t" path="m,l21600,21600e" filled="f">
                <v:path arrowok="t" fillok="f" o:connecttype="none"/>
                <o:lock v:ext="edit" shapetype="t"/>
              </v:shapetype>
              <v:shape id="Conector de Seta Reta 471552175" o:spid="_x0000_s1026" type="#_x0000_t32" style="position:absolute;margin-left:-1pt;margin-top:53pt;width:0;height:1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" strokecolor="#4579b8">
                <o:lock v:ext="edit" shapetype="f"/>
              </v:shape>
            </w:pict>
          </mc:Fallback>
        </mc:AlternateContent>
      </w:r>
      <w:r w:rsidR="00E95296" w:rsidRPr="001D4E67">
        <w:rPr>
          <w:b/>
          <w:bCs/>
          <w:noProof/>
          <w:lang w:val="en-US"/>
        </w:rPr>
        <w:t>Research Article</w:t>
      </w:r>
    </w:p>
    <w:p w14:paraId="26791977" w14:textId="1EAF731E" w:rsidR="00E95296" w:rsidRPr="001D4E67" w:rsidRDefault="00E95296" w:rsidP="00E95296">
      <w:pPr>
        <w:widowControl w:val="0"/>
        <w:autoSpaceDE w:val="0"/>
        <w:autoSpaceDN w:val="0"/>
        <w:spacing w:after="160" w:line="480" w:lineRule="auto"/>
        <w:jc w:val="both"/>
        <w:rPr>
          <w:bCs/>
          <w:spacing w:val="-2"/>
          <w:lang w:val="en"/>
        </w:rPr>
      </w:pPr>
    </w:p>
    <w:p w14:paraId="22C960E6" w14:textId="77936E35" w:rsidR="00221C9E" w:rsidRPr="001D4E67" w:rsidRDefault="00221C9E" w:rsidP="00E95296">
      <w:pPr>
        <w:spacing w:line="480" w:lineRule="auto"/>
        <w:jc w:val="center"/>
        <w:rPr>
          <w:b/>
          <w:lang w:val="en-US"/>
        </w:rPr>
      </w:pPr>
      <w:r w:rsidRPr="001D4E67">
        <w:rPr>
          <w:b/>
          <w:lang w:val="en-US"/>
        </w:rPr>
        <w:t>Effect of the steroidal plant growth promoter SPGP4 on the microbial diversity of soils cultivated with maize and beans</w:t>
      </w:r>
    </w:p>
    <w:p w14:paraId="6DF7EA00" w14:textId="77777777" w:rsidR="00CD52AA" w:rsidRPr="001D4E67" w:rsidRDefault="00CD52AA" w:rsidP="00E95296">
      <w:pPr>
        <w:spacing w:line="480" w:lineRule="auto"/>
        <w:jc w:val="center"/>
        <w:rPr>
          <w:b/>
          <w:lang w:val="en-US"/>
        </w:rPr>
      </w:pPr>
    </w:p>
    <w:p w14:paraId="6AB9162E" w14:textId="5AD900DA" w:rsidR="00EB2D6F" w:rsidRPr="001D4E67" w:rsidRDefault="00EB2D6F" w:rsidP="00EB2D6F">
      <w:pPr>
        <w:widowControl w:val="0"/>
        <w:autoSpaceDE w:val="0"/>
        <w:autoSpaceDN w:val="0"/>
        <w:spacing w:line="480" w:lineRule="auto"/>
        <w:jc w:val="center"/>
        <w:rPr>
          <w:b/>
        </w:rPr>
      </w:pPr>
      <w:r w:rsidRPr="001D4E67">
        <w:rPr>
          <w:b/>
        </w:rPr>
        <w:t>Efecto del promotor del crecimiento vegetal esteroidal SPGP4 sobre la diversidad microbiana de suelos cultivados con maíz y frijol</w:t>
      </w:r>
    </w:p>
    <w:p w14:paraId="13CE976A" w14:textId="0A4C5B36" w:rsidR="00CD52AA" w:rsidRDefault="00CD52AA" w:rsidP="00EB2D6F">
      <w:pPr>
        <w:widowControl w:val="0"/>
        <w:autoSpaceDE w:val="0"/>
        <w:autoSpaceDN w:val="0"/>
        <w:spacing w:line="480" w:lineRule="auto"/>
        <w:jc w:val="center"/>
        <w:rPr>
          <w:b/>
        </w:rPr>
      </w:pPr>
    </w:p>
    <w:p w14:paraId="2E53D5F9" w14:textId="77777777" w:rsidR="006F23D2" w:rsidRPr="001D4E67" w:rsidRDefault="006F23D2" w:rsidP="00EB2D6F">
      <w:pPr>
        <w:widowControl w:val="0"/>
        <w:autoSpaceDE w:val="0"/>
        <w:autoSpaceDN w:val="0"/>
        <w:spacing w:line="480" w:lineRule="auto"/>
        <w:jc w:val="center"/>
        <w:rPr>
          <w:b/>
        </w:rPr>
      </w:pPr>
    </w:p>
    <w:p w14:paraId="025546C6" w14:textId="56D0EC52" w:rsidR="00380689" w:rsidRPr="00EE52CC" w:rsidRDefault="00E95296" w:rsidP="00380689">
      <w:pPr>
        <w:pStyle w:val="EstiloActa"/>
        <w:jc w:val="both"/>
      </w:pPr>
      <w:r w:rsidRPr="001D4E67">
        <w:rPr>
          <w:spacing w:val="-2"/>
        </w:rPr>
        <w:t xml:space="preserve"> </w:t>
      </w:r>
      <w:r w:rsidRPr="00EE52CC">
        <w:rPr>
          <w:spacing w:val="-2"/>
          <w:vertAlign w:val="superscript"/>
        </w:rPr>
        <w:t>1</w:t>
      </w:r>
      <w:r w:rsidR="007C7915" w:rsidRPr="00EE52CC">
        <w:rPr>
          <w:spacing w:val="-2"/>
        </w:rPr>
        <w:t>Arnoldo Wong</w:t>
      </w:r>
      <w:r w:rsidR="00CD52AA" w:rsidRPr="00EE52CC">
        <w:rPr>
          <w:spacing w:val="-2"/>
        </w:rPr>
        <w:t>-</w:t>
      </w:r>
      <w:r w:rsidR="007C7915" w:rsidRPr="00EE52CC">
        <w:rPr>
          <w:spacing w:val="-2"/>
        </w:rPr>
        <w:t>Villarreal</w:t>
      </w:r>
      <w:r w:rsidRPr="00EE52CC">
        <w:rPr>
          <w:spacing w:val="-2"/>
        </w:rPr>
        <w:t xml:space="preserve">, </w:t>
      </w:r>
      <w:r w:rsidR="005E7FCE" w:rsidRPr="00EE52CC">
        <w:rPr>
          <w:spacing w:val="-2"/>
        </w:rPr>
        <w:t xml:space="preserve">División Agroalimentaria, </w:t>
      </w:r>
      <w:r w:rsidR="007C7915" w:rsidRPr="00EE52CC">
        <w:t xml:space="preserve">Universidad Tecnológica de la Selva, </w:t>
      </w:r>
      <w:r w:rsidR="008732F4" w:rsidRPr="00EE52CC">
        <w:t>Ocosingo 29950</w:t>
      </w:r>
      <w:r w:rsidRPr="00EE52CC">
        <w:t>,</w:t>
      </w:r>
      <w:r w:rsidR="008732F4" w:rsidRPr="00EE52CC">
        <w:t xml:space="preserve"> Chiapas,</w:t>
      </w:r>
      <w:r w:rsidRPr="00EE52CC">
        <w:t xml:space="preserve"> </w:t>
      </w:r>
      <w:r w:rsidR="007C7915" w:rsidRPr="00EE52CC">
        <w:t xml:space="preserve">México, </w:t>
      </w:r>
      <w:r w:rsidR="00692A36" w:rsidRPr="00EE52CC">
        <w:rPr>
          <w:u w:val="single"/>
        </w:rPr>
        <w:t>wova79@hotmail.com</w:t>
      </w:r>
      <w:r w:rsidRPr="00EE52CC">
        <w:t xml:space="preserve">, </w:t>
      </w:r>
      <w:hyperlink r:id="rId9" w:history="1">
        <w:r w:rsidR="00380689" w:rsidRPr="00EE52CC">
          <w:rPr>
            <w:rStyle w:val="Hipervnculo"/>
            <w:color w:val="auto"/>
          </w:rPr>
          <w:t>https://orcid.org/0000-0002-4199-0632</w:t>
        </w:r>
      </w:hyperlink>
      <w:r w:rsidR="00380689" w:rsidRPr="00EE52CC">
        <w:t xml:space="preserve"> </w:t>
      </w:r>
    </w:p>
    <w:p w14:paraId="0DCFBAD4" w14:textId="4596B9D7" w:rsidR="00E95296" w:rsidRPr="00EE52CC" w:rsidRDefault="00E95296" w:rsidP="00380689">
      <w:pPr>
        <w:pStyle w:val="EstiloActa"/>
        <w:jc w:val="both"/>
      </w:pPr>
      <w:r w:rsidRPr="00EE52CC">
        <w:rPr>
          <w:vertAlign w:val="superscript"/>
        </w:rPr>
        <w:t>2</w:t>
      </w:r>
      <w:r w:rsidR="00527744" w:rsidRPr="00EE52CC">
        <w:t>Jesús Sandoval-Ramírez</w:t>
      </w:r>
      <w:r w:rsidRPr="00EE52CC">
        <w:t xml:space="preserve">, </w:t>
      </w:r>
      <w:r w:rsidR="009B32C9" w:rsidRPr="00EE52CC">
        <w:t xml:space="preserve">Facultad de Ciencias Químicas, </w:t>
      </w:r>
      <w:r w:rsidR="008732F4" w:rsidRPr="00EE52CC">
        <w:t xml:space="preserve">Benemérita </w:t>
      </w:r>
      <w:r w:rsidRPr="00EE52CC">
        <w:rPr>
          <w:position w:val="-1"/>
        </w:rPr>
        <w:t>Universidad</w:t>
      </w:r>
      <w:r w:rsidR="00527744" w:rsidRPr="00EE52CC">
        <w:rPr>
          <w:position w:val="-1"/>
        </w:rPr>
        <w:t xml:space="preserve"> Autónoma de Puebla</w:t>
      </w:r>
      <w:r w:rsidRPr="00EE52CC">
        <w:rPr>
          <w:position w:val="-1"/>
        </w:rPr>
        <w:t xml:space="preserve">, </w:t>
      </w:r>
      <w:r w:rsidR="009B32C9" w:rsidRPr="00EE52CC">
        <w:t>Ciudad Universitaria, 72570 Puebla</w:t>
      </w:r>
      <w:r w:rsidR="00014EA0" w:rsidRPr="00EE52CC">
        <w:t xml:space="preserve">, </w:t>
      </w:r>
      <w:r w:rsidR="002E32D4" w:rsidRPr="00EE52CC">
        <w:rPr>
          <w:shd w:val="clear" w:color="auto" w:fill="FFFFFF"/>
        </w:rPr>
        <w:t>Puebla</w:t>
      </w:r>
      <w:r w:rsidRPr="00EE52CC">
        <w:rPr>
          <w:position w:val="-1"/>
        </w:rPr>
        <w:t xml:space="preserve">, </w:t>
      </w:r>
      <w:r w:rsidR="001B4B27" w:rsidRPr="00EE52CC">
        <w:rPr>
          <w:position w:val="-1"/>
        </w:rPr>
        <w:t>México</w:t>
      </w:r>
      <w:r w:rsidR="00380689" w:rsidRPr="00EE52CC">
        <w:rPr>
          <w:position w:val="-1"/>
        </w:rPr>
        <w:t>,</w:t>
      </w:r>
      <w:r w:rsidR="00380689" w:rsidRPr="00EE52CC">
        <w:t xml:space="preserve"> </w:t>
      </w:r>
      <w:r w:rsidR="002E32D4" w:rsidRPr="00EE52CC">
        <w:rPr>
          <w:position w:val="-1"/>
          <w:u w:val="single"/>
        </w:rPr>
        <w:t xml:space="preserve">jesus.sandoval@correo.buap.mx, </w:t>
      </w:r>
      <w:hyperlink r:id="rId10" w:history="1">
        <w:r w:rsidR="00380689" w:rsidRPr="00EE52CC">
          <w:rPr>
            <w:rStyle w:val="Hipervnculo"/>
            <w:color w:val="auto"/>
            <w:lang w:eastAsia="pt-BR"/>
          </w:rPr>
          <w:t>https://orcid.org/0000-0001-8462-0984</w:t>
        </w:r>
      </w:hyperlink>
      <w:r w:rsidR="00380689" w:rsidRPr="00EE52CC">
        <w:rPr>
          <w:lang w:eastAsia="pt-BR"/>
        </w:rPr>
        <w:t xml:space="preserve">  </w:t>
      </w:r>
    </w:p>
    <w:p w14:paraId="2983FD3D" w14:textId="24958899" w:rsidR="009B32C9" w:rsidRPr="00EE52CC" w:rsidRDefault="00E95296" w:rsidP="00380689">
      <w:pPr>
        <w:pStyle w:val="EstiloActa"/>
        <w:jc w:val="both"/>
        <w:rPr>
          <w:lang w:val="es-CO" w:eastAsia="pt-BR"/>
        </w:rPr>
      </w:pPr>
      <w:r w:rsidRPr="00EE52CC">
        <w:rPr>
          <w:vertAlign w:val="superscript"/>
        </w:rPr>
        <w:lastRenderedPageBreak/>
        <w:t>3</w:t>
      </w:r>
      <w:r w:rsidR="00527744" w:rsidRPr="00EE52CC">
        <w:t>Alan</w:t>
      </w:r>
      <w:r w:rsidR="00CA4D9A" w:rsidRPr="00EE52CC">
        <w:t xml:space="preserve"> </w:t>
      </w:r>
      <w:r w:rsidR="00527744" w:rsidRPr="00EE52CC">
        <w:t>Carrasco-Carballo</w:t>
      </w:r>
      <w:r w:rsidRPr="00EE52CC">
        <w:t xml:space="preserve">, </w:t>
      </w:r>
      <w:r w:rsidR="009B32C9" w:rsidRPr="00EE52CC">
        <w:t xml:space="preserve">Facultad de Ciencias Químicas, Benemérita </w:t>
      </w:r>
      <w:r w:rsidR="009B32C9" w:rsidRPr="00EE52CC">
        <w:rPr>
          <w:position w:val="-1"/>
        </w:rPr>
        <w:t xml:space="preserve">Universidad Autónoma de Puebla, </w:t>
      </w:r>
      <w:r w:rsidR="009B32C9" w:rsidRPr="00EE52CC">
        <w:t xml:space="preserve">Ciudad Universitaria, 72570 Puebla, </w:t>
      </w:r>
      <w:r w:rsidR="009B32C9" w:rsidRPr="00EE52CC">
        <w:rPr>
          <w:shd w:val="clear" w:color="auto" w:fill="FFFFFF"/>
        </w:rPr>
        <w:t>Puebla</w:t>
      </w:r>
      <w:r w:rsidR="009B32C9" w:rsidRPr="00EE52CC">
        <w:rPr>
          <w:position w:val="-1"/>
        </w:rPr>
        <w:t>, México</w:t>
      </w:r>
      <w:r w:rsidRPr="00EE52CC">
        <w:rPr>
          <w:position w:val="-1"/>
        </w:rPr>
        <w:t xml:space="preserve">, </w:t>
      </w:r>
      <w:r w:rsidR="002E32D4" w:rsidRPr="00EE52CC">
        <w:rPr>
          <w:lang w:eastAsia="pt-BR"/>
        </w:rPr>
        <w:t>alan.carrascoc@correo.buap.mx,</w:t>
      </w:r>
      <w:r w:rsidR="002E32D4" w:rsidRPr="00EE52CC">
        <w:t xml:space="preserve"> </w:t>
      </w:r>
      <w:hyperlink r:id="rId11" w:history="1">
        <w:r w:rsidR="00380689" w:rsidRPr="00EE52CC">
          <w:rPr>
            <w:rStyle w:val="Hipervnculo"/>
            <w:color w:val="auto"/>
            <w:lang w:eastAsia="pt-BR"/>
          </w:rPr>
          <w:t>https://orcid.org/0000-0003-1065-4211</w:t>
        </w:r>
      </w:hyperlink>
      <w:r w:rsidR="00380689" w:rsidRPr="00EE52CC">
        <w:rPr>
          <w:lang w:eastAsia="pt-BR"/>
        </w:rPr>
        <w:t xml:space="preserve"> </w:t>
      </w:r>
    </w:p>
    <w:p w14:paraId="6E1EE7DC" w14:textId="5733BEA6" w:rsidR="002E32D4" w:rsidRPr="00EE52CC" w:rsidRDefault="00692A36" w:rsidP="00380689">
      <w:pPr>
        <w:pStyle w:val="EstiloActa"/>
        <w:jc w:val="both"/>
        <w:rPr>
          <w:lang w:eastAsia="pt-BR"/>
        </w:rPr>
      </w:pPr>
      <w:r w:rsidRPr="00EE52CC">
        <w:rPr>
          <w:vertAlign w:val="superscript"/>
        </w:rPr>
        <w:t>4</w:t>
      </w:r>
      <w:r w:rsidR="00527744" w:rsidRPr="00EE52CC">
        <w:t xml:space="preserve">Daniel Cerqueda-García, </w:t>
      </w:r>
      <w:r w:rsidR="00CA4D9A" w:rsidRPr="00EE52CC">
        <w:t>Carretera Antigua a Coatepec Nº. 351, Col. El Haya, CP. 91073, Xalapa, Veracruz, México</w:t>
      </w:r>
      <w:r w:rsidR="00527744" w:rsidRPr="00EE52CC">
        <w:rPr>
          <w:position w:val="-1"/>
        </w:rPr>
        <w:t xml:space="preserve">, </w:t>
      </w:r>
      <w:r w:rsidR="001B4B27" w:rsidRPr="00EE52CC">
        <w:rPr>
          <w:lang w:eastAsia="pt-BR"/>
        </w:rPr>
        <w:t>daniel.cerqued@inecol.mx</w:t>
      </w:r>
      <w:r w:rsidR="00527744" w:rsidRPr="00EE52CC">
        <w:t xml:space="preserve">, </w:t>
      </w:r>
      <w:hyperlink r:id="rId12" w:history="1">
        <w:r w:rsidR="00380689" w:rsidRPr="00EE52CC">
          <w:rPr>
            <w:rStyle w:val="Hipervnculo"/>
            <w:color w:val="auto"/>
          </w:rPr>
          <w:t>https://orcid.org/0000-0003-1544-5662</w:t>
        </w:r>
      </w:hyperlink>
    </w:p>
    <w:p w14:paraId="6B5DFDE2" w14:textId="342E8369" w:rsidR="002E32D4" w:rsidRPr="00EE52CC" w:rsidRDefault="00692A36" w:rsidP="00380689">
      <w:pPr>
        <w:pStyle w:val="EstiloActa"/>
        <w:jc w:val="both"/>
        <w:rPr>
          <w:lang w:eastAsia="pt-BR"/>
        </w:rPr>
      </w:pPr>
      <w:r w:rsidRPr="00EE52CC">
        <w:rPr>
          <w:vertAlign w:val="superscript"/>
        </w:rPr>
        <w:t>5</w:t>
      </w:r>
      <w:r w:rsidR="00527744" w:rsidRPr="00EE52CC">
        <w:t xml:space="preserve">Sandra Luz Cabrera-Hilerio, </w:t>
      </w:r>
      <w:r w:rsidR="00CA4D9A" w:rsidRPr="00EE52CC">
        <w:t xml:space="preserve">Facultad de Ciencias Químicas, Benemérita </w:t>
      </w:r>
      <w:r w:rsidR="00CA4D9A" w:rsidRPr="00EE52CC">
        <w:rPr>
          <w:position w:val="-1"/>
        </w:rPr>
        <w:t xml:space="preserve">Universidad Autónoma de Puebla, </w:t>
      </w:r>
      <w:r w:rsidR="00CA4D9A" w:rsidRPr="00EE52CC">
        <w:t xml:space="preserve">Ciudad Universitaria, 72570 Puebla, </w:t>
      </w:r>
      <w:r w:rsidR="00CA4D9A" w:rsidRPr="00EE52CC">
        <w:rPr>
          <w:shd w:val="clear" w:color="auto" w:fill="FFFFFF"/>
        </w:rPr>
        <w:t>Puebla</w:t>
      </w:r>
      <w:r w:rsidR="00CA4D9A" w:rsidRPr="00EE52CC">
        <w:rPr>
          <w:position w:val="-1"/>
        </w:rPr>
        <w:t>, México,</w:t>
      </w:r>
      <w:r w:rsidR="00527744" w:rsidRPr="00EE52CC">
        <w:t xml:space="preserve"> </w:t>
      </w:r>
      <w:r w:rsidR="002E32D4" w:rsidRPr="00EE52CC">
        <w:rPr>
          <w:lang w:eastAsia="pt-BR"/>
        </w:rPr>
        <w:t>sandra.cabrera@correo.buap.mx</w:t>
      </w:r>
      <w:r w:rsidR="00527744" w:rsidRPr="00EE52CC">
        <w:t xml:space="preserve">, </w:t>
      </w:r>
      <w:hyperlink r:id="rId13" w:history="1">
        <w:r w:rsidR="00380689" w:rsidRPr="00EE52CC">
          <w:rPr>
            <w:rStyle w:val="Hipervnculo"/>
            <w:color w:val="auto"/>
            <w:lang w:eastAsia="pt-BR"/>
          </w:rPr>
          <w:t>https://orcid.org/0000-0003-1441-9411</w:t>
        </w:r>
      </w:hyperlink>
      <w:r w:rsidR="00380689" w:rsidRPr="00EE52CC">
        <w:rPr>
          <w:lang w:eastAsia="pt-BR"/>
        </w:rPr>
        <w:t xml:space="preserve"> </w:t>
      </w:r>
      <w:r w:rsidR="002E32D4" w:rsidRPr="00EE52CC">
        <w:rPr>
          <w:lang w:eastAsia="pt-BR"/>
        </w:rPr>
        <w:t xml:space="preserve"> </w:t>
      </w:r>
    </w:p>
    <w:p w14:paraId="7C37B98B" w14:textId="393A0981" w:rsidR="00E40C75" w:rsidRPr="00EE52CC" w:rsidRDefault="00692A36" w:rsidP="00380689">
      <w:pPr>
        <w:pStyle w:val="EstiloActa"/>
        <w:jc w:val="both"/>
        <w:rPr>
          <w:lang w:eastAsia="pt-BR"/>
        </w:rPr>
      </w:pPr>
      <w:r w:rsidRPr="00EE52CC">
        <w:rPr>
          <w:vertAlign w:val="superscript"/>
        </w:rPr>
        <w:t>6</w:t>
      </w:r>
      <w:r w:rsidR="00527744" w:rsidRPr="00EE52CC">
        <w:t>Judith</w:t>
      </w:r>
      <w:r w:rsidR="00A946E0" w:rsidRPr="00EE52CC">
        <w:t xml:space="preserve"> </w:t>
      </w:r>
      <w:r w:rsidR="00527744" w:rsidRPr="00EE52CC">
        <w:t xml:space="preserve">Castellanos-Moguel, </w:t>
      </w:r>
      <w:r w:rsidR="00810F0F" w:rsidRPr="00EE52CC">
        <w:rPr>
          <w:lang w:eastAsia="pt-BR"/>
        </w:rPr>
        <w:t>Universidad Autónoma Metropolitana (UAM) Unidad Xochimilco, Calzada del Hueso 1100, Col. Villa Quietud, C.P. 04950, Coyoacán, Ciudad de México</w:t>
      </w:r>
      <w:r w:rsidR="00527744" w:rsidRPr="00EE52CC">
        <w:rPr>
          <w:position w:val="-1"/>
        </w:rPr>
        <w:t>,</w:t>
      </w:r>
      <w:r w:rsidR="00810F0F" w:rsidRPr="00EE52CC">
        <w:rPr>
          <w:position w:val="-1"/>
        </w:rPr>
        <w:t xml:space="preserve"> México</w:t>
      </w:r>
      <w:r w:rsidR="00527744" w:rsidRPr="00EE52CC">
        <w:rPr>
          <w:position w:val="-1"/>
        </w:rPr>
        <w:t xml:space="preserve"> </w:t>
      </w:r>
      <w:r w:rsidR="00E40C75" w:rsidRPr="00EE52CC">
        <w:rPr>
          <w:u w:val="single"/>
        </w:rPr>
        <w:t xml:space="preserve">mjmoguel@correo.xoc.uam.mx, </w:t>
      </w:r>
      <w:hyperlink r:id="rId14" w:history="1">
        <w:r w:rsidR="00380689" w:rsidRPr="00EE52CC">
          <w:rPr>
            <w:rStyle w:val="Hipervnculo"/>
            <w:color w:val="auto"/>
            <w:lang w:eastAsia="pt-BR"/>
          </w:rPr>
          <w:t>https://orcid.org/0000-0003-1449-4139</w:t>
        </w:r>
      </w:hyperlink>
      <w:r w:rsidR="00380689" w:rsidRPr="00EE52CC">
        <w:rPr>
          <w:lang w:eastAsia="pt-BR"/>
        </w:rPr>
        <w:t xml:space="preserve"> </w:t>
      </w:r>
      <w:r w:rsidR="00E40C75" w:rsidRPr="00EE52CC">
        <w:rPr>
          <w:lang w:eastAsia="pt-BR"/>
        </w:rPr>
        <w:t xml:space="preserve"> </w:t>
      </w:r>
    </w:p>
    <w:p w14:paraId="3280E03D" w14:textId="223DEFD9" w:rsidR="00F076B8" w:rsidRPr="00EE52CC" w:rsidRDefault="00692A36" w:rsidP="00380689">
      <w:pPr>
        <w:pStyle w:val="EstiloActa"/>
        <w:jc w:val="both"/>
        <w:rPr>
          <w:lang w:eastAsia="pt-BR"/>
        </w:rPr>
      </w:pPr>
      <w:r w:rsidRPr="00EE52CC">
        <w:rPr>
          <w:vertAlign w:val="superscript"/>
        </w:rPr>
        <w:t>7</w:t>
      </w:r>
      <w:r w:rsidR="00527744" w:rsidRPr="00EE52CC">
        <w:t>Mariana</w:t>
      </w:r>
      <w:r w:rsidR="00F076B8" w:rsidRPr="00EE52CC">
        <w:t xml:space="preserve"> </w:t>
      </w:r>
      <w:r w:rsidR="00527744" w:rsidRPr="00EE52CC">
        <w:t xml:space="preserve">Miranda-Arambula, </w:t>
      </w:r>
      <w:r w:rsidR="00BB0744" w:rsidRPr="00EE52CC">
        <w:t xml:space="preserve">Instituto </w:t>
      </w:r>
      <w:r w:rsidR="00527744" w:rsidRPr="00EE52CC">
        <w:t xml:space="preserve">Politécnico Nacional, </w:t>
      </w:r>
      <w:r w:rsidR="00F076B8" w:rsidRPr="00EE52CC">
        <w:rPr>
          <w:shd w:val="clear" w:color="auto" w:fill="FFFFFF"/>
        </w:rPr>
        <w:t xml:space="preserve">Centro de Investigación en Biotecnología Aplicada (CIBA, IPN), </w:t>
      </w:r>
      <w:r w:rsidR="00810F0F" w:rsidRPr="00EE52CC">
        <w:rPr>
          <w:lang w:eastAsia="pt-BR"/>
        </w:rPr>
        <w:t>Calle Ex-Hacienda de San Juan Molino, Km. 1.5, Tepetitla</w:t>
      </w:r>
      <w:r w:rsidR="00014EA0" w:rsidRPr="00EE52CC">
        <w:t xml:space="preserve">, </w:t>
      </w:r>
      <w:r w:rsidR="00F076B8" w:rsidRPr="00EE52CC">
        <w:rPr>
          <w:shd w:val="clear" w:color="auto" w:fill="FFFFFF"/>
        </w:rPr>
        <w:t>Tlaxcala</w:t>
      </w:r>
      <w:r w:rsidR="00527744" w:rsidRPr="00EE52CC">
        <w:rPr>
          <w:position w:val="-1"/>
        </w:rPr>
        <w:t xml:space="preserve">, </w:t>
      </w:r>
      <w:r w:rsidR="001B4B27" w:rsidRPr="00EE52CC">
        <w:rPr>
          <w:position w:val="-1"/>
        </w:rPr>
        <w:t>México</w:t>
      </w:r>
      <w:r w:rsidR="00527744" w:rsidRPr="00EE52CC">
        <w:rPr>
          <w:position w:val="-1"/>
        </w:rPr>
        <w:t xml:space="preserve">, </w:t>
      </w:r>
      <w:r w:rsidR="001B4B27" w:rsidRPr="00EE52CC">
        <w:t>mmiran@ipn.mx</w:t>
      </w:r>
      <w:r w:rsidR="00527744" w:rsidRPr="00EE52CC">
        <w:t xml:space="preserve">, </w:t>
      </w:r>
      <w:hyperlink r:id="rId15" w:history="1">
        <w:r w:rsidR="00380689" w:rsidRPr="00EE52CC">
          <w:rPr>
            <w:rStyle w:val="Hipervnculo"/>
            <w:color w:val="auto"/>
            <w:lang w:eastAsia="pt-BR"/>
          </w:rPr>
          <w:t>https://orcid.org/0000-0003-1760-775X</w:t>
        </w:r>
      </w:hyperlink>
      <w:r w:rsidR="00380689" w:rsidRPr="00EE52CC">
        <w:rPr>
          <w:lang w:eastAsia="pt-BR"/>
        </w:rPr>
        <w:t xml:space="preserve"> </w:t>
      </w:r>
      <w:r w:rsidR="00F076B8" w:rsidRPr="00EE52CC">
        <w:rPr>
          <w:lang w:eastAsia="pt-BR"/>
        </w:rPr>
        <w:t xml:space="preserve"> </w:t>
      </w:r>
    </w:p>
    <w:p w14:paraId="27886009" w14:textId="5FCED4A3" w:rsidR="00527744" w:rsidRPr="00EE52CC" w:rsidRDefault="00692A36" w:rsidP="00380689">
      <w:pPr>
        <w:pStyle w:val="EstiloActa"/>
        <w:jc w:val="both"/>
        <w:rPr>
          <w:lang w:eastAsia="pt-BR"/>
        </w:rPr>
      </w:pPr>
      <w:r w:rsidRPr="00EE52CC">
        <w:rPr>
          <w:vertAlign w:val="superscript"/>
        </w:rPr>
        <w:t>8</w:t>
      </w:r>
      <w:r w:rsidR="00527744" w:rsidRPr="00EE52CC">
        <w:t xml:space="preserve">Saúl Espinosa-Zaragoza, </w:t>
      </w:r>
      <w:r w:rsidR="00810F0F" w:rsidRPr="00EE52CC">
        <w:t xml:space="preserve">Facultad de Ciencias Agrícolas, </w:t>
      </w:r>
      <w:r w:rsidR="00527744" w:rsidRPr="00EE52CC">
        <w:t>Universidad Autónoma de Chiapas,</w:t>
      </w:r>
      <w:r w:rsidR="006F23D2" w:rsidRPr="00EE52CC">
        <w:t xml:space="preserve"> </w:t>
      </w:r>
      <w:r w:rsidR="00717540" w:rsidRPr="00EE52CC">
        <w:t>Entronque Carretera Costera y Pueblo de Huehuetán, Chiapas</w:t>
      </w:r>
      <w:r w:rsidR="00014EA0" w:rsidRPr="00EE52CC">
        <w:t>,</w:t>
      </w:r>
      <w:r w:rsidR="00527744" w:rsidRPr="00EE52CC">
        <w:rPr>
          <w:position w:val="-1"/>
        </w:rPr>
        <w:t xml:space="preserve"> </w:t>
      </w:r>
      <w:r w:rsidR="001B4B27" w:rsidRPr="00EE52CC">
        <w:rPr>
          <w:position w:val="-1"/>
        </w:rPr>
        <w:t>México</w:t>
      </w:r>
      <w:r w:rsidR="00527744" w:rsidRPr="00EE52CC">
        <w:rPr>
          <w:position w:val="-1"/>
        </w:rPr>
        <w:t xml:space="preserve">, </w:t>
      </w:r>
      <w:hyperlink r:id="rId16" w:history="1">
        <w:r w:rsidR="00380689" w:rsidRPr="00EE52CC">
          <w:rPr>
            <w:rStyle w:val="Hipervnculo"/>
            <w:color w:val="auto"/>
            <w:lang w:eastAsia="pt-BR"/>
          </w:rPr>
          <w:t>saul.espinosa@unach.mx</w:t>
        </w:r>
      </w:hyperlink>
      <w:r w:rsidR="00F076B8" w:rsidRPr="00EE52CC">
        <w:rPr>
          <w:lang w:eastAsia="pt-BR"/>
        </w:rPr>
        <w:t xml:space="preserve">,  </w:t>
      </w:r>
      <w:hyperlink r:id="rId17" w:history="1">
        <w:r w:rsidR="00380689" w:rsidRPr="00EE52CC">
          <w:rPr>
            <w:rStyle w:val="Hipervnculo"/>
            <w:color w:val="auto"/>
            <w:lang w:eastAsia="pt-BR"/>
          </w:rPr>
          <w:t>https://orcid.org/0000-0001-7683-7382</w:t>
        </w:r>
      </w:hyperlink>
      <w:r w:rsidR="00380689" w:rsidRPr="00EE52CC">
        <w:rPr>
          <w:lang w:eastAsia="pt-BR"/>
        </w:rPr>
        <w:t xml:space="preserve"> </w:t>
      </w:r>
    </w:p>
    <w:p w14:paraId="624EFB65" w14:textId="698856CD" w:rsidR="00527744" w:rsidRPr="00EE52CC" w:rsidRDefault="00692A36" w:rsidP="00380689">
      <w:pPr>
        <w:pStyle w:val="EstiloActa"/>
        <w:jc w:val="both"/>
        <w:rPr>
          <w:lang w:eastAsia="pt-BR"/>
        </w:rPr>
      </w:pPr>
      <w:r w:rsidRPr="00EE52CC">
        <w:rPr>
          <w:vertAlign w:val="superscript"/>
        </w:rPr>
        <w:t>9</w:t>
      </w:r>
      <w:r w:rsidR="00527744" w:rsidRPr="00EE52CC">
        <w:t xml:space="preserve">Javier Aguilar-Fuentes, </w:t>
      </w:r>
      <w:r w:rsidR="00717540" w:rsidRPr="00EE52CC">
        <w:t>Facultad de Ciencias Agrícolas, Universidad Autónoma de Chiapas, Entronque</w:t>
      </w:r>
      <w:r w:rsidR="005E7FCE" w:rsidRPr="00EE52CC">
        <w:t xml:space="preserve"> </w:t>
      </w:r>
      <w:r w:rsidR="00717540" w:rsidRPr="00EE52CC">
        <w:t>Carretera Costera y Pueblo de Huehuetán, Chiapas,</w:t>
      </w:r>
      <w:r w:rsidR="00717540" w:rsidRPr="00EE52CC">
        <w:rPr>
          <w:position w:val="-1"/>
        </w:rPr>
        <w:t xml:space="preserve"> México</w:t>
      </w:r>
      <w:r w:rsidR="00527744" w:rsidRPr="00EE52CC">
        <w:rPr>
          <w:position w:val="-1"/>
        </w:rPr>
        <w:t>,</w:t>
      </w:r>
      <w:r w:rsidR="00527744" w:rsidRPr="00EE52CC">
        <w:t xml:space="preserve"> </w:t>
      </w:r>
      <w:r w:rsidR="00F076B8" w:rsidRPr="00EE52CC">
        <w:t>javier.fuentes@unach.mx</w:t>
      </w:r>
      <w:r w:rsidR="00527744" w:rsidRPr="00EE52CC">
        <w:t xml:space="preserve">, </w:t>
      </w:r>
      <w:hyperlink r:id="rId18" w:history="1">
        <w:r w:rsidR="00380689" w:rsidRPr="00EE52CC">
          <w:rPr>
            <w:rStyle w:val="Hipervnculo"/>
            <w:color w:val="auto"/>
            <w:lang w:eastAsia="pt-BR"/>
          </w:rPr>
          <w:t>https://orcid.org/0000-0001-7847-2970</w:t>
        </w:r>
      </w:hyperlink>
      <w:r w:rsidR="00380689" w:rsidRPr="00EE52CC">
        <w:rPr>
          <w:lang w:eastAsia="pt-BR"/>
        </w:rPr>
        <w:t xml:space="preserve"> </w:t>
      </w:r>
    </w:p>
    <w:p w14:paraId="0B0F47DB" w14:textId="77777777" w:rsidR="00E95296" w:rsidRPr="00EE52CC" w:rsidRDefault="00E95296" w:rsidP="00E95296">
      <w:pPr>
        <w:widowControl w:val="0"/>
        <w:autoSpaceDE w:val="0"/>
        <w:autoSpaceDN w:val="0"/>
        <w:spacing w:line="480" w:lineRule="auto"/>
        <w:ind w:left="259"/>
        <w:jc w:val="both"/>
        <w:rPr>
          <w:b/>
          <w:i/>
          <w:lang w:val="en-US"/>
        </w:rPr>
      </w:pPr>
      <w:r w:rsidRPr="00EE52CC">
        <w:rPr>
          <w:lang w:val="en-US"/>
        </w:rPr>
        <w:t>*</w:t>
      </w:r>
      <w:r w:rsidRPr="00EE52CC">
        <w:rPr>
          <w:spacing w:val="-3"/>
          <w:lang w:val="en-US"/>
        </w:rPr>
        <w:t xml:space="preserve"> </w:t>
      </w:r>
      <w:r w:rsidRPr="00EE52CC">
        <w:rPr>
          <w:b/>
          <w:i/>
          <w:lang w:val="en-US"/>
        </w:rPr>
        <w:t>For correspondence:</w:t>
      </w:r>
      <w:r w:rsidRPr="00EE52CC">
        <w:rPr>
          <w:b/>
          <w:i/>
          <w:spacing w:val="-2"/>
          <w:lang w:val="en"/>
        </w:rPr>
        <w:t xml:space="preserve"> </w:t>
      </w:r>
      <w:r w:rsidR="007C7915" w:rsidRPr="00EE52CC">
        <w:rPr>
          <w:b/>
          <w:i/>
          <w:spacing w:val="-2"/>
          <w:lang w:val="en"/>
        </w:rPr>
        <w:t>wova79@hotmail.com</w:t>
      </w:r>
    </w:p>
    <w:p w14:paraId="64446131" w14:textId="77777777" w:rsidR="00E95296" w:rsidRPr="00EE52CC" w:rsidRDefault="00E95296" w:rsidP="00E95296">
      <w:pPr>
        <w:widowControl w:val="0"/>
        <w:autoSpaceDE w:val="0"/>
        <w:autoSpaceDN w:val="0"/>
        <w:spacing w:line="480" w:lineRule="auto"/>
        <w:ind w:left="259"/>
        <w:jc w:val="both"/>
        <w:rPr>
          <w:b/>
          <w:i/>
          <w:lang w:val="en-US"/>
        </w:rPr>
      </w:pPr>
    </w:p>
    <w:p w14:paraId="2E517D54" w14:textId="0DAF4C82" w:rsidR="00E95296" w:rsidRPr="00EE52CC" w:rsidRDefault="00E95296" w:rsidP="00E95296">
      <w:pPr>
        <w:widowControl w:val="0"/>
        <w:autoSpaceDE w:val="0"/>
        <w:autoSpaceDN w:val="0"/>
        <w:spacing w:line="480" w:lineRule="auto"/>
        <w:ind w:left="3" w:right="3"/>
        <w:jc w:val="center"/>
        <w:rPr>
          <w:lang w:val="en-US"/>
        </w:rPr>
      </w:pPr>
      <w:r w:rsidRPr="00EE52CC">
        <w:rPr>
          <w:b/>
          <w:position w:val="1"/>
          <w:lang w:val="en-US"/>
        </w:rPr>
        <w:t>Received</w:t>
      </w:r>
      <w:r w:rsidRPr="00EE52CC">
        <w:rPr>
          <w:position w:val="1"/>
          <w:lang w:val="en-US"/>
        </w:rPr>
        <w:t>:</w:t>
      </w:r>
      <w:r w:rsidRPr="00EE52CC">
        <w:rPr>
          <w:spacing w:val="-5"/>
          <w:position w:val="1"/>
          <w:lang w:val="en-US"/>
        </w:rPr>
        <w:t xml:space="preserve"> </w:t>
      </w:r>
      <w:r w:rsidRPr="00EE52CC">
        <w:rPr>
          <w:lang w:val="en-US"/>
        </w:rPr>
        <w:t>0</w:t>
      </w:r>
      <w:r w:rsidR="00692A36" w:rsidRPr="00EE52CC">
        <w:rPr>
          <w:lang w:val="en-US"/>
        </w:rPr>
        <w:t>9</w:t>
      </w:r>
      <w:r w:rsidR="00692A36" w:rsidRPr="00EE52CC">
        <w:rPr>
          <w:vertAlign w:val="superscript"/>
          <w:lang w:val="en-US"/>
        </w:rPr>
        <w:t>th</w:t>
      </w:r>
      <w:r w:rsidRPr="00EE52CC">
        <w:rPr>
          <w:lang w:val="en-US"/>
        </w:rPr>
        <w:t xml:space="preserve"> </w:t>
      </w:r>
      <w:r w:rsidR="007833ED" w:rsidRPr="00EE52CC">
        <w:rPr>
          <w:lang w:val="en-US"/>
        </w:rPr>
        <w:t>J</w:t>
      </w:r>
      <w:r w:rsidR="00692A36" w:rsidRPr="00EE52CC">
        <w:rPr>
          <w:lang w:val="en-US"/>
        </w:rPr>
        <w:t>anuary</w:t>
      </w:r>
      <w:r w:rsidRPr="00EE52CC">
        <w:rPr>
          <w:lang w:val="en-US"/>
        </w:rPr>
        <w:t xml:space="preserve"> 202</w:t>
      </w:r>
      <w:r w:rsidR="00692A36" w:rsidRPr="00EE52CC">
        <w:rPr>
          <w:lang w:val="en-US"/>
        </w:rPr>
        <w:t>5</w:t>
      </w:r>
      <w:r w:rsidRPr="00EE52CC">
        <w:rPr>
          <w:position w:val="1"/>
          <w:lang w:val="en-US"/>
        </w:rPr>
        <w:t>.</w:t>
      </w:r>
      <w:r w:rsidRPr="00EE52CC">
        <w:rPr>
          <w:spacing w:val="-3"/>
          <w:position w:val="1"/>
          <w:lang w:val="en-US"/>
        </w:rPr>
        <w:t xml:space="preserve"> </w:t>
      </w:r>
      <w:r w:rsidRPr="00EE52CC">
        <w:rPr>
          <w:b/>
          <w:position w:val="1"/>
          <w:lang w:val="en-US"/>
        </w:rPr>
        <w:t>Revised</w:t>
      </w:r>
      <w:r w:rsidRPr="00EE52CC">
        <w:rPr>
          <w:position w:val="1"/>
          <w:lang w:val="en-US"/>
        </w:rPr>
        <w:t>:</w:t>
      </w:r>
      <w:r w:rsidRPr="00EE52CC">
        <w:rPr>
          <w:spacing w:val="-2"/>
          <w:position w:val="1"/>
          <w:lang w:val="en-US"/>
        </w:rPr>
        <w:t xml:space="preserve"> </w:t>
      </w:r>
      <w:r w:rsidR="00692A36" w:rsidRPr="00EE52CC">
        <w:rPr>
          <w:spacing w:val="-2"/>
          <w:position w:val="1"/>
          <w:lang w:val="en-US"/>
        </w:rPr>
        <w:t>30</w:t>
      </w:r>
      <w:r w:rsidR="00692A36" w:rsidRPr="00EE52CC">
        <w:rPr>
          <w:spacing w:val="-2"/>
          <w:position w:val="1"/>
          <w:vertAlign w:val="superscript"/>
          <w:lang w:val="en-US"/>
        </w:rPr>
        <w:t>th</w:t>
      </w:r>
      <w:r w:rsidR="00692A36" w:rsidRPr="00EE52CC">
        <w:rPr>
          <w:spacing w:val="-2"/>
          <w:position w:val="1"/>
          <w:lang w:val="en-US"/>
        </w:rPr>
        <w:t xml:space="preserve"> </w:t>
      </w:r>
      <w:r w:rsidR="007833ED" w:rsidRPr="00EE52CC">
        <w:rPr>
          <w:spacing w:val="-2"/>
          <w:position w:val="1"/>
          <w:lang w:val="en-US"/>
        </w:rPr>
        <w:t>O</w:t>
      </w:r>
      <w:r w:rsidR="00692A36" w:rsidRPr="00EE52CC">
        <w:rPr>
          <w:spacing w:val="-2"/>
          <w:position w:val="1"/>
          <w:lang w:val="en-US"/>
        </w:rPr>
        <w:t>ctober</w:t>
      </w:r>
      <w:r w:rsidRPr="00EE52CC">
        <w:rPr>
          <w:spacing w:val="-2"/>
          <w:position w:val="1"/>
          <w:lang w:val="en-US"/>
        </w:rPr>
        <w:t xml:space="preserve"> 2025</w:t>
      </w:r>
      <w:r w:rsidRPr="00EE52CC">
        <w:rPr>
          <w:position w:val="1"/>
          <w:lang w:val="en-US"/>
        </w:rPr>
        <w:t>.</w:t>
      </w:r>
      <w:r w:rsidRPr="00EE52CC">
        <w:rPr>
          <w:spacing w:val="-3"/>
          <w:position w:val="1"/>
          <w:lang w:val="en-US"/>
        </w:rPr>
        <w:t xml:space="preserve"> </w:t>
      </w:r>
      <w:r w:rsidRPr="00EE52CC">
        <w:rPr>
          <w:b/>
          <w:position w:val="1"/>
          <w:lang w:val="en-US"/>
        </w:rPr>
        <w:t>Accepted</w:t>
      </w:r>
      <w:r w:rsidRPr="00EE52CC">
        <w:rPr>
          <w:position w:val="1"/>
          <w:lang w:val="en-US"/>
        </w:rPr>
        <w:t>:</w:t>
      </w:r>
      <w:r w:rsidRPr="00EE52CC">
        <w:rPr>
          <w:lang w:val="en-US"/>
        </w:rPr>
        <w:t xml:space="preserve"> </w:t>
      </w:r>
      <w:r w:rsidR="00692A36" w:rsidRPr="00EE52CC">
        <w:rPr>
          <w:lang w:val="en-US"/>
        </w:rPr>
        <w:t>10</w:t>
      </w:r>
      <w:r w:rsidR="00692A36" w:rsidRPr="00EE52CC">
        <w:rPr>
          <w:vertAlign w:val="superscript"/>
          <w:lang w:val="en-US"/>
        </w:rPr>
        <w:t>th</w:t>
      </w:r>
      <w:r w:rsidRPr="00EE52CC">
        <w:rPr>
          <w:vertAlign w:val="superscript"/>
          <w:lang w:val="en-US"/>
        </w:rPr>
        <w:t xml:space="preserve"> </w:t>
      </w:r>
      <w:r w:rsidR="007833ED" w:rsidRPr="00EE52CC">
        <w:rPr>
          <w:lang w:val="en-US"/>
        </w:rPr>
        <w:t>N</w:t>
      </w:r>
      <w:r w:rsidR="00692A36" w:rsidRPr="00EE52CC">
        <w:rPr>
          <w:lang w:val="en-US"/>
        </w:rPr>
        <w:t>ovembe</w:t>
      </w:r>
      <w:r w:rsidRPr="00EE52CC">
        <w:rPr>
          <w:lang w:val="en-US"/>
        </w:rPr>
        <w:t>r 2025</w:t>
      </w:r>
    </w:p>
    <w:p w14:paraId="0741C1E8" w14:textId="0C1A5B59" w:rsidR="00E95296" w:rsidRPr="00EE52CC" w:rsidRDefault="00E95296" w:rsidP="00E95296">
      <w:pPr>
        <w:widowControl w:val="0"/>
        <w:autoSpaceDE w:val="0"/>
        <w:autoSpaceDN w:val="0"/>
        <w:spacing w:before="1" w:line="480" w:lineRule="auto"/>
        <w:ind w:left="3" w:right="4"/>
        <w:jc w:val="center"/>
      </w:pPr>
      <w:r w:rsidRPr="00EE52CC">
        <w:rPr>
          <w:b/>
        </w:rPr>
        <w:t>Editor</w:t>
      </w:r>
      <w:r w:rsidRPr="00EE52CC">
        <w:t>:</w:t>
      </w:r>
      <w:r w:rsidRPr="00EE52CC">
        <w:rPr>
          <w:spacing w:val="-1"/>
        </w:rPr>
        <w:t xml:space="preserve"> </w:t>
      </w:r>
      <w:r w:rsidR="00CD52AA" w:rsidRPr="00EE52CC">
        <w:t>Angélica Plata Rueda</w:t>
      </w:r>
    </w:p>
    <w:p w14:paraId="00B89237" w14:textId="77777777" w:rsidR="00E95296" w:rsidRPr="001D4E67" w:rsidRDefault="00E95296" w:rsidP="00E95296">
      <w:pPr>
        <w:widowControl w:val="0"/>
        <w:autoSpaceDE w:val="0"/>
        <w:autoSpaceDN w:val="0"/>
        <w:spacing w:before="1" w:line="480" w:lineRule="auto"/>
        <w:ind w:left="259" w:right="258" w:hanging="6"/>
        <w:jc w:val="both"/>
        <w:rPr>
          <w:b/>
        </w:rPr>
      </w:pPr>
    </w:p>
    <w:p w14:paraId="43CDEC8C" w14:textId="3C41162C" w:rsidR="00E95296" w:rsidRPr="00380689" w:rsidRDefault="00E95296" w:rsidP="00380689">
      <w:pPr>
        <w:pStyle w:val="EstiloActa"/>
        <w:jc w:val="both"/>
        <w:rPr>
          <w:bCs/>
        </w:rPr>
      </w:pPr>
      <w:r w:rsidRPr="001D4E67">
        <w:t>Citation/ citar este</w:t>
      </w:r>
      <w:r w:rsidRPr="001D4E67">
        <w:rPr>
          <w:spacing w:val="-2"/>
        </w:rPr>
        <w:t xml:space="preserve"> </w:t>
      </w:r>
      <w:r w:rsidRPr="001D4E67">
        <w:t>artículo como:</w:t>
      </w:r>
      <w:r w:rsidR="004D4A63" w:rsidRPr="001D4E67">
        <w:t xml:space="preserve"> Wong-Villarreal, A., Sandoval-Ramírez, J., Carrasco-Carballo, A., Cerqueda-García, D., Cabrera-Hilerio, S.L., Castellanos-Moguel, J., Miranda-Arambula, M., Saúl Espinosa-Zaragoza, S. and Aguilar-Fuentes, J.</w:t>
      </w:r>
      <w:r w:rsidR="00CD52AA" w:rsidRPr="001D4E67">
        <w:rPr>
          <w:b/>
        </w:rPr>
        <w:t xml:space="preserve"> </w:t>
      </w:r>
      <w:r w:rsidRPr="00380689">
        <w:rPr>
          <w:bCs/>
        </w:rPr>
        <w:t>(202</w:t>
      </w:r>
      <w:r w:rsidR="00601731">
        <w:rPr>
          <w:bCs/>
        </w:rPr>
        <w:t>6</w:t>
      </w:r>
      <w:r w:rsidRPr="00380689">
        <w:rPr>
          <w:bCs/>
        </w:rPr>
        <w:t xml:space="preserve">). </w:t>
      </w:r>
      <w:r w:rsidRPr="00380689">
        <w:rPr>
          <w:bCs/>
          <w:i/>
          <w:lang w:eastAsia="pt-BR"/>
        </w:rPr>
        <w:t xml:space="preserve"> </w:t>
      </w:r>
      <w:r w:rsidR="00EB2D6F" w:rsidRPr="00FB5C0E">
        <w:rPr>
          <w:bCs/>
          <w:lang w:val="en-US"/>
        </w:rPr>
        <w:t>Effect of the steroidal plant growth promoter SPGP4 on the microbial diversity of soils cultivated with maize and beans</w:t>
      </w:r>
      <w:r w:rsidRPr="00FB5C0E">
        <w:rPr>
          <w:bCs/>
          <w:lang w:val="en-US"/>
        </w:rPr>
        <w:t xml:space="preserve">. </w:t>
      </w:r>
      <w:r w:rsidRPr="00380689">
        <w:rPr>
          <w:bCs/>
          <w:i/>
        </w:rPr>
        <w:t>Acta</w:t>
      </w:r>
      <w:r w:rsidRPr="00380689">
        <w:rPr>
          <w:bCs/>
          <w:i/>
          <w:spacing w:val="74"/>
          <w:w w:val="150"/>
        </w:rPr>
        <w:t xml:space="preserve"> </w:t>
      </w:r>
      <w:r w:rsidRPr="00380689">
        <w:rPr>
          <w:bCs/>
          <w:i/>
        </w:rPr>
        <w:t>Biol</w:t>
      </w:r>
      <w:r w:rsidRPr="00380689">
        <w:rPr>
          <w:bCs/>
          <w:iCs/>
        </w:rPr>
        <w:t>.</w:t>
      </w:r>
      <w:r w:rsidRPr="00380689">
        <w:rPr>
          <w:bCs/>
          <w:i/>
          <w:spacing w:val="73"/>
          <w:w w:val="150"/>
        </w:rPr>
        <w:t xml:space="preserve"> </w:t>
      </w:r>
      <w:r w:rsidRPr="00380689">
        <w:rPr>
          <w:bCs/>
          <w:i/>
        </w:rPr>
        <w:t>Colomb.</w:t>
      </w:r>
      <w:r w:rsidR="007833ED" w:rsidRPr="00380689">
        <w:rPr>
          <w:bCs/>
          <w:i/>
        </w:rPr>
        <w:t>,</w:t>
      </w:r>
      <w:r w:rsidRPr="00380689">
        <w:rPr>
          <w:bCs/>
          <w:spacing w:val="71"/>
          <w:w w:val="150"/>
        </w:rPr>
        <w:t xml:space="preserve"> </w:t>
      </w:r>
      <w:r w:rsidRPr="00380689">
        <w:rPr>
          <w:bCs/>
          <w:i/>
        </w:rPr>
        <w:t>3</w:t>
      </w:r>
      <w:r w:rsidR="00692A36" w:rsidRPr="00380689">
        <w:rPr>
          <w:bCs/>
          <w:i/>
        </w:rPr>
        <w:t>1</w:t>
      </w:r>
      <w:r w:rsidRPr="00380689">
        <w:rPr>
          <w:bCs/>
        </w:rPr>
        <w:t>(</w:t>
      </w:r>
      <w:r w:rsidR="00692A36" w:rsidRPr="00380689">
        <w:rPr>
          <w:bCs/>
        </w:rPr>
        <w:t>1</w:t>
      </w:r>
      <w:r w:rsidRPr="00380689">
        <w:rPr>
          <w:bCs/>
        </w:rPr>
        <w:t>),</w:t>
      </w:r>
      <w:r w:rsidRPr="00380689">
        <w:rPr>
          <w:bCs/>
          <w:spacing w:val="74"/>
          <w:w w:val="150"/>
        </w:rPr>
        <w:t xml:space="preserve"> </w:t>
      </w:r>
      <w:r w:rsidRPr="00380689">
        <w:rPr>
          <w:bCs/>
        </w:rPr>
        <w:t>XX-</w:t>
      </w:r>
      <w:r w:rsidRPr="00380689">
        <w:rPr>
          <w:bCs/>
          <w:spacing w:val="-5"/>
        </w:rPr>
        <w:t xml:space="preserve">XX </w:t>
      </w:r>
      <w:r w:rsidRPr="00380689">
        <w:rPr>
          <w:bCs/>
          <w:spacing w:val="-2"/>
          <w:u w:val="single"/>
        </w:rPr>
        <w:t>https://doi.org/10.15446/abc.v3</w:t>
      </w:r>
      <w:r w:rsidR="00380689">
        <w:rPr>
          <w:bCs/>
          <w:spacing w:val="-2"/>
          <w:u w:val="single"/>
        </w:rPr>
        <w:t>1</w:t>
      </w:r>
      <w:r w:rsidRPr="00380689">
        <w:rPr>
          <w:bCs/>
          <w:spacing w:val="-2"/>
          <w:u w:val="single"/>
        </w:rPr>
        <w:t>n</w:t>
      </w:r>
      <w:r w:rsidR="00380689">
        <w:rPr>
          <w:bCs/>
          <w:spacing w:val="-2"/>
          <w:u w:val="single"/>
        </w:rPr>
        <w:t>1</w:t>
      </w:r>
      <w:r w:rsidRPr="00380689">
        <w:rPr>
          <w:bCs/>
          <w:spacing w:val="-2"/>
          <w:u w:val="single"/>
        </w:rPr>
        <w:t>.11</w:t>
      </w:r>
      <w:r w:rsidR="001A65DF" w:rsidRPr="00380689">
        <w:rPr>
          <w:bCs/>
          <w:spacing w:val="-2"/>
          <w:u w:val="single"/>
        </w:rPr>
        <w:t>8251</w:t>
      </w:r>
    </w:p>
    <w:p w14:paraId="4DF882EA" w14:textId="77777777" w:rsidR="00E95296" w:rsidRPr="001D4E67" w:rsidRDefault="00E95296" w:rsidP="004C292E">
      <w:pPr>
        <w:shd w:val="clear" w:color="auto" w:fill="FFFFFF"/>
        <w:spacing w:before="100" w:beforeAutospacing="1" w:after="100" w:afterAutospacing="1"/>
        <w:jc w:val="both"/>
        <w:rPr>
          <w:bCs/>
          <w:u w:color="000000"/>
          <w:lang w:eastAsia="es-ES"/>
        </w:rPr>
      </w:pPr>
    </w:p>
    <w:p w14:paraId="51C317F5" w14:textId="77777777" w:rsidR="00B40CCC" w:rsidRPr="001D4E67" w:rsidRDefault="00B40CCC" w:rsidP="001D4E67">
      <w:pPr>
        <w:shd w:val="clear" w:color="auto" w:fill="FFFFFF"/>
        <w:spacing w:line="480" w:lineRule="auto"/>
        <w:rPr>
          <w:b/>
          <w:u w:color="000000"/>
          <w:lang w:val="en-US" w:eastAsia="es-ES"/>
        </w:rPr>
      </w:pPr>
      <w:r w:rsidRPr="001D4E67">
        <w:rPr>
          <w:b/>
          <w:u w:color="000000"/>
          <w:lang w:val="en-US" w:eastAsia="es-ES"/>
        </w:rPr>
        <w:t>ABSTRACT</w:t>
      </w:r>
    </w:p>
    <w:p w14:paraId="447B00BF" w14:textId="002F594E" w:rsidR="00C61D88" w:rsidRPr="001D4E67" w:rsidRDefault="00C61D88" w:rsidP="001D4E67">
      <w:pPr>
        <w:shd w:val="clear" w:color="auto" w:fill="FFFFFF"/>
        <w:spacing w:line="480" w:lineRule="auto"/>
        <w:jc w:val="both"/>
        <w:rPr>
          <w:lang w:val="en-US"/>
        </w:rPr>
      </w:pPr>
      <w:r w:rsidRPr="001D4E67">
        <w:rPr>
          <w:lang w:val="en-US"/>
        </w:rPr>
        <w:t>Soil</w:t>
      </w:r>
      <w:r w:rsidR="008E7C70" w:rsidRPr="001D4E67">
        <w:rPr>
          <w:lang w:val="en-US"/>
        </w:rPr>
        <w:t xml:space="preserve"> </w:t>
      </w:r>
      <w:r w:rsidRPr="001D4E67">
        <w:rPr>
          <w:lang w:val="en-US"/>
        </w:rPr>
        <w:t xml:space="preserve">microbial diversity is of great importance for plant development, as well as for the control of pathogens through the production of metabolites. In this study, the effect of the compound 22-Oxocholestanes SPGP4, an analogue of </w:t>
      </w:r>
      <w:proofErr w:type="spellStart"/>
      <w:r w:rsidRPr="001D4E67">
        <w:rPr>
          <w:lang w:val="en-US"/>
        </w:rPr>
        <w:t>brassinosteroids</w:t>
      </w:r>
      <w:proofErr w:type="spellEnd"/>
      <w:r w:rsidRPr="001D4E67">
        <w:rPr>
          <w:lang w:val="en-US"/>
        </w:rPr>
        <w:t xml:space="preserve">, on microbial diversity was evaluated when applied to soils where maize and beans are grown. </w:t>
      </w:r>
      <w:r w:rsidR="004264AE" w:rsidRPr="001D4E67">
        <w:rPr>
          <w:lang w:val="en-US"/>
        </w:rPr>
        <w:t xml:space="preserve"> The soils were analyzed using metagenomic study to determine the populations of bacteria and fungi before and after the application of the compound.</w:t>
      </w:r>
      <w:r w:rsidRPr="001D4E67">
        <w:rPr>
          <w:lang w:val="en-US"/>
        </w:rPr>
        <w:t xml:space="preserve"> The results show that the main bacterial Phyla are Actinobacteria, </w:t>
      </w:r>
      <w:proofErr w:type="spellStart"/>
      <w:r w:rsidRPr="001D4E67">
        <w:rPr>
          <w:lang w:val="en-US"/>
        </w:rPr>
        <w:t>Acidobacteriota</w:t>
      </w:r>
      <w:proofErr w:type="spellEnd"/>
      <w:r w:rsidRPr="001D4E67">
        <w:rPr>
          <w:lang w:val="en-US"/>
        </w:rPr>
        <w:t>, and Proteobacteria; while the main genera</w:t>
      </w:r>
      <w:r w:rsidR="00C651A4" w:rsidRPr="001D4E67">
        <w:rPr>
          <w:lang w:val="en-US"/>
        </w:rPr>
        <w:t xml:space="preserve"> are</w:t>
      </w:r>
      <w:r w:rsidRPr="001D4E67">
        <w:rPr>
          <w:lang w:val="en-US"/>
        </w:rPr>
        <w:t xml:space="preserve"> </w:t>
      </w:r>
      <w:r w:rsidRPr="001D4E67">
        <w:rPr>
          <w:i/>
          <w:iCs/>
          <w:lang w:val="en-US"/>
        </w:rPr>
        <w:t>Bacillus</w:t>
      </w:r>
      <w:r w:rsidRPr="001D4E67">
        <w:rPr>
          <w:lang w:val="en-US"/>
        </w:rPr>
        <w:t xml:space="preserve">, </w:t>
      </w:r>
      <w:r w:rsidRPr="001D4E67">
        <w:rPr>
          <w:i/>
          <w:iCs/>
          <w:lang w:val="en-US"/>
        </w:rPr>
        <w:t>Streptomyces</w:t>
      </w:r>
      <w:r w:rsidRPr="001D4E67">
        <w:rPr>
          <w:lang w:val="en-US"/>
        </w:rPr>
        <w:t xml:space="preserve">, </w:t>
      </w:r>
      <w:proofErr w:type="spellStart"/>
      <w:r w:rsidRPr="001D4E67">
        <w:rPr>
          <w:i/>
          <w:iCs/>
          <w:lang w:val="en-US"/>
        </w:rPr>
        <w:t>Nocardioides</w:t>
      </w:r>
      <w:proofErr w:type="spellEnd"/>
      <w:r w:rsidRPr="001D4E67">
        <w:rPr>
          <w:lang w:val="en-US"/>
        </w:rPr>
        <w:t>,</w:t>
      </w:r>
      <w:r w:rsidR="000B6244" w:rsidRPr="001D4E67">
        <w:rPr>
          <w:i/>
          <w:iCs/>
          <w:lang w:val="en-US"/>
        </w:rPr>
        <w:t xml:space="preserve"> </w:t>
      </w:r>
      <w:proofErr w:type="spellStart"/>
      <w:r w:rsidR="000B6244" w:rsidRPr="001D4E67">
        <w:rPr>
          <w:rStyle w:val="nfasis"/>
          <w:shd w:val="clear" w:color="auto" w:fill="FFFFFF"/>
          <w:lang w:val="en-US"/>
        </w:rPr>
        <w:t>Vicinamibacteraceae</w:t>
      </w:r>
      <w:proofErr w:type="spellEnd"/>
      <w:r w:rsidRPr="001D4E67">
        <w:rPr>
          <w:lang w:val="en-US"/>
        </w:rPr>
        <w:t xml:space="preserve">, </w:t>
      </w:r>
      <w:proofErr w:type="spellStart"/>
      <w:r w:rsidRPr="001D4E67">
        <w:rPr>
          <w:i/>
          <w:iCs/>
          <w:lang w:val="en-US"/>
        </w:rPr>
        <w:t>Solirubrobacter</w:t>
      </w:r>
      <w:proofErr w:type="spellEnd"/>
      <w:r w:rsidRPr="001D4E67">
        <w:rPr>
          <w:lang w:val="en-US"/>
        </w:rPr>
        <w:t xml:space="preserve"> and </w:t>
      </w:r>
      <w:proofErr w:type="spellStart"/>
      <w:r w:rsidRPr="001D4E67">
        <w:rPr>
          <w:i/>
          <w:iCs/>
          <w:lang w:val="en-US"/>
        </w:rPr>
        <w:t>Sphi</w:t>
      </w:r>
      <w:r w:rsidR="000B6244" w:rsidRPr="001D4E67">
        <w:rPr>
          <w:i/>
          <w:iCs/>
          <w:lang w:val="en-US"/>
        </w:rPr>
        <w:t>n</w:t>
      </w:r>
      <w:r w:rsidRPr="001D4E67">
        <w:rPr>
          <w:i/>
          <w:iCs/>
          <w:lang w:val="en-US"/>
        </w:rPr>
        <w:t>gomonas</w:t>
      </w:r>
      <w:proofErr w:type="spellEnd"/>
      <w:r w:rsidRPr="001D4E67">
        <w:rPr>
          <w:lang w:val="en-US"/>
        </w:rPr>
        <w:t xml:space="preserve"> were the most abundant. With regard to fungi, the main Phyla were Ascomycota and Basidiomycota; the main genera being </w:t>
      </w:r>
      <w:r w:rsidRPr="001D4E67">
        <w:rPr>
          <w:i/>
          <w:iCs/>
          <w:lang w:val="en-US"/>
        </w:rPr>
        <w:t>Aspergillus</w:t>
      </w:r>
      <w:r w:rsidRPr="001D4E67">
        <w:rPr>
          <w:lang w:val="en-US"/>
        </w:rPr>
        <w:t xml:space="preserve">, </w:t>
      </w:r>
      <w:r w:rsidRPr="001D4E67">
        <w:rPr>
          <w:i/>
          <w:iCs/>
          <w:lang w:val="en-US"/>
        </w:rPr>
        <w:t>Fusarium</w:t>
      </w:r>
      <w:r w:rsidRPr="001D4E67">
        <w:rPr>
          <w:lang w:val="en-US"/>
        </w:rPr>
        <w:t xml:space="preserve">, </w:t>
      </w:r>
      <w:proofErr w:type="spellStart"/>
      <w:r w:rsidRPr="001D4E67">
        <w:rPr>
          <w:i/>
          <w:iCs/>
          <w:lang w:val="en-US"/>
        </w:rPr>
        <w:lastRenderedPageBreak/>
        <w:t>Chrysocorona</w:t>
      </w:r>
      <w:proofErr w:type="spellEnd"/>
      <w:r w:rsidRPr="001D4E67">
        <w:rPr>
          <w:lang w:val="en-US"/>
        </w:rPr>
        <w:t xml:space="preserve">, </w:t>
      </w:r>
      <w:r w:rsidRPr="001D4E67">
        <w:rPr>
          <w:i/>
          <w:iCs/>
          <w:lang w:val="en-US"/>
        </w:rPr>
        <w:t>Penicill</w:t>
      </w:r>
      <w:r w:rsidR="000B6244" w:rsidRPr="001D4E67">
        <w:rPr>
          <w:i/>
          <w:iCs/>
          <w:lang w:val="en-US"/>
        </w:rPr>
        <w:t>i</w:t>
      </w:r>
      <w:r w:rsidRPr="001D4E67">
        <w:rPr>
          <w:i/>
          <w:iCs/>
          <w:lang w:val="en-US"/>
        </w:rPr>
        <w:t>um</w:t>
      </w:r>
      <w:r w:rsidRPr="001D4E67">
        <w:rPr>
          <w:lang w:val="en-US"/>
        </w:rPr>
        <w:t xml:space="preserve">, </w:t>
      </w:r>
      <w:proofErr w:type="spellStart"/>
      <w:r w:rsidRPr="001D4E67">
        <w:rPr>
          <w:i/>
          <w:iCs/>
          <w:lang w:val="en-US"/>
        </w:rPr>
        <w:t>Humicola</w:t>
      </w:r>
      <w:proofErr w:type="spellEnd"/>
      <w:r w:rsidRPr="001D4E67">
        <w:rPr>
          <w:lang w:val="en-US"/>
        </w:rPr>
        <w:t xml:space="preserve">, </w:t>
      </w:r>
      <w:r w:rsidRPr="001D4E67">
        <w:rPr>
          <w:i/>
          <w:iCs/>
          <w:lang w:val="en-US"/>
        </w:rPr>
        <w:t>Chaetomium</w:t>
      </w:r>
      <w:r w:rsidRPr="001D4E67">
        <w:rPr>
          <w:lang w:val="en-US"/>
        </w:rPr>
        <w:t xml:space="preserve"> and </w:t>
      </w:r>
      <w:proofErr w:type="spellStart"/>
      <w:r w:rsidRPr="001D4E67">
        <w:rPr>
          <w:i/>
          <w:iCs/>
          <w:lang w:val="en-US"/>
        </w:rPr>
        <w:t>Curvularia</w:t>
      </w:r>
      <w:proofErr w:type="spellEnd"/>
      <w:r w:rsidRPr="001D4E67">
        <w:rPr>
          <w:lang w:val="en-US"/>
        </w:rPr>
        <w:t>. The alpha diversity showed that there was no significant difference (</w:t>
      </w:r>
      <w:r w:rsidR="009878A0" w:rsidRPr="001D4E67">
        <w:rPr>
          <w:i/>
          <w:iCs/>
          <w:lang w:val="en-US"/>
        </w:rPr>
        <w:t>p</w:t>
      </w:r>
      <w:r w:rsidRPr="001D4E67">
        <w:rPr>
          <w:lang w:val="en-US"/>
        </w:rPr>
        <w:t>&gt;</w:t>
      </w:r>
      <w:r w:rsidR="00C651A4" w:rsidRPr="001D4E67">
        <w:rPr>
          <w:lang w:val="en-US"/>
        </w:rPr>
        <w:t xml:space="preserve"> </w:t>
      </w:r>
      <w:r w:rsidRPr="001D4E67">
        <w:rPr>
          <w:lang w:val="en-US"/>
        </w:rPr>
        <w:t>0.05) in the soil microbial communities, which indicates that the application of 22-Oxocholestanes SPGP4 at a concentration of 0.5 mg/L does not affect the microbial diversity of the soils.</w:t>
      </w:r>
    </w:p>
    <w:p w14:paraId="3DD88B0F" w14:textId="77777777" w:rsidR="001A65DF" w:rsidRPr="001D4E67" w:rsidRDefault="001A65DF" w:rsidP="001D4E67">
      <w:pPr>
        <w:shd w:val="clear" w:color="auto" w:fill="FFFFFF"/>
        <w:spacing w:line="480" w:lineRule="auto"/>
        <w:jc w:val="both"/>
        <w:rPr>
          <w:lang w:val="en-US"/>
        </w:rPr>
      </w:pPr>
    </w:p>
    <w:p w14:paraId="2244C40B" w14:textId="3D7EA77D" w:rsidR="00CB4A90" w:rsidRPr="00FB5C0E" w:rsidRDefault="00C41BFA" w:rsidP="001D4E67">
      <w:pPr>
        <w:shd w:val="clear" w:color="auto" w:fill="FFFFFF"/>
        <w:spacing w:line="480" w:lineRule="auto"/>
      </w:pPr>
      <w:proofErr w:type="spellStart"/>
      <w:r w:rsidRPr="00FB5C0E">
        <w:rPr>
          <w:b/>
          <w:u w:color="000000"/>
          <w:lang w:eastAsia="es-ES"/>
        </w:rPr>
        <w:t>Keywords</w:t>
      </w:r>
      <w:proofErr w:type="spellEnd"/>
      <w:r w:rsidRPr="00FB5C0E">
        <w:rPr>
          <w:b/>
          <w:u w:color="000000"/>
          <w:lang w:eastAsia="es-ES"/>
        </w:rPr>
        <w:t>:</w:t>
      </w:r>
      <w:r w:rsidRPr="00FB5C0E">
        <w:rPr>
          <w:bCs/>
          <w:u w:color="000000"/>
          <w:lang w:eastAsia="es-ES"/>
        </w:rPr>
        <w:t xml:space="preserve"> </w:t>
      </w:r>
      <w:r w:rsidR="00CB4A90" w:rsidRPr="00FB5C0E">
        <w:rPr>
          <w:bCs/>
          <w:u w:color="000000"/>
          <w:lang w:eastAsia="es-ES"/>
        </w:rPr>
        <w:t xml:space="preserve"> </w:t>
      </w:r>
      <w:proofErr w:type="spellStart"/>
      <w:r w:rsidR="00CB4A90" w:rsidRPr="00FB5C0E">
        <w:rPr>
          <w:rStyle w:val="Cuadrculamedia11"/>
          <w:color w:val="auto"/>
        </w:rPr>
        <w:t>Brassinosteroids</w:t>
      </w:r>
      <w:proofErr w:type="spellEnd"/>
      <w:r w:rsidR="00D81AC3">
        <w:rPr>
          <w:rStyle w:val="Cuadrculamedia11"/>
          <w:color w:val="auto"/>
        </w:rPr>
        <w:t>,</w:t>
      </w:r>
      <w:r w:rsidR="00CB4A90" w:rsidRPr="00FB5C0E">
        <w:rPr>
          <w:rStyle w:val="Cuadrculamedia11"/>
          <w:color w:val="auto"/>
        </w:rPr>
        <w:t xml:space="preserve"> </w:t>
      </w:r>
      <w:proofErr w:type="spellStart"/>
      <w:r w:rsidR="005D3C6A" w:rsidRPr="00FB5C0E">
        <w:rPr>
          <w:rStyle w:val="Cuadrculamedia11"/>
          <w:color w:val="auto"/>
        </w:rPr>
        <w:t>Metagenomic</w:t>
      </w:r>
      <w:proofErr w:type="spellEnd"/>
      <w:r w:rsidR="005D3C6A" w:rsidRPr="00FB5C0E">
        <w:rPr>
          <w:rStyle w:val="Cuadrculamedia11"/>
          <w:color w:val="auto"/>
        </w:rPr>
        <w:t>,</w:t>
      </w:r>
      <w:r w:rsidR="00CB4A90" w:rsidRPr="00FB5C0E">
        <w:rPr>
          <w:rStyle w:val="Cuadrculamedia11"/>
          <w:color w:val="auto"/>
        </w:rPr>
        <w:t xml:space="preserve"> </w:t>
      </w:r>
      <w:r w:rsidR="008E7C70" w:rsidRPr="00FB5C0E">
        <w:rPr>
          <w:rStyle w:val="Cuadrculamedia11"/>
          <w:color w:val="auto"/>
        </w:rPr>
        <w:t>Microbiota</w:t>
      </w:r>
      <w:r w:rsidR="006F23D2" w:rsidRPr="00FB5C0E">
        <w:rPr>
          <w:rStyle w:val="Cuadrculamedia11"/>
          <w:color w:val="auto"/>
        </w:rPr>
        <w:t>.</w:t>
      </w:r>
    </w:p>
    <w:p w14:paraId="375B98F7" w14:textId="4321A706" w:rsidR="00C41BFA" w:rsidRPr="00FB5C0E" w:rsidRDefault="00C41BFA" w:rsidP="001D4E67">
      <w:pPr>
        <w:shd w:val="clear" w:color="auto" w:fill="FFFFFF"/>
        <w:spacing w:line="480" w:lineRule="auto"/>
      </w:pPr>
    </w:p>
    <w:p w14:paraId="5007FF64" w14:textId="77777777" w:rsidR="00C41BFA" w:rsidRPr="00FB5C0E" w:rsidRDefault="00C41BFA" w:rsidP="001D4E67">
      <w:pPr>
        <w:shd w:val="clear" w:color="auto" w:fill="FFFFFF"/>
        <w:spacing w:line="480" w:lineRule="auto"/>
        <w:rPr>
          <w:b/>
          <w:u w:color="000000"/>
          <w:lang w:eastAsia="es-ES"/>
        </w:rPr>
      </w:pPr>
      <w:r w:rsidRPr="00FB5C0E">
        <w:rPr>
          <w:b/>
          <w:u w:color="000000"/>
          <w:lang w:eastAsia="es-ES"/>
        </w:rPr>
        <w:t>RESUMEN</w:t>
      </w:r>
    </w:p>
    <w:p w14:paraId="5DDD79FD" w14:textId="5FBB8251" w:rsidR="00C61D88" w:rsidRPr="001D4E67" w:rsidRDefault="00C61D88" w:rsidP="001D4E67">
      <w:pPr>
        <w:shd w:val="clear" w:color="auto" w:fill="FFFFFF"/>
        <w:spacing w:line="480" w:lineRule="auto"/>
        <w:jc w:val="both"/>
        <w:rPr>
          <w:bCs/>
        </w:rPr>
      </w:pPr>
      <w:r w:rsidRPr="001D4E67">
        <w:rPr>
          <w:bCs/>
        </w:rPr>
        <w:t xml:space="preserve">La diversidad microbiana del suelo es de gran importancia para el desarrollo de las plantas, así como para el control de patógenos a través de la producción de metabolitos. En este estudio se evaluó el efecto del compuesto 22-Oxocolestanos SPGP4, un análogo de los brasinoesteroides, sobre la diversidad microbiana al ser aplicado a suelos donde se cultiva maíz y frijol. </w:t>
      </w:r>
      <w:r w:rsidR="009878A0" w:rsidRPr="001D4E67">
        <w:rPr>
          <w:bCs/>
        </w:rPr>
        <w:t>Los suelos fueron analizados mediante estudio metagenómico para determinar las poblaciones de bacterias y hongos antes y después de la aplicación del compuesto.</w:t>
      </w:r>
      <w:r w:rsidRPr="001D4E67">
        <w:rPr>
          <w:bCs/>
        </w:rPr>
        <w:t xml:space="preserve"> Los resultados muestran que los principales filos bacterianos son Actinobacteria, Acidobacteriota y Proteobacteria; mientras que los principales géneros </w:t>
      </w:r>
      <w:r w:rsidRPr="001D4E67">
        <w:rPr>
          <w:bCs/>
          <w:i/>
          <w:iCs/>
        </w:rPr>
        <w:t>Bacillus</w:t>
      </w:r>
      <w:r w:rsidRPr="001D4E67">
        <w:rPr>
          <w:bCs/>
        </w:rPr>
        <w:t xml:space="preserve">, </w:t>
      </w:r>
      <w:r w:rsidRPr="001D4E67">
        <w:rPr>
          <w:bCs/>
          <w:i/>
          <w:iCs/>
        </w:rPr>
        <w:t>Streptomyces</w:t>
      </w:r>
      <w:r w:rsidRPr="001D4E67">
        <w:rPr>
          <w:bCs/>
        </w:rPr>
        <w:t xml:space="preserve">, </w:t>
      </w:r>
      <w:r w:rsidRPr="001D4E67">
        <w:rPr>
          <w:bCs/>
          <w:i/>
          <w:iCs/>
        </w:rPr>
        <w:t>Nocardioides</w:t>
      </w:r>
      <w:r w:rsidRPr="001D4E67">
        <w:rPr>
          <w:bCs/>
        </w:rPr>
        <w:t xml:space="preserve">, </w:t>
      </w:r>
      <w:r w:rsidR="000B6244" w:rsidRPr="001D4E67">
        <w:rPr>
          <w:rStyle w:val="nfasis"/>
          <w:shd w:val="clear" w:color="auto" w:fill="FFFFFF"/>
        </w:rPr>
        <w:t>Vicinamibacteraceae</w:t>
      </w:r>
      <w:r w:rsidRPr="001D4E67">
        <w:rPr>
          <w:bCs/>
        </w:rPr>
        <w:t xml:space="preserve">, </w:t>
      </w:r>
      <w:r w:rsidRPr="001D4E67">
        <w:rPr>
          <w:bCs/>
          <w:i/>
          <w:iCs/>
        </w:rPr>
        <w:t xml:space="preserve">Solirubrobacter </w:t>
      </w:r>
      <w:r w:rsidRPr="001D4E67">
        <w:rPr>
          <w:bCs/>
        </w:rPr>
        <w:t xml:space="preserve">y </w:t>
      </w:r>
      <w:r w:rsidR="000B6244" w:rsidRPr="001D4E67">
        <w:rPr>
          <w:i/>
          <w:iCs/>
        </w:rPr>
        <w:t>Sphingomonas</w:t>
      </w:r>
      <w:r w:rsidRPr="001D4E67">
        <w:rPr>
          <w:bCs/>
        </w:rPr>
        <w:t xml:space="preserve"> fueron los más abundantes. Con respecto a los hongos, los principales filos fueron Ascomycota y Basidiomycota; siendo los principales géneros </w:t>
      </w:r>
      <w:r w:rsidRPr="001D4E67">
        <w:rPr>
          <w:bCs/>
          <w:i/>
          <w:iCs/>
        </w:rPr>
        <w:t>Aspergillus</w:t>
      </w:r>
      <w:r w:rsidRPr="001D4E67">
        <w:rPr>
          <w:bCs/>
        </w:rPr>
        <w:t xml:space="preserve">, </w:t>
      </w:r>
      <w:r w:rsidRPr="001D4E67">
        <w:rPr>
          <w:bCs/>
          <w:i/>
          <w:iCs/>
        </w:rPr>
        <w:t>Fusarium</w:t>
      </w:r>
      <w:r w:rsidRPr="001D4E67">
        <w:rPr>
          <w:bCs/>
        </w:rPr>
        <w:t xml:space="preserve">, </w:t>
      </w:r>
      <w:r w:rsidRPr="001D4E67">
        <w:rPr>
          <w:bCs/>
          <w:i/>
          <w:iCs/>
        </w:rPr>
        <w:t>Chrysocorona</w:t>
      </w:r>
      <w:r w:rsidRPr="001D4E67">
        <w:rPr>
          <w:bCs/>
        </w:rPr>
        <w:t xml:space="preserve">, </w:t>
      </w:r>
      <w:r w:rsidR="000B6244" w:rsidRPr="001D4E67">
        <w:rPr>
          <w:i/>
          <w:iCs/>
        </w:rPr>
        <w:t>Penicillium</w:t>
      </w:r>
      <w:r w:rsidRPr="001D4E67">
        <w:rPr>
          <w:bCs/>
        </w:rPr>
        <w:t xml:space="preserve">, </w:t>
      </w:r>
      <w:r w:rsidRPr="001D4E67">
        <w:rPr>
          <w:bCs/>
          <w:i/>
          <w:iCs/>
        </w:rPr>
        <w:t>Humicola</w:t>
      </w:r>
      <w:r w:rsidRPr="001D4E67">
        <w:rPr>
          <w:bCs/>
        </w:rPr>
        <w:t xml:space="preserve">, </w:t>
      </w:r>
      <w:r w:rsidRPr="001D4E67">
        <w:rPr>
          <w:bCs/>
          <w:i/>
          <w:iCs/>
        </w:rPr>
        <w:t>Chaetomium</w:t>
      </w:r>
      <w:r w:rsidRPr="001D4E67">
        <w:rPr>
          <w:bCs/>
        </w:rPr>
        <w:t xml:space="preserve"> y </w:t>
      </w:r>
      <w:r w:rsidRPr="001D4E67">
        <w:rPr>
          <w:bCs/>
          <w:i/>
          <w:iCs/>
        </w:rPr>
        <w:t>Curvularia</w:t>
      </w:r>
      <w:r w:rsidRPr="001D4E67">
        <w:rPr>
          <w:bCs/>
        </w:rPr>
        <w:t>. La diversidad alfa mostró que no hubo diferencia significativa (</w:t>
      </w:r>
      <w:r w:rsidR="00F80A53" w:rsidRPr="001D4E67">
        <w:rPr>
          <w:bCs/>
          <w:i/>
          <w:iCs/>
        </w:rPr>
        <w:t xml:space="preserve">p </w:t>
      </w:r>
      <w:r w:rsidRPr="001D4E67">
        <w:rPr>
          <w:bCs/>
        </w:rPr>
        <w:t>&gt;</w:t>
      </w:r>
      <w:r w:rsidR="00F80A53" w:rsidRPr="001D4E67">
        <w:rPr>
          <w:bCs/>
        </w:rPr>
        <w:t xml:space="preserve"> </w:t>
      </w:r>
      <w:r w:rsidRPr="001D4E67">
        <w:rPr>
          <w:bCs/>
        </w:rPr>
        <w:t>0,05) en las comunidades microbianas del suelo, lo que indica que la aplicación de 22-Oxocolestanos SPGP4 a una concentración de 0,5 mg/L no afecta la diversidad microbiana de los suelos.</w:t>
      </w:r>
    </w:p>
    <w:p w14:paraId="149DD6E0" w14:textId="77777777" w:rsidR="00C61D88" w:rsidRPr="001D4E67" w:rsidRDefault="00C61D88" w:rsidP="001D4E67">
      <w:pPr>
        <w:shd w:val="clear" w:color="auto" w:fill="FFFFFF"/>
        <w:spacing w:line="480" w:lineRule="auto"/>
        <w:rPr>
          <w:bCs/>
          <w:u w:color="000000"/>
          <w:lang w:eastAsia="es-ES"/>
        </w:rPr>
      </w:pPr>
    </w:p>
    <w:p w14:paraId="3211EA67" w14:textId="2637DE76" w:rsidR="001D4E67" w:rsidRDefault="00C41BFA" w:rsidP="001D4E67">
      <w:pPr>
        <w:shd w:val="clear" w:color="auto" w:fill="FFFFFF"/>
        <w:spacing w:line="480" w:lineRule="auto"/>
      </w:pPr>
      <w:r w:rsidRPr="001D4E67">
        <w:rPr>
          <w:b/>
          <w:u w:color="000000"/>
          <w:lang w:eastAsia="es-ES"/>
        </w:rPr>
        <w:t>Palabras clave:</w:t>
      </w:r>
      <w:r w:rsidR="008E7C70" w:rsidRPr="001D4E67">
        <w:rPr>
          <w:b/>
          <w:u w:color="000000"/>
          <w:lang w:eastAsia="es-ES"/>
        </w:rPr>
        <w:t xml:space="preserve"> </w:t>
      </w:r>
      <w:r w:rsidR="008E7C70" w:rsidRPr="001D4E67">
        <w:rPr>
          <w:rStyle w:val="Cuadrculamedia11"/>
          <w:color w:val="auto"/>
        </w:rPr>
        <w:t>Brasinoesteroides, M</w:t>
      </w:r>
      <w:r w:rsidR="005D3C6A" w:rsidRPr="001D4E67">
        <w:rPr>
          <w:rStyle w:val="Cuadrculamedia11"/>
          <w:color w:val="auto"/>
        </w:rPr>
        <w:t xml:space="preserve">etagenómica, </w:t>
      </w:r>
      <w:r w:rsidR="008E7C70" w:rsidRPr="001D4E67">
        <w:rPr>
          <w:rStyle w:val="Cuadrculamedia11"/>
          <w:color w:val="auto"/>
        </w:rPr>
        <w:t>Microbiota</w:t>
      </w:r>
      <w:r w:rsidR="006F23D2">
        <w:rPr>
          <w:rStyle w:val="Cuadrculamedia11"/>
          <w:color w:val="auto"/>
        </w:rPr>
        <w:t>.</w:t>
      </w:r>
    </w:p>
    <w:p w14:paraId="69ADC8DC" w14:textId="7344D0FA" w:rsidR="00B40CCC" w:rsidRPr="00FB5C0E" w:rsidRDefault="00B40CCC" w:rsidP="001D4E67">
      <w:pPr>
        <w:shd w:val="clear" w:color="auto" w:fill="FFFFFF"/>
        <w:spacing w:line="480" w:lineRule="auto"/>
        <w:rPr>
          <w:lang w:val="en-US"/>
        </w:rPr>
      </w:pPr>
      <w:r w:rsidRPr="00FB5C0E">
        <w:rPr>
          <w:b/>
          <w:u w:color="000000"/>
          <w:lang w:val="en-US" w:eastAsia="es-ES"/>
        </w:rPr>
        <w:t>INTRODUCTI</w:t>
      </w:r>
      <w:r w:rsidR="005D3C6A" w:rsidRPr="00FB5C0E">
        <w:rPr>
          <w:b/>
          <w:u w:color="000000"/>
          <w:lang w:val="en-US" w:eastAsia="es-ES"/>
        </w:rPr>
        <w:t>O</w:t>
      </w:r>
      <w:r w:rsidRPr="00FB5C0E">
        <w:rPr>
          <w:b/>
          <w:u w:color="000000"/>
          <w:lang w:val="en-US" w:eastAsia="es-ES"/>
        </w:rPr>
        <w:t>N</w:t>
      </w:r>
    </w:p>
    <w:p w14:paraId="4AFF95C9" w14:textId="5EA31967" w:rsidR="00CE14B3" w:rsidRPr="00FB5C0E" w:rsidRDefault="00CE14B3" w:rsidP="001D4E67">
      <w:pPr>
        <w:pStyle w:val="EstiloActa"/>
        <w:spacing w:before="100" w:beforeAutospacing="1" w:after="100" w:afterAutospacing="1"/>
        <w:ind w:firstLine="709"/>
        <w:jc w:val="both"/>
        <w:rPr>
          <w:b/>
          <w:lang w:val="en-US"/>
        </w:rPr>
      </w:pPr>
      <w:r w:rsidRPr="00FB5C0E">
        <w:rPr>
          <w:lang w:val="en-US"/>
        </w:rPr>
        <w:t xml:space="preserve">Mexico is a nation rich in cultural and biological diversity, its history dates back to approximately 12,000 years </w:t>
      </w:r>
      <w:r w:rsidR="00F80A53" w:rsidRPr="00FB5C0E">
        <w:rPr>
          <w:lang w:val="en-US"/>
        </w:rPr>
        <w:t>ago</w:t>
      </w:r>
      <w:r w:rsidRPr="00FB5C0E">
        <w:rPr>
          <w:lang w:val="en-US"/>
        </w:rPr>
        <w:t xml:space="preserve"> when various human groups from the north of the American continent went from being nomadic to sedentary. They used more than 100 plant species to feed themselves, build houses, or make utensils for everyday use. They domesticated some plants such as maize (</w:t>
      </w:r>
      <w:proofErr w:type="spellStart"/>
      <w:r w:rsidRPr="00FB5C0E">
        <w:rPr>
          <w:i/>
          <w:iCs/>
          <w:lang w:val="en-US"/>
        </w:rPr>
        <w:t>Zea</w:t>
      </w:r>
      <w:proofErr w:type="spellEnd"/>
      <w:r w:rsidRPr="00FB5C0E">
        <w:rPr>
          <w:i/>
          <w:iCs/>
          <w:lang w:val="en-US"/>
        </w:rPr>
        <w:t xml:space="preserve"> mays</w:t>
      </w:r>
      <w:r w:rsidRPr="00FB5C0E">
        <w:rPr>
          <w:lang w:val="en-US"/>
        </w:rPr>
        <w:t xml:space="preserve"> L.), chili (</w:t>
      </w:r>
      <w:r w:rsidRPr="00FB5C0E">
        <w:rPr>
          <w:i/>
          <w:iCs/>
          <w:lang w:val="en-US"/>
        </w:rPr>
        <w:t>Capsicum annum</w:t>
      </w:r>
      <w:r w:rsidRPr="00FB5C0E">
        <w:rPr>
          <w:lang w:val="en-US"/>
        </w:rPr>
        <w:t xml:space="preserve"> L.), and beans (</w:t>
      </w:r>
      <w:r w:rsidRPr="00FB5C0E">
        <w:rPr>
          <w:i/>
          <w:iCs/>
          <w:lang w:val="en-US"/>
        </w:rPr>
        <w:t>Phaseolus vulgaris</w:t>
      </w:r>
      <w:r w:rsidRPr="00FB5C0E">
        <w:rPr>
          <w:lang w:val="en-US"/>
        </w:rPr>
        <w:t>); 59 races of maize (</w:t>
      </w:r>
      <w:proofErr w:type="spellStart"/>
      <w:r w:rsidRPr="00FB5C0E">
        <w:rPr>
          <w:i/>
          <w:iCs/>
          <w:lang w:val="en-US"/>
        </w:rPr>
        <w:t>Zea</w:t>
      </w:r>
      <w:proofErr w:type="spellEnd"/>
      <w:r w:rsidRPr="00FB5C0E">
        <w:rPr>
          <w:i/>
          <w:iCs/>
          <w:lang w:val="en-US"/>
        </w:rPr>
        <w:t xml:space="preserve"> mays</w:t>
      </w:r>
      <w:r w:rsidRPr="00FB5C0E">
        <w:rPr>
          <w:lang w:val="en-US"/>
        </w:rPr>
        <w:t xml:space="preserve"> L.) have been reported (</w:t>
      </w:r>
      <w:proofErr w:type="spellStart"/>
      <w:r w:rsidRPr="00FB5C0E">
        <w:rPr>
          <w:lang w:val="en-US"/>
        </w:rPr>
        <w:t>Rocandio</w:t>
      </w:r>
      <w:proofErr w:type="spellEnd"/>
      <w:r w:rsidR="00255EB5" w:rsidRPr="00FB5C0E">
        <w:rPr>
          <w:lang w:val="en-US"/>
        </w:rPr>
        <w:t>-Rodríguez</w:t>
      </w:r>
      <w:r w:rsidRPr="00FB5C0E">
        <w:rPr>
          <w:lang w:val="en-US"/>
        </w:rPr>
        <w:t xml:space="preserve"> et al., 2020; </w:t>
      </w:r>
      <w:proofErr w:type="spellStart"/>
      <w:r w:rsidRPr="00FB5C0E">
        <w:rPr>
          <w:bCs/>
          <w:shd w:val="clear" w:color="auto" w:fill="FFFFFF"/>
          <w:lang w:val="en-US"/>
        </w:rPr>
        <w:t>Rocandio</w:t>
      </w:r>
      <w:proofErr w:type="spellEnd"/>
      <w:r w:rsidR="00255EB5" w:rsidRPr="00FB5C0E">
        <w:rPr>
          <w:lang w:val="en-US"/>
        </w:rPr>
        <w:t>-Rodríguez</w:t>
      </w:r>
      <w:r w:rsidRPr="00FB5C0E">
        <w:rPr>
          <w:bCs/>
          <w:lang w:val="en-US"/>
        </w:rPr>
        <w:t xml:space="preserve"> et al., 2022</w:t>
      </w:r>
      <w:r w:rsidRPr="00FB5C0E">
        <w:rPr>
          <w:lang w:val="en-US"/>
        </w:rPr>
        <w:t xml:space="preserve">) and five domesticated bean species: </w:t>
      </w:r>
      <w:r w:rsidRPr="00FB5C0E">
        <w:rPr>
          <w:i/>
          <w:iCs/>
          <w:lang w:val="en-US"/>
        </w:rPr>
        <w:t>Phaseolus vulgaris</w:t>
      </w:r>
      <w:r w:rsidRPr="00FB5C0E">
        <w:rPr>
          <w:lang w:val="en-US"/>
        </w:rPr>
        <w:t xml:space="preserve"> L., </w:t>
      </w:r>
      <w:r w:rsidRPr="00FB5C0E">
        <w:rPr>
          <w:i/>
          <w:iCs/>
          <w:lang w:val="en-US"/>
        </w:rPr>
        <w:t>P</w:t>
      </w:r>
      <w:r w:rsidRPr="00FB5C0E">
        <w:rPr>
          <w:lang w:val="en-US"/>
        </w:rPr>
        <w:t xml:space="preserve">. </w:t>
      </w:r>
      <w:proofErr w:type="spellStart"/>
      <w:r w:rsidRPr="00FB5C0E">
        <w:rPr>
          <w:i/>
          <w:iCs/>
          <w:lang w:val="en-US"/>
        </w:rPr>
        <w:t>coccineus</w:t>
      </w:r>
      <w:proofErr w:type="spellEnd"/>
      <w:r w:rsidRPr="00FB5C0E">
        <w:rPr>
          <w:i/>
          <w:iCs/>
          <w:lang w:val="en-US"/>
        </w:rPr>
        <w:t xml:space="preserve">, P. lunatus, P. </w:t>
      </w:r>
      <w:proofErr w:type="spellStart"/>
      <w:r w:rsidRPr="00FB5C0E">
        <w:rPr>
          <w:i/>
          <w:iCs/>
          <w:lang w:val="en-US"/>
        </w:rPr>
        <w:t>acutifolius</w:t>
      </w:r>
      <w:proofErr w:type="spellEnd"/>
      <w:r w:rsidRPr="00FB5C0E">
        <w:rPr>
          <w:i/>
          <w:iCs/>
          <w:lang w:val="en-US"/>
        </w:rPr>
        <w:t xml:space="preserve">, </w:t>
      </w:r>
      <w:r w:rsidRPr="00FB5C0E">
        <w:rPr>
          <w:lang w:val="en-US"/>
        </w:rPr>
        <w:t>and</w:t>
      </w:r>
      <w:r w:rsidRPr="00FB5C0E">
        <w:rPr>
          <w:i/>
          <w:iCs/>
          <w:lang w:val="en-US"/>
        </w:rPr>
        <w:t xml:space="preserve"> P. </w:t>
      </w:r>
      <w:proofErr w:type="spellStart"/>
      <w:r w:rsidRPr="00FB5C0E">
        <w:rPr>
          <w:i/>
          <w:iCs/>
          <w:lang w:val="en-US"/>
        </w:rPr>
        <w:t>dumosus</w:t>
      </w:r>
      <w:proofErr w:type="spellEnd"/>
      <w:r w:rsidRPr="00FB5C0E">
        <w:rPr>
          <w:lang w:val="en-US"/>
        </w:rPr>
        <w:t xml:space="preserve"> (</w:t>
      </w:r>
      <w:proofErr w:type="spellStart"/>
      <w:r w:rsidRPr="00FB5C0E">
        <w:rPr>
          <w:bCs/>
          <w:shd w:val="clear" w:color="auto" w:fill="FFFFFF"/>
          <w:lang w:val="en-US"/>
        </w:rPr>
        <w:t>Rocandio</w:t>
      </w:r>
      <w:proofErr w:type="spellEnd"/>
      <w:r w:rsidR="00255EB5" w:rsidRPr="00FB5C0E">
        <w:rPr>
          <w:lang w:val="en-US"/>
        </w:rPr>
        <w:t>-Rodríguez</w:t>
      </w:r>
      <w:r w:rsidRPr="00FB5C0E">
        <w:rPr>
          <w:bCs/>
          <w:lang w:val="en-US"/>
        </w:rPr>
        <w:t xml:space="preserve"> et al., 2022</w:t>
      </w:r>
      <w:r w:rsidRPr="00FB5C0E">
        <w:rPr>
          <w:lang w:val="en-US"/>
        </w:rPr>
        <w:t>). These became the basis of their economy, having enough surpluses to feed themselves. The cultivation of maize and beans is an important part of the diet of the families of indigenous peoples, as well as being part of the</w:t>
      </w:r>
      <w:r w:rsidR="001530D9" w:rsidRPr="00FB5C0E">
        <w:rPr>
          <w:lang w:val="en-US"/>
        </w:rPr>
        <w:t xml:space="preserve"> civilizations</w:t>
      </w:r>
      <w:r w:rsidRPr="00FB5C0E">
        <w:rPr>
          <w:lang w:val="en-US"/>
        </w:rPr>
        <w:t>. Currently, great challenges are faced in being able to produce food and meeting the demand for food due to the increase in population worldwide, with the challenge of not affecting the environment, biodiversity, and soil ecosystems (</w:t>
      </w:r>
      <w:r w:rsidRPr="00FB5C0E">
        <w:rPr>
          <w:bCs/>
          <w:shd w:val="clear" w:color="auto" w:fill="FFFFFF"/>
          <w:lang w:val="en-US"/>
        </w:rPr>
        <w:t xml:space="preserve">Zhao et al., 2021; </w:t>
      </w:r>
      <w:r w:rsidRPr="00FB5C0E">
        <w:rPr>
          <w:bCs/>
          <w:lang w:val="en-US"/>
        </w:rPr>
        <w:t>Jain and Pandey, 2025</w:t>
      </w:r>
      <w:r w:rsidRPr="00FB5C0E">
        <w:rPr>
          <w:lang w:val="en-US"/>
        </w:rPr>
        <w:t>)</w:t>
      </w:r>
      <w:r w:rsidR="006F23D2" w:rsidRPr="00FB5C0E">
        <w:rPr>
          <w:lang w:val="en-US"/>
        </w:rPr>
        <w:t>.</w:t>
      </w:r>
    </w:p>
    <w:p w14:paraId="4A220F25" w14:textId="1F368A6C" w:rsidR="00CE14B3" w:rsidRPr="00FB5C0E" w:rsidRDefault="00CE14B3" w:rsidP="001D4E67">
      <w:pPr>
        <w:pStyle w:val="EstiloActa"/>
        <w:spacing w:before="100" w:beforeAutospacing="1" w:after="100" w:afterAutospacing="1"/>
        <w:ind w:firstLine="709"/>
        <w:jc w:val="both"/>
        <w:rPr>
          <w:b/>
          <w:lang w:val="en-US"/>
        </w:rPr>
      </w:pPr>
      <w:r w:rsidRPr="00FB5C0E">
        <w:rPr>
          <w:lang w:val="en-US"/>
        </w:rPr>
        <w:t>There are alternatives that can increase production such as</w:t>
      </w:r>
      <w:r w:rsidR="001530D9" w:rsidRPr="00FB5C0E">
        <w:rPr>
          <w:lang w:val="en-US"/>
        </w:rPr>
        <w:t xml:space="preserve"> </w:t>
      </w:r>
      <w:proofErr w:type="spellStart"/>
      <w:r w:rsidR="001530D9" w:rsidRPr="00FB5C0E">
        <w:rPr>
          <w:lang w:val="en-US"/>
        </w:rPr>
        <w:t>brassinosteroids</w:t>
      </w:r>
      <w:proofErr w:type="spellEnd"/>
      <w:r w:rsidR="001530D9" w:rsidRPr="00FB5C0E">
        <w:rPr>
          <w:lang w:val="en-US"/>
        </w:rPr>
        <w:t xml:space="preserve"> (plant steroid hormones)</w:t>
      </w:r>
      <w:r w:rsidRPr="00FB5C0E">
        <w:rPr>
          <w:lang w:val="en-US"/>
        </w:rPr>
        <w:t xml:space="preserve"> that participate in different processes of plant growth. Approximately 40 types of compounds are known, structurally and functionally related to </w:t>
      </w:r>
      <w:proofErr w:type="spellStart"/>
      <w:r w:rsidRPr="00FB5C0E">
        <w:rPr>
          <w:lang w:val="en-US"/>
        </w:rPr>
        <w:t>brassinosteroids</w:t>
      </w:r>
      <w:proofErr w:type="spellEnd"/>
      <w:r w:rsidRPr="00FB5C0E">
        <w:rPr>
          <w:lang w:val="en-US"/>
        </w:rPr>
        <w:t>, that have applications in agriculture, promoting plant growth, germination, nitrogen fixation, senescence, abscission, and stress tolerance (</w:t>
      </w:r>
      <w:proofErr w:type="spellStart"/>
      <w:r w:rsidR="001530D9" w:rsidRPr="00FB5C0E">
        <w:rPr>
          <w:bCs/>
          <w:lang w:val="en-US"/>
        </w:rPr>
        <w:t>Anastassiadou</w:t>
      </w:r>
      <w:proofErr w:type="spellEnd"/>
      <w:r w:rsidR="001530D9" w:rsidRPr="00FB5C0E">
        <w:rPr>
          <w:bCs/>
          <w:lang w:val="en-US"/>
        </w:rPr>
        <w:t xml:space="preserve"> et al., 2020; Darvish et al., 2021; </w:t>
      </w:r>
      <w:r w:rsidR="001530D9" w:rsidRPr="00FB5C0E">
        <w:rPr>
          <w:bCs/>
          <w:lang w:val="en-US"/>
        </w:rPr>
        <w:lastRenderedPageBreak/>
        <w:t>Ren et al., 2021; Deng et al., 2022; Chen et al.,2024; Garrido-</w:t>
      </w:r>
      <w:proofErr w:type="spellStart"/>
      <w:r w:rsidR="001530D9" w:rsidRPr="00FB5C0E">
        <w:rPr>
          <w:bCs/>
          <w:lang w:val="en-US"/>
        </w:rPr>
        <w:t>Auñón</w:t>
      </w:r>
      <w:proofErr w:type="spellEnd"/>
      <w:r w:rsidR="001530D9" w:rsidRPr="00FB5C0E">
        <w:rPr>
          <w:bCs/>
          <w:lang w:val="en-US"/>
        </w:rPr>
        <w:t xml:space="preserve"> et al., 2024</w:t>
      </w:r>
      <w:r w:rsidRPr="00FB5C0E">
        <w:rPr>
          <w:lang w:val="en-US"/>
        </w:rPr>
        <w:t xml:space="preserve">). The family of plant growth promoters of the 22-oxocholestanic compound, an analogue of </w:t>
      </w:r>
      <w:proofErr w:type="spellStart"/>
      <w:r w:rsidRPr="00FB5C0E">
        <w:rPr>
          <w:lang w:val="en-US"/>
        </w:rPr>
        <w:t>brassinosteroids</w:t>
      </w:r>
      <w:proofErr w:type="spellEnd"/>
      <w:r w:rsidRPr="00FB5C0E">
        <w:rPr>
          <w:lang w:val="en-US"/>
        </w:rPr>
        <w:t xml:space="preserve">, stands out at a comparative level of the </w:t>
      </w:r>
      <w:proofErr w:type="spellStart"/>
      <w:r w:rsidRPr="00FB5C0E">
        <w:rPr>
          <w:lang w:val="en-US"/>
        </w:rPr>
        <w:t>brassinosteroids</w:t>
      </w:r>
      <w:proofErr w:type="spellEnd"/>
      <w:r w:rsidRPr="00FB5C0E">
        <w:rPr>
          <w:lang w:val="en-US"/>
        </w:rPr>
        <w:t xml:space="preserve"> </w:t>
      </w:r>
      <w:proofErr w:type="spellStart"/>
      <w:r w:rsidRPr="00FB5C0E">
        <w:rPr>
          <w:lang w:val="en-US"/>
        </w:rPr>
        <w:t>brassinolide</w:t>
      </w:r>
      <w:proofErr w:type="spellEnd"/>
      <w:r w:rsidRPr="00FB5C0E">
        <w:rPr>
          <w:lang w:val="en-US"/>
        </w:rPr>
        <w:t xml:space="preserve"> and </w:t>
      </w:r>
      <w:proofErr w:type="spellStart"/>
      <w:r w:rsidRPr="00FB5C0E">
        <w:rPr>
          <w:lang w:val="en-US"/>
        </w:rPr>
        <w:t>homobrassinolide</w:t>
      </w:r>
      <w:proofErr w:type="spellEnd"/>
      <w:r w:rsidRPr="00FB5C0E">
        <w:rPr>
          <w:lang w:val="en-US"/>
        </w:rPr>
        <w:t xml:space="preserve"> (</w:t>
      </w:r>
      <w:proofErr w:type="spellStart"/>
      <w:r w:rsidRPr="00FB5C0E">
        <w:rPr>
          <w:lang w:val="en-US"/>
        </w:rPr>
        <w:t>Zeferino</w:t>
      </w:r>
      <w:proofErr w:type="spellEnd"/>
      <w:r w:rsidR="00255EB5" w:rsidRPr="00FB5C0E">
        <w:rPr>
          <w:lang w:val="en-US"/>
        </w:rPr>
        <w:t>-Díaz</w:t>
      </w:r>
      <w:r w:rsidRPr="00FB5C0E">
        <w:rPr>
          <w:lang w:val="en-US"/>
        </w:rPr>
        <w:t xml:space="preserve"> et al.,</w:t>
      </w:r>
      <w:r w:rsidR="00255EB5" w:rsidRPr="00FB5C0E">
        <w:rPr>
          <w:lang w:val="en-US"/>
        </w:rPr>
        <w:t xml:space="preserve"> </w:t>
      </w:r>
      <w:r w:rsidRPr="00FB5C0E">
        <w:rPr>
          <w:lang w:val="en-US"/>
        </w:rPr>
        <w:t>2017).</w:t>
      </w:r>
    </w:p>
    <w:p w14:paraId="17ABD117" w14:textId="558B6589" w:rsidR="00CE14B3" w:rsidRPr="00FB5C0E" w:rsidRDefault="00CE14B3" w:rsidP="001D4E67">
      <w:pPr>
        <w:pStyle w:val="EstiloActa"/>
        <w:spacing w:before="100" w:beforeAutospacing="1" w:after="100" w:afterAutospacing="1"/>
        <w:ind w:firstLine="709"/>
        <w:jc w:val="both"/>
        <w:rPr>
          <w:b/>
          <w:lang w:val="en-US"/>
        </w:rPr>
      </w:pPr>
      <w:r w:rsidRPr="00FB5C0E">
        <w:rPr>
          <w:lang w:val="en-US"/>
        </w:rPr>
        <w:t xml:space="preserve">These compounds have a potent growth-promoting activity similar to </w:t>
      </w:r>
      <w:proofErr w:type="spellStart"/>
      <w:r w:rsidRPr="00FB5C0E">
        <w:rPr>
          <w:lang w:val="en-US"/>
        </w:rPr>
        <w:t>brassinosteroids</w:t>
      </w:r>
      <w:proofErr w:type="spellEnd"/>
      <w:r w:rsidRPr="00FB5C0E">
        <w:rPr>
          <w:lang w:val="en-US"/>
        </w:rPr>
        <w:t xml:space="preserve"> in </w:t>
      </w:r>
      <w:r w:rsidR="0033555F" w:rsidRPr="00FB5C0E">
        <w:rPr>
          <w:lang w:val="en-US"/>
        </w:rPr>
        <w:t>rice lamina inclination test</w:t>
      </w:r>
      <w:r w:rsidRPr="00FB5C0E">
        <w:rPr>
          <w:lang w:val="en-US"/>
        </w:rPr>
        <w:t xml:space="preserve">. This activity is related because they act on the BRI 1 receptor, the same one in which </w:t>
      </w:r>
      <w:proofErr w:type="spellStart"/>
      <w:r w:rsidRPr="00FB5C0E">
        <w:rPr>
          <w:lang w:val="en-US"/>
        </w:rPr>
        <w:t>brassinosteroids</w:t>
      </w:r>
      <w:proofErr w:type="spellEnd"/>
      <w:r w:rsidRPr="00FB5C0E">
        <w:rPr>
          <w:lang w:val="en-US"/>
        </w:rPr>
        <w:t xml:space="preserve"> act (</w:t>
      </w:r>
      <w:proofErr w:type="spellStart"/>
      <w:r w:rsidRPr="00FB5C0E">
        <w:rPr>
          <w:lang w:val="en-US"/>
        </w:rPr>
        <w:t>Zeferino</w:t>
      </w:r>
      <w:proofErr w:type="spellEnd"/>
      <w:r w:rsidR="00255EB5" w:rsidRPr="00FB5C0E">
        <w:rPr>
          <w:lang w:val="en-US"/>
        </w:rPr>
        <w:t>-Díaz</w:t>
      </w:r>
      <w:r w:rsidRPr="00FB5C0E">
        <w:rPr>
          <w:lang w:val="en-US"/>
        </w:rPr>
        <w:t xml:space="preserve"> et al., 2015). The activity of the new Steroidal Plant Growth Promoters (SPGP) against phytopathogens was also evaluated </w:t>
      </w:r>
      <w:r w:rsidRPr="00FB5C0E">
        <w:rPr>
          <w:i/>
          <w:iCs/>
          <w:lang w:val="en-US"/>
        </w:rPr>
        <w:t>in silico</w:t>
      </w:r>
      <w:r w:rsidRPr="00FB5C0E">
        <w:rPr>
          <w:lang w:val="en-US"/>
        </w:rPr>
        <w:t xml:space="preserve"> molecular docking; these tests were carried out with the chitinase B and 1,3-</w:t>
      </w:r>
      <w:r w:rsidRPr="001D4E67">
        <w:t>β</w:t>
      </w:r>
      <w:r w:rsidRPr="00FB5C0E">
        <w:rPr>
          <w:lang w:val="en-US"/>
        </w:rPr>
        <w:t>-</w:t>
      </w:r>
      <w:proofErr w:type="spellStart"/>
      <w:r w:rsidRPr="00FB5C0E">
        <w:rPr>
          <w:lang w:val="en-US"/>
        </w:rPr>
        <w:t>glucanase</w:t>
      </w:r>
      <w:proofErr w:type="spellEnd"/>
      <w:r w:rsidRPr="00FB5C0E">
        <w:rPr>
          <w:lang w:val="en-US"/>
        </w:rPr>
        <w:t xml:space="preserve"> enzymes of the phytopathogens. Furthermore, this SPGP does not affect symbiotic fungi that </w:t>
      </w:r>
      <w:r w:rsidR="000410E6" w:rsidRPr="00FB5C0E">
        <w:rPr>
          <w:lang w:val="en-US"/>
        </w:rPr>
        <w:t>is</w:t>
      </w:r>
      <w:r w:rsidRPr="00FB5C0E">
        <w:rPr>
          <w:lang w:val="en-US"/>
        </w:rPr>
        <w:t xml:space="preserve"> beneficial to the natural plant system.</w:t>
      </w:r>
    </w:p>
    <w:p w14:paraId="3581203F" w14:textId="7F0CE933" w:rsidR="00CE14B3" w:rsidRPr="00FB5C0E" w:rsidRDefault="00CE14B3" w:rsidP="001D4E67">
      <w:pPr>
        <w:pStyle w:val="EstiloActa"/>
        <w:spacing w:before="100" w:beforeAutospacing="1" w:after="100" w:afterAutospacing="1"/>
        <w:ind w:firstLine="709"/>
        <w:jc w:val="both"/>
        <w:rPr>
          <w:b/>
          <w:lang w:val="en-US"/>
        </w:rPr>
      </w:pPr>
      <w:r w:rsidRPr="00FB5C0E">
        <w:rPr>
          <w:lang w:val="en-US"/>
        </w:rPr>
        <w:t>Microorganisms are essential for maintaining soil function</w:t>
      </w:r>
      <w:r w:rsidR="008310B1" w:rsidRPr="00FB5C0E">
        <w:rPr>
          <w:lang w:val="en-US"/>
        </w:rPr>
        <w:t>s</w:t>
      </w:r>
      <w:r w:rsidRPr="00FB5C0E">
        <w:rPr>
          <w:lang w:val="en-US"/>
        </w:rPr>
        <w:t xml:space="preserve">, due to their participation in key processes such as maintaining its structure through the formation of aggregates, decomposition of organic matter, </w:t>
      </w:r>
      <w:r w:rsidR="008310B1" w:rsidRPr="00FB5C0E">
        <w:rPr>
          <w:lang w:val="en-US"/>
        </w:rPr>
        <w:t>detoxification</w:t>
      </w:r>
      <w:r w:rsidRPr="00FB5C0E">
        <w:rPr>
          <w:lang w:val="en-US"/>
        </w:rPr>
        <w:t>, and the nutrient cycle, mainly carbon, nitrogen, phosphorus, and sulfur. Furthermore, microorganisms play key roles in suppressing soil-borne plant pathogens, promoting plant growth, and changing vegetation (</w:t>
      </w:r>
      <w:proofErr w:type="spellStart"/>
      <w:r w:rsidRPr="00FB5C0E">
        <w:rPr>
          <w:bCs/>
          <w:shd w:val="clear" w:color="auto" w:fill="FFFFFF"/>
          <w:lang w:val="en-US"/>
        </w:rPr>
        <w:t>Guseva</w:t>
      </w:r>
      <w:proofErr w:type="spellEnd"/>
      <w:r w:rsidRPr="00FB5C0E">
        <w:rPr>
          <w:bCs/>
          <w:lang w:val="en-US"/>
        </w:rPr>
        <w:t xml:space="preserve"> et al., 2022</w:t>
      </w:r>
      <w:r w:rsidRPr="00FB5C0E">
        <w:rPr>
          <w:lang w:val="en-US"/>
        </w:rPr>
        <w:t>). Soil is an important source of nutrients for crops and helps plant growth by providing nutrients, as well as for the biocontrol of pests and diseases, so soil microorganisms are essential for all these functions through their participation in biogeochemical cycles to contribute to plant nutrition and soil health (</w:t>
      </w:r>
      <w:proofErr w:type="spellStart"/>
      <w:r w:rsidRPr="00FB5C0E">
        <w:rPr>
          <w:bCs/>
          <w:shd w:val="clear" w:color="auto" w:fill="FFFFFF"/>
          <w:lang w:val="en-US"/>
        </w:rPr>
        <w:t>Clagnan</w:t>
      </w:r>
      <w:proofErr w:type="spellEnd"/>
      <w:r w:rsidRPr="00FB5C0E">
        <w:rPr>
          <w:bCs/>
          <w:shd w:val="clear" w:color="auto" w:fill="FFFFFF"/>
          <w:lang w:val="en-US"/>
        </w:rPr>
        <w:t xml:space="preserve"> et al., 2024</w:t>
      </w:r>
      <w:r w:rsidRPr="00FB5C0E">
        <w:rPr>
          <w:lang w:val="en-US"/>
        </w:rPr>
        <w:t xml:space="preserve">). The application of pesticides </w:t>
      </w:r>
      <w:r w:rsidR="008310B1" w:rsidRPr="00FB5C0E">
        <w:rPr>
          <w:lang w:val="en-US"/>
        </w:rPr>
        <w:t>(</w:t>
      </w:r>
      <w:r w:rsidRPr="00FB5C0E">
        <w:rPr>
          <w:lang w:val="en-US"/>
        </w:rPr>
        <w:t>amendments with chitin, compost or manure</w:t>
      </w:r>
      <w:r w:rsidR="008310B1" w:rsidRPr="00FB5C0E">
        <w:rPr>
          <w:lang w:val="en-US"/>
        </w:rPr>
        <w:t>)</w:t>
      </w:r>
      <w:r w:rsidRPr="00FB5C0E">
        <w:rPr>
          <w:lang w:val="en-US"/>
        </w:rPr>
        <w:t xml:space="preserve"> and the introduction of genetically modified microorganisms have been shown to affect soil microbial community structures </w:t>
      </w:r>
      <w:r w:rsidRPr="00FB5C0E">
        <w:rPr>
          <w:lang w:val="en-US"/>
        </w:rPr>
        <w:lastRenderedPageBreak/>
        <w:t>(</w:t>
      </w:r>
      <w:proofErr w:type="spellStart"/>
      <w:r w:rsidRPr="00FB5C0E">
        <w:rPr>
          <w:bCs/>
          <w:shd w:val="clear" w:color="auto" w:fill="FFFFFF"/>
          <w:lang w:val="en-US"/>
        </w:rPr>
        <w:t>Guseva</w:t>
      </w:r>
      <w:proofErr w:type="spellEnd"/>
      <w:r w:rsidRPr="00FB5C0E">
        <w:rPr>
          <w:bCs/>
          <w:lang w:val="en-US"/>
        </w:rPr>
        <w:t xml:space="preserve"> et al., 2022</w:t>
      </w:r>
      <w:r w:rsidRPr="00FB5C0E">
        <w:rPr>
          <w:lang w:val="en-US"/>
        </w:rPr>
        <w:t>). Therefore, the objective of this work is to determine the effect of the application of the compound 22-Oxocholestanes SPGP4 on the microbiota of soils cultivated with maize and beans.</w:t>
      </w:r>
    </w:p>
    <w:p w14:paraId="35BECFE7" w14:textId="77777777" w:rsidR="00B40CCC" w:rsidRPr="001D4E67" w:rsidRDefault="00B40CCC" w:rsidP="001D4E67">
      <w:pPr>
        <w:shd w:val="clear" w:color="auto" w:fill="FFFFFF"/>
        <w:spacing w:line="480" w:lineRule="auto"/>
        <w:rPr>
          <w:b/>
          <w:u w:color="000000"/>
          <w:lang w:val="en-US" w:eastAsia="es-ES"/>
        </w:rPr>
      </w:pPr>
      <w:r w:rsidRPr="001D4E67">
        <w:rPr>
          <w:b/>
          <w:u w:color="000000"/>
          <w:lang w:val="en-US" w:eastAsia="es-ES"/>
        </w:rPr>
        <w:t>MATERIALS AND METHODS</w:t>
      </w:r>
    </w:p>
    <w:p w14:paraId="743AA18A" w14:textId="77777777" w:rsidR="00CE14B3" w:rsidRPr="00FB5C0E" w:rsidRDefault="00CE14B3" w:rsidP="001D4E67">
      <w:pPr>
        <w:pStyle w:val="EstiloActa"/>
        <w:rPr>
          <w:b/>
          <w:bCs/>
          <w:lang w:val="en-US"/>
        </w:rPr>
      </w:pPr>
      <w:r w:rsidRPr="00FB5C0E">
        <w:rPr>
          <w:b/>
          <w:bCs/>
          <w:lang w:val="en-US"/>
        </w:rPr>
        <w:t>Maize and bean plants used in this study</w:t>
      </w:r>
    </w:p>
    <w:p w14:paraId="0854160F" w14:textId="08A64F5E" w:rsidR="00CE14B3" w:rsidRPr="00FB5C0E" w:rsidRDefault="00CE14B3" w:rsidP="001D4E67">
      <w:pPr>
        <w:pStyle w:val="EstiloActa"/>
        <w:spacing w:before="100" w:beforeAutospacing="1" w:after="100" w:afterAutospacing="1"/>
        <w:ind w:firstLine="709"/>
        <w:jc w:val="both"/>
        <w:rPr>
          <w:b/>
          <w:lang w:val="en-US"/>
        </w:rPr>
      </w:pPr>
      <w:r w:rsidRPr="00FB5C0E">
        <w:rPr>
          <w:lang w:val="en-US"/>
        </w:rPr>
        <w:t>Maize (</w:t>
      </w:r>
      <w:proofErr w:type="spellStart"/>
      <w:r w:rsidR="008310B1" w:rsidRPr="00FB5C0E">
        <w:rPr>
          <w:lang w:val="en-US"/>
        </w:rPr>
        <w:t>Z</w:t>
      </w:r>
      <w:r w:rsidRPr="00FB5C0E">
        <w:rPr>
          <w:lang w:val="en-US"/>
        </w:rPr>
        <w:t>apalote</w:t>
      </w:r>
      <w:proofErr w:type="spellEnd"/>
      <w:r w:rsidRPr="00FB5C0E">
        <w:rPr>
          <w:lang w:val="en-US"/>
        </w:rPr>
        <w:t xml:space="preserve"> chico) and beans (</w:t>
      </w:r>
      <w:proofErr w:type="spellStart"/>
      <w:r w:rsidR="008310B1" w:rsidRPr="00FB5C0E">
        <w:rPr>
          <w:lang w:val="en-US"/>
        </w:rPr>
        <w:t>C</w:t>
      </w:r>
      <w:r w:rsidRPr="00FB5C0E">
        <w:rPr>
          <w:lang w:val="en-US"/>
        </w:rPr>
        <w:t>uarentano</w:t>
      </w:r>
      <w:proofErr w:type="spellEnd"/>
      <w:r w:rsidRPr="00FB5C0E">
        <w:rPr>
          <w:lang w:val="en-US"/>
        </w:rPr>
        <w:t>) seeds were used and placed in a container with a solution of the plant growth promoter 22-Oxocholestanes SPGP4 at a concentration of 0.5 mg/L (Balbuena</w:t>
      </w:r>
      <w:r w:rsidR="00796D6D" w:rsidRPr="00FB5C0E">
        <w:rPr>
          <w:lang w:val="en-US"/>
        </w:rPr>
        <w:t>-Hernández</w:t>
      </w:r>
      <w:r w:rsidRPr="00FB5C0E">
        <w:rPr>
          <w:lang w:val="en-US"/>
        </w:rPr>
        <w:t xml:space="preserve"> et al., 2023). Subsequently, the compound was applied by </w:t>
      </w:r>
      <w:r w:rsidR="008310B1" w:rsidRPr="00FB5C0E">
        <w:rPr>
          <w:lang w:val="en-US"/>
        </w:rPr>
        <w:t>spraying</w:t>
      </w:r>
      <w:r w:rsidRPr="00FB5C0E">
        <w:rPr>
          <w:lang w:val="en-US"/>
        </w:rPr>
        <w:t xml:space="preserve"> the corn and bean plants 45 days after sowing.</w:t>
      </w:r>
    </w:p>
    <w:p w14:paraId="1CDEF8B8" w14:textId="77777777" w:rsidR="00CE14B3" w:rsidRPr="00FB5C0E" w:rsidRDefault="00CE14B3" w:rsidP="001D4E67">
      <w:pPr>
        <w:pStyle w:val="EstiloActa"/>
        <w:rPr>
          <w:b/>
          <w:bCs/>
          <w:lang w:val="en-US"/>
        </w:rPr>
      </w:pPr>
      <w:r w:rsidRPr="00FB5C0E">
        <w:rPr>
          <w:b/>
          <w:bCs/>
          <w:lang w:val="en-US"/>
        </w:rPr>
        <w:t>Soil collection</w:t>
      </w:r>
    </w:p>
    <w:p w14:paraId="30F87852" w14:textId="77777777" w:rsidR="00CE14B3" w:rsidRPr="00FB5C0E" w:rsidRDefault="00CE14B3" w:rsidP="001D4E67">
      <w:pPr>
        <w:pStyle w:val="EstiloActa"/>
        <w:spacing w:before="100" w:beforeAutospacing="1" w:after="100" w:afterAutospacing="1"/>
        <w:ind w:firstLine="709"/>
        <w:jc w:val="both"/>
        <w:rPr>
          <w:b/>
          <w:lang w:val="en-US"/>
        </w:rPr>
      </w:pPr>
      <w:r w:rsidRPr="00FB5C0E">
        <w:rPr>
          <w:lang w:val="en-US"/>
        </w:rPr>
        <w:t xml:space="preserve">Soil samples were collected from plots located in the municipality of Santo Domingo </w:t>
      </w:r>
      <w:proofErr w:type="spellStart"/>
      <w:r w:rsidRPr="00FB5C0E">
        <w:rPr>
          <w:lang w:val="en-US"/>
        </w:rPr>
        <w:t>Ingenio</w:t>
      </w:r>
      <w:proofErr w:type="spellEnd"/>
      <w:r w:rsidRPr="00FB5C0E">
        <w:rPr>
          <w:lang w:val="en-US"/>
        </w:rPr>
        <w:t>, Oaxaca State, Mexico, at the following coordinates: 19°24'41'' N 94°44'48'' W, 16°35'15'' N 94°45'49'' W, and 16°34'22'' N 94°47'02'' W. Sampling consisted of collecting samples from five different points in each plot. Two sampling events were conducted: the first before the application of the plant growth promoter 22-Oxocholestanes SPGP4 and the second after application. The samples were identified as follows: Soil before planting (Basal), Soil without application of the plant growth promoter 22-Oxocholestanes (Control), and Soil with application of the plant growth promoter 22-Oxocholestanes (Treatment).</w:t>
      </w:r>
    </w:p>
    <w:p w14:paraId="472CB496" w14:textId="77777777" w:rsidR="00CE14B3" w:rsidRPr="00FB5C0E" w:rsidRDefault="00CE14B3" w:rsidP="001D4E67">
      <w:pPr>
        <w:pStyle w:val="EstiloActa"/>
        <w:rPr>
          <w:b/>
          <w:bCs/>
          <w:lang w:val="en-US"/>
        </w:rPr>
      </w:pPr>
      <w:r w:rsidRPr="00FB5C0E">
        <w:rPr>
          <w:b/>
          <w:bCs/>
          <w:lang w:val="en-US"/>
        </w:rPr>
        <w:t>Soil preparation and DNA extraction</w:t>
      </w:r>
    </w:p>
    <w:p w14:paraId="1918AD52" w14:textId="77777777" w:rsidR="00CE14B3" w:rsidRPr="00FB5C0E" w:rsidRDefault="00CE14B3" w:rsidP="001D4E67">
      <w:pPr>
        <w:pStyle w:val="EstiloActa"/>
        <w:spacing w:before="100" w:beforeAutospacing="1" w:after="100" w:afterAutospacing="1"/>
        <w:ind w:firstLine="709"/>
        <w:rPr>
          <w:bCs/>
          <w:lang w:val="en-US"/>
        </w:rPr>
      </w:pPr>
      <w:r w:rsidRPr="00FB5C0E">
        <w:rPr>
          <w:lang w:val="en-US"/>
        </w:rPr>
        <w:lastRenderedPageBreak/>
        <w:t xml:space="preserve">The soil samples from each plot were dried and sifted with a 2 mm sieve to obtain homogeneous samples. For DNA extraction, 10 g samples were taken from each of the plots and were processed with the </w:t>
      </w:r>
      <w:proofErr w:type="spellStart"/>
      <w:r w:rsidRPr="00FB5C0E">
        <w:rPr>
          <w:lang w:val="en-US"/>
        </w:rPr>
        <w:t>Dneasy</w:t>
      </w:r>
      <w:proofErr w:type="spellEnd"/>
      <w:r w:rsidRPr="00FB5C0E">
        <w:rPr>
          <w:lang w:val="en-US"/>
        </w:rPr>
        <w:t xml:space="preserve"> </w:t>
      </w:r>
      <w:proofErr w:type="spellStart"/>
      <w:r w:rsidRPr="00FB5C0E">
        <w:rPr>
          <w:lang w:val="en-US"/>
        </w:rPr>
        <w:t>PowerMax</w:t>
      </w:r>
      <w:proofErr w:type="spellEnd"/>
      <w:r w:rsidRPr="00FB5C0E">
        <w:rPr>
          <w:lang w:val="en-US"/>
        </w:rPr>
        <w:t xml:space="preserve"> Soil kit according to the manufacturer's instructions. The DNA obtained was stored at -20 °C.</w:t>
      </w:r>
    </w:p>
    <w:p w14:paraId="62BDD98F" w14:textId="77777777" w:rsidR="00CE14B3" w:rsidRPr="00FB5C0E" w:rsidRDefault="00CE14B3" w:rsidP="001D4E67">
      <w:pPr>
        <w:pStyle w:val="EstiloActa"/>
        <w:rPr>
          <w:b/>
          <w:bCs/>
          <w:i/>
          <w:iCs/>
          <w:lang w:val="en-US"/>
        </w:rPr>
      </w:pPr>
      <w:r w:rsidRPr="00FB5C0E">
        <w:rPr>
          <w:b/>
          <w:bCs/>
          <w:lang w:val="en-US"/>
        </w:rPr>
        <w:t>Library preparation and sequencing</w:t>
      </w:r>
    </w:p>
    <w:p w14:paraId="28503AB0" w14:textId="04A8AE06" w:rsidR="00CE14B3" w:rsidRPr="00FB5C0E" w:rsidRDefault="00CE14B3" w:rsidP="001D4E67">
      <w:pPr>
        <w:pStyle w:val="EstiloActa"/>
        <w:spacing w:before="100" w:beforeAutospacing="1" w:after="100" w:afterAutospacing="1"/>
        <w:ind w:firstLine="709"/>
        <w:jc w:val="both"/>
        <w:rPr>
          <w:b/>
          <w:lang w:val="en-US"/>
        </w:rPr>
      </w:pPr>
      <w:r w:rsidRPr="00FB5C0E">
        <w:rPr>
          <w:lang w:val="en-US"/>
        </w:rPr>
        <w:t xml:space="preserve">DNA was quantified with a Qubit 3.0 fluorometer using the Qubit dsDNA HS assay kit (Life Technologies, Carlsbad, CA, USA). </w:t>
      </w:r>
      <w:r w:rsidR="004706F8" w:rsidRPr="00FB5C0E">
        <w:rPr>
          <w:lang w:val="en-US"/>
        </w:rPr>
        <w:t xml:space="preserve">For the sequencing of the amplicons of the soil DNA samples, the oligonucleotides of variable regions 3 and 4 of the 16S rRNA gene and the ITS regions were used, respectively. </w:t>
      </w:r>
      <w:r w:rsidRPr="00FB5C0E">
        <w:rPr>
          <w:lang w:val="en-US"/>
        </w:rPr>
        <w:t>(</w:t>
      </w:r>
      <w:proofErr w:type="spellStart"/>
      <w:r w:rsidRPr="00FB5C0E">
        <w:rPr>
          <w:lang w:val="en-US"/>
        </w:rPr>
        <w:t>Klindworth</w:t>
      </w:r>
      <w:proofErr w:type="spellEnd"/>
      <w:r w:rsidRPr="00FB5C0E">
        <w:rPr>
          <w:lang w:val="en-US"/>
        </w:rPr>
        <w:t xml:space="preserve"> et al., 2013). Amplicon libraries were constructed as described in the Illumina Sequencing Library Preparation Protocol for 16S and ITS (Illumina, Inc., San Diego, CA, USA) and sequenced on the Illumina </w:t>
      </w:r>
      <w:proofErr w:type="spellStart"/>
      <w:r w:rsidRPr="00FB5C0E">
        <w:rPr>
          <w:lang w:val="en-US"/>
        </w:rPr>
        <w:t>MiSeq</w:t>
      </w:r>
      <w:proofErr w:type="spellEnd"/>
      <w:r w:rsidRPr="00FB5C0E">
        <w:rPr>
          <w:lang w:val="en-US"/>
        </w:rPr>
        <w:t xml:space="preserve"> platform (Illumina, Inc., San Diego, CA, USA) with a 600-cycle paired-end read configuration. Reads passing the QC filters (read quality ¼ Q20) were used to reconstruct the original amplicon region (450–490 bp).</w:t>
      </w:r>
    </w:p>
    <w:p w14:paraId="28E82F75" w14:textId="77777777" w:rsidR="00CE14B3" w:rsidRPr="00FB5C0E" w:rsidRDefault="00CE14B3" w:rsidP="001D4E67">
      <w:pPr>
        <w:pStyle w:val="EstiloActa"/>
        <w:rPr>
          <w:b/>
          <w:bCs/>
          <w:lang w:val="en-US"/>
        </w:rPr>
      </w:pPr>
      <w:r w:rsidRPr="00FB5C0E">
        <w:rPr>
          <w:b/>
          <w:bCs/>
          <w:lang w:val="en-US"/>
        </w:rPr>
        <w:t xml:space="preserve">Bioinformatic analysis </w:t>
      </w:r>
    </w:p>
    <w:p w14:paraId="6E7153D9" w14:textId="785511B7" w:rsidR="00CE14B3" w:rsidRPr="00FB5C0E" w:rsidRDefault="00CE14B3" w:rsidP="001D4E67">
      <w:pPr>
        <w:pStyle w:val="EstiloActa"/>
        <w:spacing w:before="100" w:beforeAutospacing="1" w:after="100" w:afterAutospacing="1"/>
        <w:ind w:firstLine="709"/>
        <w:jc w:val="both"/>
        <w:rPr>
          <w:bCs/>
          <w:lang w:val="en-US"/>
        </w:rPr>
      </w:pPr>
      <w:r w:rsidRPr="00FB5C0E">
        <w:rPr>
          <w:lang w:val="en-US"/>
        </w:rPr>
        <w:t xml:space="preserve">The Illumina paired-end raw reads (2x300) were processed using the QIIME2 pipeline. The amplicon sequences variants (ASVs) were resolved using the DADA2 plugin (Callahan et al., 2016), with the following parameters for the 16S libraries: </w:t>
      </w:r>
      <w:r w:rsidR="00D54A4A" w:rsidRPr="00FB5C0E">
        <w:rPr>
          <w:lang w:val="en-US"/>
        </w:rPr>
        <w:t>truncation length</w:t>
      </w:r>
      <w:r w:rsidRPr="00FB5C0E">
        <w:rPr>
          <w:lang w:val="en-US"/>
        </w:rPr>
        <w:t xml:space="preserve"> 280, truncation length reverse 200, trim left 30, trim left reverse 30, min overlap 12 and chimera method consensus”. For the ITS libraries, the following parameters were used: “truncation length 220, truncation length reverse 200, trim left 20, trim left reverse 20 min </w:t>
      </w:r>
      <w:r w:rsidRPr="00FB5C0E">
        <w:rPr>
          <w:lang w:val="en-US"/>
        </w:rPr>
        <w:lastRenderedPageBreak/>
        <w:t>overlap 12 and chimera method consensus”. Representative ASVs were classified using the V-SEARCH plugin (</w:t>
      </w:r>
      <w:proofErr w:type="spellStart"/>
      <w:r w:rsidRPr="00FB5C0E">
        <w:rPr>
          <w:lang w:val="en-US"/>
        </w:rPr>
        <w:t>Rognes</w:t>
      </w:r>
      <w:proofErr w:type="spellEnd"/>
      <w:r w:rsidRPr="00FB5C0E">
        <w:rPr>
          <w:lang w:val="en-US"/>
        </w:rPr>
        <w:t xml:space="preserve"> et al., 2016), utilizing the SILVA 138 database (</w:t>
      </w:r>
      <w:proofErr w:type="spellStart"/>
      <w:r w:rsidRPr="00FB5C0E">
        <w:rPr>
          <w:lang w:val="en-US"/>
        </w:rPr>
        <w:t>Glöckner</w:t>
      </w:r>
      <w:proofErr w:type="spellEnd"/>
      <w:r w:rsidRPr="00FB5C0E">
        <w:rPr>
          <w:lang w:val="en-US"/>
        </w:rPr>
        <w:t xml:space="preserve"> et al., 2017) for 16S and the UNITE 9.0 database (Nilsson et al., 2019) for ITS. For each data type, a phylogeny of the representative ASVs was performed using the align to tree </w:t>
      </w:r>
      <w:proofErr w:type="spellStart"/>
      <w:r w:rsidRPr="00FB5C0E">
        <w:rPr>
          <w:lang w:val="en-US"/>
        </w:rPr>
        <w:t>mafft</w:t>
      </w:r>
      <w:proofErr w:type="spellEnd"/>
      <w:r w:rsidRPr="00FB5C0E">
        <w:rPr>
          <w:lang w:val="en-US"/>
        </w:rPr>
        <w:t xml:space="preserve"> </w:t>
      </w:r>
      <w:proofErr w:type="spellStart"/>
      <w:r w:rsidRPr="00FB5C0E">
        <w:rPr>
          <w:lang w:val="en-US"/>
        </w:rPr>
        <w:t>fasttree</w:t>
      </w:r>
      <w:proofErr w:type="spellEnd"/>
      <w:r w:rsidRPr="00FB5C0E">
        <w:rPr>
          <w:lang w:val="en-US"/>
        </w:rPr>
        <w:t xml:space="preserve"> plugin, which performs sequence alignment with the MAFFT program (</w:t>
      </w:r>
      <w:proofErr w:type="spellStart"/>
      <w:r w:rsidRPr="00FB5C0E">
        <w:rPr>
          <w:lang w:val="en-US"/>
        </w:rPr>
        <w:t>Katoh</w:t>
      </w:r>
      <w:proofErr w:type="spellEnd"/>
      <w:r w:rsidRPr="00FB5C0E">
        <w:rPr>
          <w:lang w:val="en-US"/>
        </w:rPr>
        <w:t xml:space="preserve"> and </w:t>
      </w:r>
      <w:proofErr w:type="spellStart"/>
      <w:r w:rsidRPr="00FB5C0E">
        <w:rPr>
          <w:lang w:val="en-US"/>
        </w:rPr>
        <w:t>Toh</w:t>
      </w:r>
      <w:proofErr w:type="spellEnd"/>
      <w:r w:rsidRPr="00FB5C0E">
        <w:rPr>
          <w:lang w:val="en-US"/>
        </w:rPr>
        <w:t>, 2008) and the phylogenetic tree with FastTree2 (Price et al., 2010).</w:t>
      </w:r>
    </w:p>
    <w:p w14:paraId="375C1B8E" w14:textId="2FC4EA6A" w:rsidR="00CE14B3" w:rsidRPr="00FB5C0E" w:rsidRDefault="00CE14B3" w:rsidP="001D4E67">
      <w:pPr>
        <w:pStyle w:val="EstiloActa"/>
        <w:spacing w:before="100" w:beforeAutospacing="1" w:after="100" w:afterAutospacing="1"/>
        <w:ind w:firstLine="709"/>
        <w:jc w:val="both"/>
        <w:rPr>
          <w:rStyle w:val="Cuadrculamedia11"/>
          <w:b/>
          <w:color w:val="auto"/>
          <w:lang w:val="en-US"/>
        </w:rPr>
      </w:pPr>
      <w:r w:rsidRPr="00FB5C0E">
        <w:rPr>
          <w:lang w:val="en-US"/>
        </w:rPr>
        <w:t xml:space="preserve">All data were imported into the R environment using the </w:t>
      </w:r>
      <w:proofErr w:type="spellStart"/>
      <w:r w:rsidRPr="00FB5C0E">
        <w:rPr>
          <w:lang w:val="en-US"/>
        </w:rPr>
        <w:t>phyloseq</w:t>
      </w:r>
      <w:proofErr w:type="spellEnd"/>
      <w:r w:rsidRPr="00FB5C0E">
        <w:rPr>
          <w:lang w:val="en-US"/>
        </w:rPr>
        <w:t xml:space="preserve"> library (</w:t>
      </w:r>
      <w:proofErr w:type="spellStart"/>
      <w:r w:rsidRPr="00FB5C0E">
        <w:rPr>
          <w:lang w:val="en-US"/>
        </w:rPr>
        <w:t>McMurdie</w:t>
      </w:r>
      <w:proofErr w:type="spellEnd"/>
      <w:r w:rsidRPr="00FB5C0E">
        <w:rPr>
          <w:lang w:val="en-US"/>
        </w:rPr>
        <w:t xml:space="preserve"> and Holmes, 2012). </w:t>
      </w:r>
      <w:r w:rsidR="00BE6F24" w:rsidRPr="00FB5C0E">
        <w:rPr>
          <w:lang w:val="en-US"/>
        </w:rPr>
        <w:t>The sample sizes were normalized using the SRS library (</w:t>
      </w:r>
      <w:proofErr w:type="spellStart"/>
      <w:r w:rsidR="00BE6F24" w:rsidRPr="00FB5C0E">
        <w:rPr>
          <w:lang w:val="en-US"/>
        </w:rPr>
        <w:t>Beule</w:t>
      </w:r>
      <w:proofErr w:type="spellEnd"/>
      <w:r w:rsidR="00BE6F24" w:rsidRPr="00FB5C0E">
        <w:rPr>
          <w:lang w:val="en-US"/>
        </w:rPr>
        <w:t xml:space="preserve"> and </w:t>
      </w:r>
      <w:proofErr w:type="spellStart"/>
      <w:r w:rsidR="00BE6F24" w:rsidRPr="00FB5C0E">
        <w:rPr>
          <w:lang w:val="en-US"/>
        </w:rPr>
        <w:t>Karlovsky</w:t>
      </w:r>
      <w:proofErr w:type="spellEnd"/>
      <w:r w:rsidR="00BE6F24" w:rsidRPr="00FB5C0E">
        <w:rPr>
          <w:lang w:val="en-US"/>
        </w:rPr>
        <w:t>, 2020) to a depth of 60.956 and 68.280 for the 16S and ITS amplicons, respectively</w:t>
      </w:r>
      <w:r w:rsidRPr="00FB5C0E">
        <w:rPr>
          <w:lang w:val="en-US"/>
        </w:rPr>
        <w:t xml:space="preserve">. Alpha diversity indices (ASVs observed, Shannon, Chao1, Simpson, Fisher, and inverse of Simpson) </w:t>
      </w:r>
      <w:r w:rsidR="00F069DB" w:rsidRPr="00FB5C0E">
        <w:rPr>
          <w:lang w:val="en-US"/>
        </w:rPr>
        <w:t xml:space="preserve">were calculated, and beta diversity was determined based on the unweighted </w:t>
      </w:r>
      <w:proofErr w:type="spellStart"/>
      <w:r w:rsidR="00F069DB" w:rsidRPr="00FB5C0E">
        <w:rPr>
          <w:lang w:val="en-US"/>
        </w:rPr>
        <w:t>UniFrac</w:t>
      </w:r>
      <w:proofErr w:type="spellEnd"/>
      <w:r w:rsidR="00F069DB" w:rsidRPr="00FB5C0E">
        <w:rPr>
          <w:lang w:val="en-US"/>
        </w:rPr>
        <w:t xml:space="preserve"> distance and plotted in a Principal Coordinates Analysis (</w:t>
      </w:r>
      <w:proofErr w:type="spellStart"/>
      <w:r w:rsidR="00F069DB" w:rsidRPr="00FB5C0E">
        <w:rPr>
          <w:lang w:val="en-US"/>
        </w:rPr>
        <w:t>PCoA</w:t>
      </w:r>
      <w:proofErr w:type="spellEnd"/>
      <w:r w:rsidR="00F069DB" w:rsidRPr="00FB5C0E">
        <w:rPr>
          <w:lang w:val="en-US"/>
        </w:rPr>
        <w:t>)</w:t>
      </w:r>
      <w:r w:rsidRPr="00FB5C0E">
        <w:rPr>
          <w:lang w:val="en-US"/>
        </w:rPr>
        <w:t xml:space="preserve">. Differential abundance of ASVs between sample groups was determined using the DESeq2 library (Love et al., 2014). </w:t>
      </w:r>
    </w:p>
    <w:p w14:paraId="6399DF7D" w14:textId="77777777" w:rsidR="00B40CCC" w:rsidRPr="001D4E67" w:rsidRDefault="00B40CCC" w:rsidP="001D4E67">
      <w:pPr>
        <w:shd w:val="clear" w:color="auto" w:fill="FFFFFF"/>
        <w:spacing w:line="480" w:lineRule="auto"/>
        <w:rPr>
          <w:b/>
          <w:u w:color="000000"/>
          <w:lang w:val="en-US" w:eastAsia="es-ES"/>
        </w:rPr>
      </w:pPr>
      <w:r w:rsidRPr="001D4E67">
        <w:rPr>
          <w:b/>
          <w:u w:color="000000"/>
          <w:lang w:val="en-US" w:eastAsia="es-ES"/>
        </w:rPr>
        <w:t>RESULTS</w:t>
      </w:r>
    </w:p>
    <w:p w14:paraId="211FB480" w14:textId="77777777" w:rsidR="00CE14B3" w:rsidRPr="00FB5C0E" w:rsidRDefault="00CE14B3" w:rsidP="001D4E67">
      <w:pPr>
        <w:pStyle w:val="EstiloActa"/>
        <w:rPr>
          <w:b/>
          <w:bCs/>
          <w:i/>
          <w:lang w:val="en-US"/>
        </w:rPr>
      </w:pPr>
      <w:r w:rsidRPr="00FB5C0E">
        <w:rPr>
          <w:b/>
          <w:bCs/>
          <w:lang w:val="en-US"/>
        </w:rPr>
        <w:t>Microbial Diversity</w:t>
      </w:r>
    </w:p>
    <w:p w14:paraId="71E4E1AE" w14:textId="5C0E2E0F" w:rsidR="00EB69B6" w:rsidRPr="00FB5C0E" w:rsidRDefault="00CE14B3" w:rsidP="001D4E67">
      <w:pPr>
        <w:pStyle w:val="EstiloActa"/>
        <w:spacing w:before="100" w:beforeAutospacing="1" w:after="100" w:afterAutospacing="1"/>
        <w:ind w:firstLine="709"/>
        <w:jc w:val="both"/>
        <w:rPr>
          <w:i/>
          <w:lang w:val="en-US"/>
        </w:rPr>
      </w:pPr>
      <w:r w:rsidRPr="00FB5C0E">
        <w:rPr>
          <w:lang w:val="en-US"/>
        </w:rPr>
        <w:t xml:space="preserve">After quality trimming of the initial sequence reads, a total of 1,977,655 high-quality reads were obtained. A total of 3015 and 2348 ASVs were obtained for the 16S and ITS amplicons, respectively. Table 1 shows the alpha indices of each treatment. In the soils before and after applying the treatment with the compound 22-Oxocholestanes SPGP4, the alpha diversity of bacteria and fungi can be observed through the </w:t>
      </w:r>
      <w:r w:rsidR="00A23597" w:rsidRPr="00FB5C0E">
        <w:rPr>
          <w:lang w:val="en-US"/>
        </w:rPr>
        <w:t>rarefaction</w:t>
      </w:r>
      <w:r w:rsidRPr="00FB5C0E">
        <w:rPr>
          <w:lang w:val="en-US"/>
        </w:rPr>
        <w:t xml:space="preserve"> curves that reached </w:t>
      </w:r>
      <w:r w:rsidRPr="00FB5C0E">
        <w:rPr>
          <w:lang w:val="en-US"/>
        </w:rPr>
        <w:lastRenderedPageBreak/>
        <w:t>the plateau phase, which is indicative that the bacterial and fungal diversity represents reality (Fig. 1). We can also observe that to determine the complexity of the bacterial and fungal communities, the Shannon and Simpson diversity indices were estimated, which indicates the diversity. There was no significant difference in terms of the diversity that exists in the treatments in the bacterial populations (Table1, Fig. 2</w:t>
      </w:r>
      <w:r w:rsidR="00870EDD" w:rsidRPr="00FB5C0E">
        <w:rPr>
          <w:lang w:val="en-US"/>
        </w:rPr>
        <w:t>a</w:t>
      </w:r>
      <w:r w:rsidRPr="00FB5C0E">
        <w:rPr>
          <w:lang w:val="en-US"/>
        </w:rPr>
        <w:t xml:space="preserve">). </w:t>
      </w:r>
      <w:r w:rsidR="00A51441" w:rsidRPr="00FB5C0E">
        <w:rPr>
          <w:lang w:val="en-US"/>
        </w:rPr>
        <w:t>Similarly</w:t>
      </w:r>
      <w:r w:rsidRPr="00FB5C0E">
        <w:rPr>
          <w:lang w:val="en-US"/>
        </w:rPr>
        <w:t xml:space="preserve">, the diversity in fungal populations was also estimated using the </w:t>
      </w:r>
      <w:r w:rsidR="00A23597" w:rsidRPr="00FB5C0E">
        <w:rPr>
          <w:lang w:val="en-US"/>
        </w:rPr>
        <w:t>Shannon</w:t>
      </w:r>
      <w:r w:rsidRPr="00FB5C0E">
        <w:rPr>
          <w:lang w:val="en-US"/>
        </w:rPr>
        <w:t xml:space="preserve"> and Simpson diversity indices</w:t>
      </w:r>
      <w:r w:rsidR="00A23597" w:rsidRPr="00FB5C0E">
        <w:rPr>
          <w:lang w:val="en-US"/>
        </w:rPr>
        <w:t>.</w:t>
      </w:r>
      <w:r w:rsidR="00A51441" w:rsidRPr="00FB5C0E">
        <w:rPr>
          <w:lang w:val="en-US"/>
        </w:rPr>
        <w:t xml:space="preserve"> </w:t>
      </w:r>
      <w:r w:rsidR="00A23597" w:rsidRPr="00FB5C0E">
        <w:rPr>
          <w:lang w:val="en-US"/>
        </w:rPr>
        <w:t>W</w:t>
      </w:r>
      <w:r w:rsidRPr="00FB5C0E">
        <w:rPr>
          <w:lang w:val="en-US"/>
        </w:rPr>
        <w:t>e can also observe that there was no significant difference (Table 2, Fig. 2</w:t>
      </w:r>
      <w:r w:rsidR="00870EDD" w:rsidRPr="00FB5C0E">
        <w:rPr>
          <w:lang w:val="en-US"/>
        </w:rPr>
        <w:t>b</w:t>
      </w:r>
      <w:r w:rsidRPr="00FB5C0E">
        <w:rPr>
          <w:lang w:val="en-US"/>
        </w:rPr>
        <w:t>).</w:t>
      </w:r>
    </w:p>
    <w:p w14:paraId="687C47E7" w14:textId="77777777" w:rsidR="00CE14B3" w:rsidRPr="00FB5C0E" w:rsidRDefault="00CE14B3" w:rsidP="001D4E67">
      <w:pPr>
        <w:pStyle w:val="EstiloActa"/>
        <w:rPr>
          <w:b/>
          <w:bCs/>
          <w:i/>
          <w:lang w:val="en-US"/>
        </w:rPr>
      </w:pPr>
      <w:r w:rsidRPr="00FB5C0E">
        <w:rPr>
          <w:b/>
          <w:bCs/>
          <w:lang w:val="en-US"/>
        </w:rPr>
        <w:t>Taxonomic diversity of ASV associated with maize and bean cultivation soils</w:t>
      </w:r>
    </w:p>
    <w:p w14:paraId="02DF514C" w14:textId="47D243D1" w:rsidR="00CE14B3" w:rsidRPr="00FB5C0E" w:rsidRDefault="00CE14B3" w:rsidP="001D4E67">
      <w:pPr>
        <w:pStyle w:val="EstiloActa"/>
        <w:spacing w:before="100" w:beforeAutospacing="1" w:after="100" w:afterAutospacing="1"/>
        <w:ind w:firstLine="709"/>
        <w:jc w:val="both"/>
        <w:rPr>
          <w:b/>
          <w:bCs/>
          <w:i/>
          <w:lang w:val="en-US"/>
        </w:rPr>
      </w:pPr>
      <w:r w:rsidRPr="00FB5C0E">
        <w:rPr>
          <w:iCs/>
          <w:lang w:val="en-US"/>
        </w:rPr>
        <w:t xml:space="preserve"> </w:t>
      </w:r>
      <w:r w:rsidRPr="00FB5C0E">
        <w:rPr>
          <w:lang w:val="en-US"/>
        </w:rPr>
        <w:t>The total ASVs observed in the soils where maize and beans are grown, before treatment and after treatment with 22-Oxocholestanes SPGP4, were taxonomically assigned into 15 phyla (Fig</w:t>
      </w:r>
      <w:r w:rsidR="00870EDD" w:rsidRPr="00FB5C0E">
        <w:rPr>
          <w:lang w:val="en-US"/>
        </w:rPr>
        <w:t>.</w:t>
      </w:r>
      <w:r w:rsidRPr="00FB5C0E">
        <w:rPr>
          <w:lang w:val="en-US"/>
        </w:rPr>
        <w:t>3</w:t>
      </w:r>
      <w:r w:rsidR="00870EDD" w:rsidRPr="00FB5C0E">
        <w:rPr>
          <w:lang w:val="en-US"/>
        </w:rPr>
        <w:t>a</w:t>
      </w:r>
      <w:r w:rsidRPr="00FB5C0E">
        <w:rPr>
          <w:lang w:val="en-US"/>
        </w:rPr>
        <w:t>) and 45 bacterial genera (Fig.3</w:t>
      </w:r>
      <w:r w:rsidR="00870EDD" w:rsidRPr="00FB5C0E">
        <w:rPr>
          <w:lang w:val="en-US"/>
        </w:rPr>
        <w:t>b</w:t>
      </w:r>
      <w:r w:rsidRPr="00FB5C0E">
        <w:rPr>
          <w:lang w:val="en-US"/>
        </w:rPr>
        <w:t xml:space="preserve">). The most abundant bacterial phyla were </w:t>
      </w:r>
      <w:proofErr w:type="spellStart"/>
      <w:r w:rsidR="00D54A4A" w:rsidRPr="00FB5C0E">
        <w:rPr>
          <w:lang w:val="en-US"/>
        </w:rPr>
        <w:t>Actinobacteriota</w:t>
      </w:r>
      <w:proofErr w:type="spellEnd"/>
      <w:r w:rsidR="00D54A4A" w:rsidRPr="00FB5C0E">
        <w:rPr>
          <w:lang w:val="en-US"/>
        </w:rPr>
        <w:t xml:space="preserve"> </w:t>
      </w:r>
      <w:r w:rsidRPr="00FB5C0E">
        <w:rPr>
          <w:lang w:val="en-US"/>
        </w:rPr>
        <w:t>(37.6</w:t>
      </w:r>
      <w:r w:rsidR="006F23D2" w:rsidRPr="00FB5C0E">
        <w:rPr>
          <w:lang w:val="en-US"/>
        </w:rPr>
        <w:t xml:space="preserve"> </w:t>
      </w:r>
      <w:r w:rsidRPr="00FB5C0E">
        <w:rPr>
          <w:lang w:val="en-US"/>
        </w:rPr>
        <w:t xml:space="preserve">%), </w:t>
      </w:r>
      <w:proofErr w:type="spellStart"/>
      <w:r w:rsidRPr="00FB5C0E">
        <w:rPr>
          <w:lang w:val="en-US"/>
        </w:rPr>
        <w:t>Acidobacteriota</w:t>
      </w:r>
      <w:proofErr w:type="spellEnd"/>
      <w:r w:rsidRPr="00FB5C0E">
        <w:rPr>
          <w:lang w:val="en-US"/>
        </w:rPr>
        <w:t xml:space="preserve"> (13.2</w:t>
      </w:r>
      <w:r w:rsidR="006F23D2" w:rsidRPr="00FB5C0E">
        <w:rPr>
          <w:lang w:val="en-US"/>
        </w:rPr>
        <w:t xml:space="preserve"> </w:t>
      </w:r>
      <w:r w:rsidRPr="00FB5C0E">
        <w:rPr>
          <w:lang w:val="en-US"/>
        </w:rPr>
        <w:t>%), and Proteobacteria (11.2</w:t>
      </w:r>
      <w:r w:rsidR="006F23D2" w:rsidRPr="00FB5C0E">
        <w:rPr>
          <w:lang w:val="en-US"/>
        </w:rPr>
        <w:t xml:space="preserve"> </w:t>
      </w:r>
      <w:r w:rsidRPr="00FB5C0E">
        <w:rPr>
          <w:lang w:val="en-US"/>
        </w:rPr>
        <w:t xml:space="preserve">%) in the soil samples before sowing maize and beans (Basal). In the control soils where maize and beans were sown without compound, the most abundant phyla were </w:t>
      </w:r>
      <w:proofErr w:type="spellStart"/>
      <w:r w:rsidRPr="00FB5C0E">
        <w:rPr>
          <w:lang w:val="en-US"/>
        </w:rPr>
        <w:t>Actinobacteriota</w:t>
      </w:r>
      <w:proofErr w:type="spellEnd"/>
      <w:r w:rsidRPr="00FB5C0E">
        <w:rPr>
          <w:lang w:val="en-US"/>
        </w:rPr>
        <w:t xml:space="preserve"> (40.2</w:t>
      </w:r>
      <w:r w:rsidR="006F23D2" w:rsidRPr="00FB5C0E">
        <w:rPr>
          <w:lang w:val="en-US"/>
        </w:rPr>
        <w:t xml:space="preserve"> </w:t>
      </w:r>
      <w:r w:rsidRPr="00FB5C0E">
        <w:rPr>
          <w:lang w:val="en-US"/>
        </w:rPr>
        <w:t>%), Proteobacteria (17.7</w:t>
      </w:r>
      <w:r w:rsidR="006F23D2" w:rsidRPr="00FB5C0E">
        <w:rPr>
          <w:lang w:val="en-US"/>
        </w:rPr>
        <w:t xml:space="preserve"> </w:t>
      </w:r>
      <w:r w:rsidRPr="00FB5C0E">
        <w:rPr>
          <w:lang w:val="en-US"/>
        </w:rPr>
        <w:t xml:space="preserve">%), </w:t>
      </w:r>
      <w:proofErr w:type="spellStart"/>
      <w:r w:rsidRPr="00FB5C0E">
        <w:rPr>
          <w:lang w:val="en-US"/>
        </w:rPr>
        <w:t>Acidobacteriota</w:t>
      </w:r>
      <w:proofErr w:type="spellEnd"/>
      <w:r w:rsidRPr="00FB5C0E">
        <w:rPr>
          <w:lang w:val="en-US"/>
        </w:rPr>
        <w:t xml:space="preserve"> (6.9</w:t>
      </w:r>
      <w:r w:rsidR="006F23D2" w:rsidRPr="00FB5C0E">
        <w:rPr>
          <w:lang w:val="en-US"/>
        </w:rPr>
        <w:t xml:space="preserve"> </w:t>
      </w:r>
      <w:r w:rsidRPr="00FB5C0E">
        <w:rPr>
          <w:lang w:val="en-US"/>
        </w:rPr>
        <w:t>%), Firmicutes (10.4</w:t>
      </w:r>
      <w:r w:rsidR="006F23D2" w:rsidRPr="00FB5C0E">
        <w:rPr>
          <w:lang w:val="en-US"/>
        </w:rPr>
        <w:t xml:space="preserve"> </w:t>
      </w:r>
      <w:r w:rsidRPr="00FB5C0E">
        <w:rPr>
          <w:lang w:val="en-US"/>
        </w:rPr>
        <w:t xml:space="preserve">%), </w:t>
      </w:r>
      <w:proofErr w:type="spellStart"/>
      <w:r w:rsidR="00D54A4A" w:rsidRPr="00FB5C0E">
        <w:rPr>
          <w:lang w:val="en-US"/>
        </w:rPr>
        <w:t>Chloroflexi</w:t>
      </w:r>
      <w:proofErr w:type="spellEnd"/>
      <w:r w:rsidRPr="00FB5C0E">
        <w:rPr>
          <w:lang w:val="en-US"/>
        </w:rPr>
        <w:t xml:space="preserve"> (6.4%), and </w:t>
      </w:r>
      <w:proofErr w:type="spellStart"/>
      <w:r w:rsidRPr="00FB5C0E">
        <w:rPr>
          <w:lang w:val="en-US"/>
        </w:rPr>
        <w:t>Planctomycetota</w:t>
      </w:r>
      <w:proofErr w:type="spellEnd"/>
      <w:r w:rsidRPr="00FB5C0E">
        <w:rPr>
          <w:lang w:val="en-US"/>
        </w:rPr>
        <w:t xml:space="preserve"> (4.8%). A very similar behavior was observed in the soils where the compound 22-Oxocholestanes SPGP4 was applied to maize and bean crops: </w:t>
      </w:r>
      <w:proofErr w:type="spellStart"/>
      <w:r w:rsidRPr="00FB5C0E">
        <w:rPr>
          <w:lang w:val="en-US"/>
        </w:rPr>
        <w:t>Actinobacteriota</w:t>
      </w:r>
      <w:proofErr w:type="spellEnd"/>
      <w:r w:rsidRPr="00FB5C0E">
        <w:rPr>
          <w:lang w:val="en-US"/>
        </w:rPr>
        <w:t xml:space="preserve"> (40.5</w:t>
      </w:r>
      <w:r w:rsidR="006F23D2" w:rsidRPr="00FB5C0E">
        <w:rPr>
          <w:lang w:val="en-US"/>
        </w:rPr>
        <w:t xml:space="preserve"> </w:t>
      </w:r>
      <w:r w:rsidRPr="00FB5C0E">
        <w:rPr>
          <w:lang w:val="en-US"/>
        </w:rPr>
        <w:t>%), Proteobacteria (16.6</w:t>
      </w:r>
      <w:r w:rsidR="006F23D2" w:rsidRPr="00FB5C0E">
        <w:rPr>
          <w:lang w:val="en-US"/>
        </w:rPr>
        <w:t xml:space="preserve"> </w:t>
      </w:r>
      <w:r w:rsidRPr="00FB5C0E">
        <w:rPr>
          <w:lang w:val="en-US"/>
        </w:rPr>
        <w:t>%), Firmicutes (9.1</w:t>
      </w:r>
      <w:r w:rsidR="006F23D2" w:rsidRPr="00FB5C0E">
        <w:rPr>
          <w:lang w:val="en-US"/>
        </w:rPr>
        <w:t xml:space="preserve"> </w:t>
      </w:r>
      <w:r w:rsidRPr="00FB5C0E">
        <w:rPr>
          <w:lang w:val="en-US"/>
        </w:rPr>
        <w:t xml:space="preserve">%), </w:t>
      </w:r>
      <w:proofErr w:type="spellStart"/>
      <w:r w:rsidRPr="00FB5C0E">
        <w:rPr>
          <w:lang w:val="en-US"/>
        </w:rPr>
        <w:t>Acidobacteriota</w:t>
      </w:r>
      <w:proofErr w:type="spellEnd"/>
      <w:r w:rsidRPr="00FB5C0E">
        <w:rPr>
          <w:lang w:val="en-US"/>
        </w:rPr>
        <w:t xml:space="preserve"> (8.7</w:t>
      </w:r>
      <w:r w:rsidR="006F23D2" w:rsidRPr="00FB5C0E">
        <w:rPr>
          <w:lang w:val="en-US"/>
        </w:rPr>
        <w:t xml:space="preserve"> </w:t>
      </w:r>
      <w:r w:rsidRPr="00FB5C0E">
        <w:rPr>
          <w:lang w:val="en-US"/>
        </w:rPr>
        <w:t xml:space="preserve">%), </w:t>
      </w:r>
      <w:proofErr w:type="spellStart"/>
      <w:r w:rsidRPr="00FB5C0E">
        <w:rPr>
          <w:lang w:val="en-US"/>
        </w:rPr>
        <w:t>Planctomycetota</w:t>
      </w:r>
      <w:proofErr w:type="spellEnd"/>
      <w:r w:rsidRPr="00FB5C0E">
        <w:rPr>
          <w:lang w:val="en-US"/>
        </w:rPr>
        <w:t xml:space="preserve"> (6.9</w:t>
      </w:r>
      <w:r w:rsidR="006F23D2" w:rsidRPr="00FB5C0E">
        <w:rPr>
          <w:lang w:val="en-US"/>
        </w:rPr>
        <w:t xml:space="preserve"> </w:t>
      </w:r>
      <w:r w:rsidRPr="00FB5C0E">
        <w:rPr>
          <w:lang w:val="en-US"/>
        </w:rPr>
        <w:t xml:space="preserve">%), and </w:t>
      </w:r>
      <w:proofErr w:type="spellStart"/>
      <w:r w:rsidR="00D54A4A" w:rsidRPr="00FB5C0E">
        <w:rPr>
          <w:lang w:val="en-US"/>
        </w:rPr>
        <w:t>Chloroflexi</w:t>
      </w:r>
      <w:proofErr w:type="spellEnd"/>
      <w:r w:rsidRPr="00FB5C0E">
        <w:rPr>
          <w:lang w:val="en-US"/>
        </w:rPr>
        <w:t xml:space="preserve"> (5.5</w:t>
      </w:r>
      <w:r w:rsidR="006F23D2" w:rsidRPr="00FB5C0E">
        <w:rPr>
          <w:lang w:val="en-US"/>
        </w:rPr>
        <w:t xml:space="preserve"> </w:t>
      </w:r>
      <w:r w:rsidRPr="00FB5C0E">
        <w:rPr>
          <w:lang w:val="en-US"/>
        </w:rPr>
        <w:t>%) (Fig. 3</w:t>
      </w:r>
      <w:r w:rsidR="00870EDD" w:rsidRPr="00FB5C0E">
        <w:rPr>
          <w:lang w:val="en-US"/>
        </w:rPr>
        <w:t>a</w:t>
      </w:r>
      <w:r w:rsidRPr="00FB5C0E">
        <w:rPr>
          <w:lang w:val="en-US"/>
        </w:rPr>
        <w:t xml:space="preserve">). The most abundant genera were in the Basal treatment, </w:t>
      </w:r>
      <w:r w:rsidRPr="00FB5C0E">
        <w:rPr>
          <w:iCs/>
          <w:lang w:val="en-US"/>
        </w:rPr>
        <w:t>Bacillus</w:t>
      </w:r>
      <w:r w:rsidRPr="00FB5C0E">
        <w:rPr>
          <w:lang w:val="en-US"/>
        </w:rPr>
        <w:t xml:space="preserve"> (3.2</w:t>
      </w:r>
      <w:r w:rsidR="006F23D2" w:rsidRPr="00FB5C0E">
        <w:rPr>
          <w:lang w:val="en-US"/>
        </w:rPr>
        <w:t xml:space="preserve"> </w:t>
      </w:r>
      <w:r w:rsidRPr="00FB5C0E">
        <w:rPr>
          <w:lang w:val="en-US"/>
        </w:rPr>
        <w:t xml:space="preserve">%), </w:t>
      </w:r>
      <w:r w:rsidRPr="00FB5C0E">
        <w:rPr>
          <w:iCs/>
          <w:lang w:val="en-US"/>
        </w:rPr>
        <w:t>Streptomyces</w:t>
      </w:r>
      <w:r w:rsidRPr="00FB5C0E">
        <w:rPr>
          <w:lang w:val="en-US"/>
        </w:rPr>
        <w:t xml:space="preserve"> (2.6</w:t>
      </w:r>
      <w:r w:rsidR="006F23D2" w:rsidRPr="00FB5C0E">
        <w:rPr>
          <w:lang w:val="en-US"/>
        </w:rPr>
        <w:t xml:space="preserve"> </w:t>
      </w:r>
      <w:r w:rsidRPr="00FB5C0E">
        <w:rPr>
          <w:lang w:val="en-US"/>
        </w:rPr>
        <w:t xml:space="preserve">%), </w:t>
      </w:r>
      <w:proofErr w:type="spellStart"/>
      <w:r w:rsidRPr="00FB5C0E">
        <w:rPr>
          <w:iCs/>
          <w:lang w:val="en-US"/>
        </w:rPr>
        <w:t>Nocardioides</w:t>
      </w:r>
      <w:proofErr w:type="spellEnd"/>
      <w:r w:rsidRPr="00FB5C0E">
        <w:rPr>
          <w:lang w:val="en-US"/>
        </w:rPr>
        <w:t xml:space="preserve"> (2.5</w:t>
      </w:r>
      <w:r w:rsidR="006F23D2" w:rsidRPr="00FB5C0E">
        <w:rPr>
          <w:lang w:val="en-US"/>
        </w:rPr>
        <w:t xml:space="preserve"> </w:t>
      </w:r>
      <w:r w:rsidRPr="00FB5C0E">
        <w:rPr>
          <w:lang w:val="en-US"/>
        </w:rPr>
        <w:t xml:space="preserve">%), </w:t>
      </w:r>
      <w:proofErr w:type="spellStart"/>
      <w:r w:rsidRPr="00FB5C0E">
        <w:rPr>
          <w:iCs/>
          <w:lang w:val="en-US"/>
        </w:rPr>
        <w:t>Vicinomibactereoceae</w:t>
      </w:r>
      <w:proofErr w:type="spellEnd"/>
      <w:r w:rsidRPr="00FB5C0E">
        <w:rPr>
          <w:iCs/>
          <w:lang w:val="en-US"/>
        </w:rPr>
        <w:t xml:space="preserve"> </w:t>
      </w:r>
      <w:r w:rsidRPr="00FB5C0E">
        <w:rPr>
          <w:lang w:val="en-US"/>
        </w:rPr>
        <w:t>(1.9</w:t>
      </w:r>
      <w:r w:rsidR="006F23D2" w:rsidRPr="00FB5C0E">
        <w:rPr>
          <w:lang w:val="en-US"/>
        </w:rPr>
        <w:t xml:space="preserve"> </w:t>
      </w:r>
      <w:r w:rsidRPr="00FB5C0E">
        <w:rPr>
          <w:lang w:val="en-US"/>
        </w:rPr>
        <w:t xml:space="preserve">%), </w:t>
      </w:r>
      <w:proofErr w:type="spellStart"/>
      <w:r w:rsidRPr="00FB5C0E">
        <w:rPr>
          <w:iCs/>
          <w:lang w:val="en-US"/>
        </w:rPr>
        <w:t>Solirubrobacter</w:t>
      </w:r>
      <w:proofErr w:type="spellEnd"/>
      <w:r w:rsidRPr="00FB5C0E">
        <w:rPr>
          <w:lang w:val="en-US"/>
        </w:rPr>
        <w:t xml:space="preserve"> (1.7</w:t>
      </w:r>
      <w:r w:rsidR="006F23D2" w:rsidRPr="00FB5C0E">
        <w:rPr>
          <w:lang w:val="en-US"/>
        </w:rPr>
        <w:t xml:space="preserve"> </w:t>
      </w:r>
      <w:r w:rsidRPr="00FB5C0E">
        <w:rPr>
          <w:lang w:val="en-US"/>
        </w:rPr>
        <w:t xml:space="preserve">%), </w:t>
      </w:r>
      <w:proofErr w:type="spellStart"/>
      <w:r w:rsidR="00D54A4A" w:rsidRPr="00FB5C0E">
        <w:rPr>
          <w:iCs/>
          <w:lang w:val="en-US"/>
        </w:rPr>
        <w:t>Sphingomonas</w:t>
      </w:r>
      <w:proofErr w:type="spellEnd"/>
      <w:r w:rsidRPr="00FB5C0E">
        <w:rPr>
          <w:iCs/>
          <w:lang w:val="en-US"/>
        </w:rPr>
        <w:t xml:space="preserve"> </w:t>
      </w:r>
      <w:r w:rsidRPr="00FB5C0E">
        <w:rPr>
          <w:lang w:val="en-US"/>
        </w:rPr>
        <w:t>(1.3</w:t>
      </w:r>
      <w:r w:rsidR="006F23D2" w:rsidRPr="00FB5C0E">
        <w:rPr>
          <w:lang w:val="en-US"/>
        </w:rPr>
        <w:t xml:space="preserve"> </w:t>
      </w:r>
      <w:r w:rsidRPr="00FB5C0E">
        <w:rPr>
          <w:lang w:val="en-US"/>
        </w:rPr>
        <w:t xml:space="preserve">%). In the control treatment they were </w:t>
      </w:r>
      <w:proofErr w:type="spellStart"/>
      <w:r w:rsidRPr="00FB5C0E">
        <w:rPr>
          <w:iCs/>
          <w:lang w:val="en-US"/>
        </w:rPr>
        <w:t>Nocardioides</w:t>
      </w:r>
      <w:proofErr w:type="spellEnd"/>
      <w:r w:rsidRPr="00FB5C0E">
        <w:rPr>
          <w:lang w:val="en-US"/>
        </w:rPr>
        <w:t xml:space="preserve"> (13.5</w:t>
      </w:r>
      <w:r w:rsidR="006F23D2" w:rsidRPr="00FB5C0E">
        <w:rPr>
          <w:lang w:val="en-US"/>
        </w:rPr>
        <w:t xml:space="preserve"> </w:t>
      </w:r>
      <w:r w:rsidRPr="00FB5C0E">
        <w:rPr>
          <w:lang w:val="en-US"/>
        </w:rPr>
        <w:t xml:space="preserve">%), </w:t>
      </w:r>
      <w:r w:rsidRPr="00FB5C0E">
        <w:rPr>
          <w:iCs/>
          <w:lang w:val="en-US"/>
        </w:rPr>
        <w:t xml:space="preserve">Bacillus </w:t>
      </w:r>
      <w:r w:rsidRPr="00FB5C0E">
        <w:rPr>
          <w:lang w:val="en-US"/>
        </w:rPr>
        <w:t>(10</w:t>
      </w:r>
      <w:r w:rsidR="006F23D2" w:rsidRPr="00FB5C0E">
        <w:rPr>
          <w:lang w:val="en-US"/>
        </w:rPr>
        <w:t xml:space="preserve"> </w:t>
      </w:r>
      <w:r w:rsidRPr="00FB5C0E">
        <w:rPr>
          <w:lang w:val="en-US"/>
        </w:rPr>
        <w:t xml:space="preserve">%), </w:t>
      </w:r>
      <w:r w:rsidRPr="00FB5C0E">
        <w:rPr>
          <w:iCs/>
          <w:lang w:val="en-US"/>
        </w:rPr>
        <w:t>Streptomyces</w:t>
      </w:r>
      <w:r w:rsidRPr="00FB5C0E">
        <w:rPr>
          <w:lang w:val="en-US"/>
        </w:rPr>
        <w:t xml:space="preserve"> (2.7</w:t>
      </w:r>
      <w:r w:rsidR="006F23D2" w:rsidRPr="00FB5C0E">
        <w:rPr>
          <w:lang w:val="en-US"/>
        </w:rPr>
        <w:t xml:space="preserve"> </w:t>
      </w:r>
      <w:r w:rsidRPr="00FB5C0E">
        <w:rPr>
          <w:lang w:val="en-US"/>
        </w:rPr>
        <w:t xml:space="preserve">%), </w:t>
      </w:r>
      <w:proofErr w:type="spellStart"/>
      <w:r w:rsidR="00D54A4A" w:rsidRPr="00FB5C0E">
        <w:rPr>
          <w:iCs/>
          <w:lang w:val="en-US"/>
        </w:rPr>
        <w:lastRenderedPageBreak/>
        <w:t>Vicinamibacteraceae</w:t>
      </w:r>
      <w:proofErr w:type="spellEnd"/>
      <w:r w:rsidRPr="00FB5C0E">
        <w:rPr>
          <w:lang w:val="en-US"/>
        </w:rPr>
        <w:t xml:space="preserve"> (1.1</w:t>
      </w:r>
      <w:r w:rsidR="006F23D2" w:rsidRPr="00FB5C0E">
        <w:rPr>
          <w:lang w:val="en-US"/>
        </w:rPr>
        <w:t xml:space="preserve"> </w:t>
      </w:r>
      <w:r w:rsidRPr="00FB5C0E">
        <w:rPr>
          <w:lang w:val="en-US"/>
        </w:rPr>
        <w:t xml:space="preserve">%), </w:t>
      </w:r>
      <w:proofErr w:type="spellStart"/>
      <w:r w:rsidRPr="00FB5C0E">
        <w:rPr>
          <w:iCs/>
          <w:lang w:val="en-US"/>
        </w:rPr>
        <w:t>Solirubrobacter</w:t>
      </w:r>
      <w:proofErr w:type="spellEnd"/>
      <w:r w:rsidRPr="00FB5C0E">
        <w:rPr>
          <w:lang w:val="en-US"/>
        </w:rPr>
        <w:t xml:space="preserve"> (1.1</w:t>
      </w:r>
      <w:r w:rsidR="006F23D2" w:rsidRPr="00FB5C0E">
        <w:rPr>
          <w:lang w:val="en-US"/>
        </w:rPr>
        <w:t xml:space="preserve"> </w:t>
      </w:r>
      <w:r w:rsidRPr="00FB5C0E">
        <w:rPr>
          <w:lang w:val="en-US"/>
        </w:rPr>
        <w:t xml:space="preserve">%), </w:t>
      </w:r>
      <w:proofErr w:type="spellStart"/>
      <w:r w:rsidR="00D54A4A" w:rsidRPr="00FB5C0E">
        <w:rPr>
          <w:iCs/>
          <w:lang w:val="en-US"/>
        </w:rPr>
        <w:t>Sphingomonas</w:t>
      </w:r>
      <w:proofErr w:type="spellEnd"/>
      <w:r w:rsidRPr="00FB5C0E">
        <w:rPr>
          <w:lang w:val="en-US"/>
        </w:rPr>
        <w:t xml:space="preserve"> (1.0</w:t>
      </w:r>
      <w:r w:rsidR="006F23D2" w:rsidRPr="00FB5C0E">
        <w:rPr>
          <w:lang w:val="en-US"/>
        </w:rPr>
        <w:t xml:space="preserve"> </w:t>
      </w:r>
      <w:r w:rsidRPr="00FB5C0E">
        <w:rPr>
          <w:lang w:val="en-US"/>
        </w:rPr>
        <w:t xml:space="preserve">%). Finally, in the treatment with the application of the compound 22-Oxocholestanes SPGP4, the percentages of the genera were very similar to the control, </w:t>
      </w:r>
      <w:proofErr w:type="spellStart"/>
      <w:r w:rsidRPr="00FB5C0E">
        <w:rPr>
          <w:iCs/>
          <w:lang w:val="en-US"/>
        </w:rPr>
        <w:t>Nocardioides</w:t>
      </w:r>
      <w:proofErr w:type="spellEnd"/>
      <w:r w:rsidRPr="00FB5C0E">
        <w:rPr>
          <w:lang w:val="en-US"/>
        </w:rPr>
        <w:t xml:space="preserve"> (12.8</w:t>
      </w:r>
      <w:r w:rsidR="006F23D2" w:rsidRPr="00FB5C0E">
        <w:rPr>
          <w:lang w:val="en-US"/>
        </w:rPr>
        <w:t xml:space="preserve"> </w:t>
      </w:r>
      <w:r w:rsidRPr="00FB5C0E">
        <w:rPr>
          <w:lang w:val="en-US"/>
        </w:rPr>
        <w:t xml:space="preserve">%), </w:t>
      </w:r>
      <w:r w:rsidRPr="00FB5C0E">
        <w:rPr>
          <w:iCs/>
          <w:lang w:val="en-US"/>
        </w:rPr>
        <w:t xml:space="preserve">Bacillus </w:t>
      </w:r>
      <w:r w:rsidRPr="00FB5C0E">
        <w:rPr>
          <w:lang w:val="en-US"/>
        </w:rPr>
        <w:t>(8.5</w:t>
      </w:r>
      <w:r w:rsidR="006F23D2" w:rsidRPr="00FB5C0E">
        <w:rPr>
          <w:lang w:val="en-US"/>
        </w:rPr>
        <w:t xml:space="preserve"> </w:t>
      </w:r>
      <w:r w:rsidRPr="00FB5C0E">
        <w:rPr>
          <w:lang w:val="en-US"/>
        </w:rPr>
        <w:t xml:space="preserve">%), </w:t>
      </w:r>
      <w:r w:rsidRPr="00FB5C0E">
        <w:rPr>
          <w:iCs/>
          <w:lang w:val="en-US"/>
        </w:rPr>
        <w:t xml:space="preserve">Streptomyces </w:t>
      </w:r>
      <w:r w:rsidRPr="00FB5C0E">
        <w:rPr>
          <w:lang w:val="en-US"/>
        </w:rPr>
        <w:t>(2.9</w:t>
      </w:r>
      <w:r w:rsidR="006F23D2" w:rsidRPr="00FB5C0E">
        <w:rPr>
          <w:lang w:val="en-US"/>
        </w:rPr>
        <w:t xml:space="preserve"> </w:t>
      </w:r>
      <w:r w:rsidRPr="00FB5C0E">
        <w:rPr>
          <w:lang w:val="en-US"/>
        </w:rPr>
        <w:t xml:space="preserve">%), </w:t>
      </w:r>
      <w:proofErr w:type="spellStart"/>
      <w:r w:rsidRPr="00FB5C0E">
        <w:rPr>
          <w:iCs/>
          <w:lang w:val="en-US"/>
        </w:rPr>
        <w:t>Solirubrobacter</w:t>
      </w:r>
      <w:proofErr w:type="spellEnd"/>
      <w:r w:rsidRPr="00FB5C0E">
        <w:rPr>
          <w:lang w:val="en-US"/>
        </w:rPr>
        <w:t xml:space="preserve"> (2.0</w:t>
      </w:r>
      <w:r w:rsidR="006F23D2" w:rsidRPr="00FB5C0E">
        <w:rPr>
          <w:lang w:val="en-US"/>
        </w:rPr>
        <w:t xml:space="preserve"> </w:t>
      </w:r>
      <w:r w:rsidRPr="00FB5C0E">
        <w:rPr>
          <w:lang w:val="en-US"/>
        </w:rPr>
        <w:t xml:space="preserve">%), </w:t>
      </w:r>
      <w:proofErr w:type="spellStart"/>
      <w:r w:rsidR="00D54A4A" w:rsidRPr="00FB5C0E">
        <w:rPr>
          <w:iCs/>
          <w:lang w:val="en-US"/>
        </w:rPr>
        <w:t>Sphingomonas</w:t>
      </w:r>
      <w:proofErr w:type="spellEnd"/>
      <w:r w:rsidRPr="00FB5C0E">
        <w:rPr>
          <w:lang w:val="en-US"/>
        </w:rPr>
        <w:t xml:space="preserve"> (1.6</w:t>
      </w:r>
      <w:r w:rsidR="006F23D2" w:rsidRPr="00FB5C0E">
        <w:rPr>
          <w:lang w:val="en-US"/>
        </w:rPr>
        <w:t xml:space="preserve"> </w:t>
      </w:r>
      <w:r w:rsidRPr="00FB5C0E">
        <w:rPr>
          <w:lang w:val="en-US"/>
        </w:rPr>
        <w:t xml:space="preserve">%), and </w:t>
      </w:r>
      <w:proofErr w:type="spellStart"/>
      <w:r w:rsidR="00D54A4A" w:rsidRPr="00FB5C0E">
        <w:rPr>
          <w:iCs/>
          <w:lang w:val="en-US"/>
        </w:rPr>
        <w:t>Vicinamibacteraceae</w:t>
      </w:r>
      <w:proofErr w:type="spellEnd"/>
      <w:r w:rsidR="00D54A4A" w:rsidRPr="00FB5C0E">
        <w:rPr>
          <w:iCs/>
          <w:lang w:val="en-US"/>
        </w:rPr>
        <w:t xml:space="preserve"> </w:t>
      </w:r>
      <w:r w:rsidRPr="00FB5C0E">
        <w:rPr>
          <w:lang w:val="en-US"/>
        </w:rPr>
        <w:t>(1.2</w:t>
      </w:r>
      <w:r w:rsidR="006F23D2" w:rsidRPr="00FB5C0E">
        <w:rPr>
          <w:lang w:val="en-US"/>
        </w:rPr>
        <w:t xml:space="preserve"> </w:t>
      </w:r>
      <w:r w:rsidRPr="00FB5C0E">
        <w:rPr>
          <w:lang w:val="en-US"/>
        </w:rPr>
        <w:t>%).</w:t>
      </w:r>
    </w:p>
    <w:p w14:paraId="4C3E850F" w14:textId="3A4F4272" w:rsidR="00CE14B3" w:rsidRPr="00FB5C0E" w:rsidRDefault="00CE14B3" w:rsidP="00380689">
      <w:pPr>
        <w:pStyle w:val="EstiloActa"/>
        <w:spacing w:before="100" w:beforeAutospacing="1" w:after="100" w:afterAutospacing="1"/>
        <w:ind w:firstLine="709"/>
        <w:jc w:val="both"/>
        <w:rPr>
          <w:lang w:val="en-US"/>
        </w:rPr>
      </w:pPr>
      <w:r w:rsidRPr="00FB5C0E">
        <w:rPr>
          <w:lang w:val="en-US"/>
        </w:rPr>
        <w:t xml:space="preserve">With regard to fungi, five phyla (Fig. </w:t>
      </w:r>
      <w:r w:rsidR="00CA7445" w:rsidRPr="00FB5C0E">
        <w:rPr>
          <w:lang w:val="en-US"/>
        </w:rPr>
        <w:t>3c</w:t>
      </w:r>
      <w:r w:rsidRPr="00FB5C0E">
        <w:rPr>
          <w:lang w:val="en-US"/>
        </w:rPr>
        <w:t>) and 44 genera were assigned. The most abundant fungal phyla were Ascomycota (96.3</w:t>
      </w:r>
      <w:r w:rsidR="006F23D2" w:rsidRPr="00FB5C0E">
        <w:rPr>
          <w:lang w:val="en-US"/>
        </w:rPr>
        <w:t xml:space="preserve"> </w:t>
      </w:r>
      <w:r w:rsidRPr="00FB5C0E">
        <w:rPr>
          <w:lang w:val="en-US"/>
        </w:rPr>
        <w:t>%) and Basidiomycota (2.7</w:t>
      </w:r>
      <w:r w:rsidR="006F23D2" w:rsidRPr="00FB5C0E">
        <w:rPr>
          <w:lang w:val="en-US"/>
        </w:rPr>
        <w:t xml:space="preserve"> </w:t>
      </w:r>
      <w:r w:rsidRPr="00FB5C0E">
        <w:rPr>
          <w:lang w:val="en-US"/>
        </w:rPr>
        <w:t>%) in the soil samples before planting maize and beans, treatment (Basal), and in the control soils where only maize and beans were planted without compound. In the control treatment, they were Ascomycota (92.3</w:t>
      </w:r>
      <w:r w:rsidR="006F23D2" w:rsidRPr="00FB5C0E">
        <w:rPr>
          <w:lang w:val="en-US"/>
        </w:rPr>
        <w:t xml:space="preserve"> </w:t>
      </w:r>
      <w:r w:rsidRPr="00FB5C0E">
        <w:rPr>
          <w:lang w:val="en-US"/>
        </w:rPr>
        <w:t xml:space="preserve">%), </w:t>
      </w:r>
      <w:proofErr w:type="spellStart"/>
      <w:r w:rsidRPr="00FB5C0E">
        <w:rPr>
          <w:lang w:val="en-US"/>
        </w:rPr>
        <w:t>Basidomycota</w:t>
      </w:r>
      <w:proofErr w:type="spellEnd"/>
      <w:r w:rsidRPr="00FB5C0E">
        <w:rPr>
          <w:lang w:val="en-US"/>
        </w:rPr>
        <w:t xml:space="preserve"> (3.5</w:t>
      </w:r>
      <w:r w:rsidR="006F23D2" w:rsidRPr="00FB5C0E">
        <w:rPr>
          <w:lang w:val="en-US"/>
        </w:rPr>
        <w:t xml:space="preserve"> </w:t>
      </w:r>
      <w:r w:rsidRPr="00FB5C0E">
        <w:rPr>
          <w:lang w:val="en-US"/>
        </w:rPr>
        <w:t xml:space="preserve">%), and </w:t>
      </w:r>
      <w:proofErr w:type="spellStart"/>
      <w:r w:rsidRPr="00FB5C0E">
        <w:rPr>
          <w:lang w:val="en-US"/>
        </w:rPr>
        <w:t>Mortierellomycota</w:t>
      </w:r>
      <w:proofErr w:type="spellEnd"/>
      <w:r w:rsidRPr="00FB5C0E">
        <w:rPr>
          <w:lang w:val="en-US"/>
        </w:rPr>
        <w:t xml:space="preserve"> (1.7</w:t>
      </w:r>
      <w:r w:rsidR="006F23D2" w:rsidRPr="00FB5C0E">
        <w:rPr>
          <w:lang w:val="en-US"/>
        </w:rPr>
        <w:t xml:space="preserve"> </w:t>
      </w:r>
      <w:r w:rsidRPr="00FB5C0E">
        <w:rPr>
          <w:lang w:val="en-US"/>
        </w:rPr>
        <w:t>%). Finally, in the treatment with the compound 22-Oxocholestanes SPGP4, they were Ascomycota (93.6</w:t>
      </w:r>
      <w:r w:rsidR="006F23D2" w:rsidRPr="00FB5C0E">
        <w:rPr>
          <w:lang w:val="en-US"/>
        </w:rPr>
        <w:t xml:space="preserve"> </w:t>
      </w:r>
      <w:r w:rsidRPr="00FB5C0E">
        <w:rPr>
          <w:lang w:val="en-US"/>
        </w:rPr>
        <w:t xml:space="preserve">%), </w:t>
      </w:r>
      <w:proofErr w:type="spellStart"/>
      <w:r w:rsidRPr="00FB5C0E">
        <w:rPr>
          <w:lang w:val="en-US"/>
        </w:rPr>
        <w:t>Mortierellomycota</w:t>
      </w:r>
      <w:proofErr w:type="spellEnd"/>
      <w:r w:rsidRPr="00FB5C0E">
        <w:rPr>
          <w:lang w:val="en-US"/>
        </w:rPr>
        <w:t xml:space="preserve"> (2.0</w:t>
      </w:r>
      <w:r w:rsidR="006F23D2" w:rsidRPr="00FB5C0E">
        <w:rPr>
          <w:lang w:val="en-US"/>
        </w:rPr>
        <w:t xml:space="preserve"> </w:t>
      </w:r>
      <w:r w:rsidRPr="00FB5C0E">
        <w:rPr>
          <w:lang w:val="en-US"/>
        </w:rPr>
        <w:t xml:space="preserve">%), and </w:t>
      </w:r>
      <w:proofErr w:type="spellStart"/>
      <w:r w:rsidRPr="00FB5C0E">
        <w:rPr>
          <w:lang w:val="en-US"/>
        </w:rPr>
        <w:t>Basidomycota</w:t>
      </w:r>
      <w:proofErr w:type="spellEnd"/>
      <w:r w:rsidRPr="00FB5C0E">
        <w:rPr>
          <w:lang w:val="en-US"/>
        </w:rPr>
        <w:t xml:space="preserve"> (1.7</w:t>
      </w:r>
      <w:r w:rsidR="006F23D2" w:rsidRPr="00FB5C0E">
        <w:rPr>
          <w:lang w:val="en-US"/>
        </w:rPr>
        <w:t xml:space="preserve"> </w:t>
      </w:r>
      <w:r w:rsidRPr="00FB5C0E">
        <w:rPr>
          <w:lang w:val="en-US"/>
        </w:rPr>
        <w:t xml:space="preserve">%) (Fig. </w:t>
      </w:r>
      <w:r w:rsidR="00CA7445" w:rsidRPr="00FB5C0E">
        <w:rPr>
          <w:lang w:val="en-US"/>
        </w:rPr>
        <w:t>3d</w:t>
      </w:r>
      <w:r w:rsidRPr="00FB5C0E">
        <w:rPr>
          <w:lang w:val="en-US"/>
        </w:rPr>
        <w:t>). The most abundant genera were Aspergillus (21.2</w:t>
      </w:r>
      <w:r w:rsidR="006F23D2" w:rsidRPr="00FB5C0E">
        <w:rPr>
          <w:lang w:val="en-US"/>
        </w:rPr>
        <w:t xml:space="preserve"> </w:t>
      </w:r>
      <w:r w:rsidRPr="00FB5C0E">
        <w:rPr>
          <w:lang w:val="en-US"/>
        </w:rPr>
        <w:t>%), Fusarium (10.0</w:t>
      </w:r>
      <w:r w:rsidR="006F23D2" w:rsidRPr="00FB5C0E">
        <w:rPr>
          <w:lang w:val="en-US"/>
        </w:rPr>
        <w:t xml:space="preserve"> </w:t>
      </w:r>
      <w:r w:rsidRPr="00FB5C0E">
        <w:rPr>
          <w:lang w:val="en-US"/>
        </w:rPr>
        <w:t>%), Ascomycota (6.6</w:t>
      </w:r>
      <w:r w:rsidR="006F23D2" w:rsidRPr="00FB5C0E">
        <w:rPr>
          <w:lang w:val="en-US"/>
        </w:rPr>
        <w:t xml:space="preserve"> </w:t>
      </w:r>
      <w:r w:rsidRPr="00FB5C0E">
        <w:rPr>
          <w:lang w:val="en-US"/>
        </w:rPr>
        <w:t xml:space="preserve">%), </w:t>
      </w:r>
      <w:proofErr w:type="spellStart"/>
      <w:r w:rsidRPr="00FB5C0E">
        <w:rPr>
          <w:lang w:val="en-US"/>
        </w:rPr>
        <w:t>Chrysocorona</w:t>
      </w:r>
      <w:proofErr w:type="spellEnd"/>
      <w:r w:rsidRPr="00FB5C0E">
        <w:rPr>
          <w:lang w:val="en-US"/>
        </w:rPr>
        <w:t xml:space="preserve"> (3.5</w:t>
      </w:r>
      <w:r w:rsidR="006F23D2" w:rsidRPr="00FB5C0E">
        <w:rPr>
          <w:lang w:val="en-US"/>
        </w:rPr>
        <w:t xml:space="preserve"> </w:t>
      </w:r>
      <w:r w:rsidRPr="00FB5C0E">
        <w:rPr>
          <w:lang w:val="en-US"/>
        </w:rPr>
        <w:t xml:space="preserve">%), </w:t>
      </w:r>
      <w:proofErr w:type="spellStart"/>
      <w:r w:rsidRPr="00FB5C0E">
        <w:rPr>
          <w:lang w:val="en-US"/>
        </w:rPr>
        <w:t>Botryosphaeriaceae</w:t>
      </w:r>
      <w:proofErr w:type="spellEnd"/>
      <w:r w:rsidRPr="00FB5C0E">
        <w:rPr>
          <w:lang w:val="en-US"/>
        </w:rPr>
        <w:t xml:space="preserve"> (3.3</w:t>
      </w:r>
      <w:r w:rsidR="006F23D2" w:rsidRPr="00FB5C0E">
        <w:rPr>
          <w:lang w:val="en-US"/>
        </w:rPr>
        <w:t xml:space="preserve"> </w:t>
      </w:r>
      <w:r w:rsidRPr="00FB5C0E">
        <w:rPr>
          <w:lang w:val="en-US"/>
        </w:rPr>
        <w:t>%), Penicill</w:t>
      </w:r>
      <w:r w:rsidR="00C2743D" w:rsidRPr="00FB5C0E">
        <w:rPr>
          <w:lang w:val="en-US"/>
        </w:rPr>
        <w:t>i</w:t>
      </w:r>
      <w:r w:rsidRPr="00FB5C0E">
        <w:rPr>
          <w:lang w:val="en-US"/>
        </w:rPr>
        <w:t>um (3.2</w:t>
      </w:r>
      <w:r w:rsidR="006F23D2" w:rsidRPr="00FB5C0E">
        <w:rPr>
          <w:lang w:val="en-US"/>
        </w:rPr>
        <w:t xml:space="preserve"> </w:t>
      </w:r>
      <w:r w:rsidRPr="00FB5C0E">
        <w:rPr>
          <w:lang w:val="en-US"/>
        </w:rPr>
        <w:t xml:space="preserve">%), and </w:t>
      </w:r>
      <w:proofErr w:type="spellStart"/>
      <w:r w:rsidRPr="00FB5C0E">
        <w:rPr>
          <w:lang w:val="en-US"/>
        </w:rPr>
        <w:t>Humicola</w:t>
      </w:r>
      <w:proofErr w:type="spellEnd"/>
      <w:r w:rsidRPr="00FB5C0E">
        <w:rPr>
          <w:lang w:val="en-US"/>
        </w:rPr>
        <w:t xml:space="preserve"> (2.7</w:t>
      </w:r>
      <w:r w:rsidR="006F23D2" w:rsidRPr="00FB5C0E">
        <w:rPr>
          <w:lang w:val="en-US"/>
        </w:rPr>
        <w:t xml:space="preserve"> </w:t>
      </w:r>
      <w:r w:rsidRPr="00FB5C0E">
        <w:rPr>
          <w:lang w:val="en-US"/>
        </w:rPr>
        <w:t>%); in the Basal treatment Chaetomium (2.2</w:t>
      </w:r>
      <w:r w:rsidR="006F23D2" w:rsidRPr="00FB5C0E">
        <w:rPr>
          <w:lang w:val="en-US"/>
        </w:rPr>
        <w:t xml:space="preserve"> </w:t>
      </w:r>
      <w:r w:rsidRPr="00FB5C0E">
        <w:rPr>
          <w:lang w:val="en-US"/>
        </w:rPr>
        <w:t xml:space="preserve">%) and </w:t>
      </w:r>
      <w:proofErr w:type="spellStart"/>
      <w:r w:rsidRPr="00FB5C0E">
        <w:rPr>
          <w:lang w:val="en-US"/>
        </w:rPr>
        <w:t>Curvularia</w:t>
      </w:r>
      <w:proofErr w:type="spellEnd"/>
      <w:r w:rsidRPr="00FB5C0E">
        <w:rPr>
          <w:lang w:val="en-US"/>
        </w:rPr>
        <w:t xml:space="preserve"> (2.1</w:t>
      </w:r>
      <w:r w:rsidR="006F23D2" w:rsidRPr="00FB5C0E">
        <w:rPr>
          <w:lang w:val="en-US"/>
        </w:rPr>
        <w:t xml:space="preserve"> </w:t>
      </w:r>
      <w:r w:rsidRPr="00FB5C0E">
        <w:rPr>
          <w:lang w:val="en-US"/>
        </w:rPr>
        <w:t>%); in the control treatment, Fusarium (35.6</w:t>
      </w:r>
      <w:r w:rsidR="006F23D2" w:rsidRPr="00FB5C0E">
        <w:rPr>
          <w:lang w:val="en-US"/>
        </w:rPr>
        <w:t xml:space="preserve"> </w:t>
      </w:r>
      <w:r w:rsidRPr="00FB5C0E">
        <w:rPr>
          <w:lang w:val="en-US"/>
        </w:rPr>
        <w:t>%), Chaetomium (9.1</w:t>
      </w:r>
      <w:r w:rsidR="006F23D2" w:rsidRPr="00FB5C0E">
        <w:rPr>
          <w:lang w:val="en-US"/>
        </w:rPr>
        <w:t xml:space="preserve"> </w:t>
      </w:r>
      <w:r w:rsidRPr="00FB5C0E">
        <w:rPr>
          <w:lang w:val="en-US"/>
        </w:rPr>
        <w:t xml:space="preserve">%), </w:t>
      </w:r>
      <w:proofErr w:type="spellStart"/>
      <w:r w:rsidRPr="00FB5C0E">
        <w:rPr>
          <w:lang w:val="en-US"/>
        </w:rPr>
        <w:t>Humicola</w:t>
      </w:r>
      <w:proofErr w:type="spellEnd"/>
      <w:r w:rsidRPr="00FB5C0E">
        <w:rPr>
          <w:lang w:val="en-US"/>
        </w:rPr>
        <w:t xml:space="preserve"> (4.7</w:t>
      </w:r>
      <w:r w:rsidR="006F23D2" w:rsidRPr="00FB5C0E">
        <w:rPr>
          <w:lang w:val="en-US"/>
        </w:rPr>
        <w:t xml:space="preserve"> </w:t>
      </w:r>
      <w:r w:rsidRPr="00FB5C0E">
        <w:rPr>
          <w:lang w:val="en-US"/>
        </w:rPr>
        <w:t xml:space="preserve">%), </w:t>
      </w:r>
      <w:proofErr w:type="spellStart"/>
      <w:r w:rsidRPr="00FB5C0E">
        <w:rPr>
          <w:lang w:val="en-US"/>
        </w:rPr>
        <w:t>Curvularia</w:t>
      </w:r>
      <w:proofErr w:type="spellEnd"/>
      <w:r w:rsidRPr="00FB5C0E">
        <w:rPr>
          <w:lang w:val="en-US"/>
        </w:rPr>
        <w:t xml:space="preserve"> (4.4</w:t>
      </w:r>
      <w:r w:rsidR="006F23D2" w:rsidRPr="00FB5C0E">
        <w:rPr>
          <w:lang w:val="en-US"/>
        </w:rPr>
        <w:t xml:space="preserve"> </w:t>
      </w:r>
      <w:r w:rsidRPr="00FB5C0E">
        <w:rPr>
          <w:lang w:val="en-US"/>
        </w:rPr>
        <w:t>%), Aspergillus (3.7</w:t>
      </w:r>
      <w:r w:rsidR="006F23D2" w:rsidRPr="00FB5C0E">
        <w:rPr>
          <w:lang w:val="en-US"/>
        </w:rPr>
        <w:t xml:space="preserve"> </w:t>
      </w:r>
      <w:r w:rsidRPr="00FB5C0E">
        <w:rPr>
          <w:lang w:val="en-US"/>
        </w:rPr>
        <w:t xml:space="preserve">%), </w:t>
      </w:r>
      <w:proofErr w:type="spellStart"/>
      <w:r w:rsidRPr="00FB5C0E">
        <w:rPr>
          <w:lang w:val="en-US"/>
        </w:rPr>
        <w:t>Chrysocorona</w:t>
      </w:r>
      <w:proofErr w:type="spellEnd"/>
      <w:r w:rsidRPr="00FB5C0E">
        <w:rPr>
          <w:lang w:val="en-US"/>
        </w:rPr>
        <w:t xml:space="preserve"> (2.3</w:t>
      </w:r>
      <w:r w:rsidR="006F23D2" w:rsidRPr="00FB5C0E">
        <w:rPr>
          <w:lang w:val="en-US"/>
        </w:rPr>
        <w:t xml:space="preserve"> </w:t>
      </w:r>
      <w:r w:rsidRPr="00FB5C0E">
        <w:rPr>
          <w:lang w:val="en-US"/>
        </w:rPr>
        <w:t>%), and Ascomycota (1.4</w:t>
      </w:r>
      <w:r w:rsidR="006F23D2" w:rsidRPr="00FB5C0E">
        <w:rPr>
          <w:lang w:val="en-US"/>
        </w:rPr>
        <w:t xml:space="preserve"> </w:t>
      </w:r>
      <w:r w:rsidRPr="00FB5C0E">
        <w:rPr>
          <w:lang w:val="en-US"/>
        </w:rPr>
        <w:t>%); and in the treatment with the application of the compound 22-Oxocholestanes SPGP4, Fusarium (38.3</w:t>
      </w:r>
      <w:r w:rsidR="006F23D2" w:rsidRPr="00FB5C0E">
        <w:rPr>
          <w:lang w:val="en-US"/>
        </w:rPr>
        <w:t xml:space="preserve"> </w:t>
      </w:r>
      <w:r w:rsidRPr="00FB5C0E">
        <w:rPr>
          <w:lang w:val="en-US"/>
        </w:rPr>
        <w:t>%), Chaetomium (11.8</w:t>
      </w:r>
      <w:r w:rsidR="006F23D2" w:rsidRPr="00FB5C0E">
        <w:rPr>
          <w:lang w:val="en-US"/>
        </w:rPr>
        <w:t xml:space="preserve"> </w:t>
      </w:r>
      <w:r w:rsidRPr="00FB5C0E">
        <w:rPr>
          <w:lang w:val="en-US"/>
        </w:rPr>
        <w:t xml:space="preserve">%), </w:t>
      </w:r>
      <w:proofErr w:type="spellStart"/>
      <w:r w:rsidRPr="00FB5C0E">
        <w:rPr>
          <w:lang w:val="en-US"/>
        </w:rPr>
        <w:t>Humicola</w:t>
      </w:r>
      <w:proofErr w:type="spellEnd"/>
      <w:r w:rsidRPr="00FB5C0E">
        <w:rPr>
          <w:lang w:val="en-US"/>
        </w:rPr>
        <w:t xml:space="preserve"> (5.9</w:t>
      </w:r>
      <w:r w:rsidR="006F23D2" w:rsidRPr="00FB5C0E">
        <w:rPr>
          <w:lang w:val="en-US"/>
        </w:rPr>
        <w:t xml:space="preserve"> </w:t>
      </w:r>
      <w:r w:rsidRPr="00FB5C0E">
        <w:rPr>
          <w:lang w:val="en-US"/>
        </w:rPr>
        <w:t xml:space="preserve">%), </w:t>
      </w:r>
      <w:proofErr w:type="spellStart"/>
      <w:r w:rsidRPr="00FB5C0E">
        <w:rPr>
          <w:lang w:val="en-US"/>
        </w:rPr>
        <w:t>Curvularia</w:t>
      </w:r>
      <w:proofErr w:type="spellEnd"/>
      <w:r w:rsidRPr="00FB5C0E">
        <w:rPr>
          <w:lang w:val="en-US"/>
        </w:rPr>
        <w:t xml:space="preserve"> (3.4</w:t>
      </w:r>
      <w:r w:rsidR="006F23D2" w:rsidRPr="00FB5C0E">
        <w:rPr>
          <w:lang w:val="en-US"/>
        </w:rPr>
        <w:t xml:space="preserve"> </w:t>
      </w:r>
      <w:r w:rsidRPr="00FB5C0E">
        <w:rPr>
          <w:lang w:val="en-US"/>
        </w:rPr>
        <w:t>%), Aspergillu</w:t>
      </w:r>
      <w:r w:rsidR="00C2743D" w:rsidRPr="00FB5C0E">
        <w:rPr>
          <w:lang w:val="en-US"/>
        </w:rPr>
        <w:t>s</w:t>
      </w:r>
      <w:r w:rsidRPr="00FB5C0E">
        <w:rPr>
          <w:lang w:val="en-US"/>
        </w:rPr>
        <w:t xml:space="preserve"> (3.0</w:t>
      </w:r>
      <w:r w:rsidR="006F23D2" w:rsidRPr="00FB5C0E">
        <w:rPr>
          <w:lang w:val="en-US"/>
        </w:rPr>
        <w:t xml:space="preserve"> </w:t>
      </w:r>
      <w:r w:rsidRPr="00FB5C0E">
        <w:rPr>
          <w:lang w:val="en-US"/>
        </w:rPr>
        <w:t xml:space="preserve">%), </w:t>
      </w:r>
      <w:proofErr w:type="spellStart"/>
      <w:r w:rsidRPr="00FB5C0E">
        <w:rPr>
          <w:lang w:val="en-US"/>
        </w:rPr>
        <w:t>Chrysocorona</w:t>
      </w:r>
      <w:proofErr w:type="spellEnd"/>
      <w:r w:rsidRPr="00FB5C0E">
        <w:rPr>
          <w:lang w:val="en-US"/>
        </w:rPr>
        <w:t xml:space="preserve"> (2.6</w:t>
      </w:r>
      <w:r w:rsidR="006F23D2" w:rsidRPr="00FB5C0E">
        <w:rPr>
          <w:lang w:val="en-US"/>
        </w:rPr>
        <w:t xml:space="preserve"> </w:t>
      </w:r>
      <w:r w:rsidRPr="00FB5C0E">
        <w:rPr>
          <w:lang w:val="en-US"/>
        </w:rPr>
        <w:t>%), and Ascomycota (2.2</w:t>
      </w:r>
      <w:r w:rsidR="006F23D2" w:rsidRPr="00FB5C0E">
        <w:rPr>
          <w:lang w:val="en-US"/>
        </w:rPr>
        <w:t xml:space="preserve"> </w:t>
      </w:r>
      <w:r w:rsidRPr="00FB5C0E">
        <w:rPr>
          <w:lang w:val="en-US"/>
        </w:rPr>
        <w:t>%).</w:t>
      </w:r>
    </w:p>
    <w:p w14:paraId="15836FFD" w14:textId="77777777" w:rsidR="00CE14B3" w:rsidRPr="001D4E67" w:rsidRDefault="00CE14B3" w:rsidP="001D4E67">
      <w:pPr>
        <w:pStyle w:val="MDPI22heading2"/>
        <w:spacing w:before="240" w:line="480" w:lineRule="auto"/>
        <w:ind w:left="0" w:firstLine="708"/>
        <w:jc w:val="both"/>
        <w:rPr>
          <w:rFonts w:ascii="Times New Roman" w:hAnsi="Times New Roman"/>
          <w:i w:val="0"/>
          <w:noProof w:val="0"/>
          <w:color w:val="auto"/>
          <w:sz w:val="24"/>
          <w:szCs w:val="24"/>
        </w:rPr>
      </w:pPr>
    </w:p>
    <w:p w14:paraId="6E6BF7BA" w14:textId="77777777" w:rsidR="00B40CCC" w:rsidRPr="001D4E67" w:rsidRDefault="00B40CCC" w:rsidP="001D4E67">
      <w:pPr>
        <w:shd w:val="clear" w:color="auto" w:fill="FFFFFF"/>
        <w:spacing w:line="480" w:lineRule="auto"/>
        <w:rPr>
          <w:b/>
          <w:u w:color="000000"/>
          <w:lang w:val="en-US" w:eastAsia="es-ES"/>
        </w:rPr>
      </w:pPr>
      <w:r w:rsidRPr="001D4E67">
        <w:rPr>
          <w:b/>
          <w:u w:color="000000"/>
          <w:lang w:val="en-US" w:eastAsia="es-ES"/>
        </w:rPr>
        <w:lastRenderedPageBreak/>
        <w:t>DISCUSSI</w:t>
      </w:r>
      <w:r w:rsidR="00CE14B3" w:rsidRPr="001D4E67">
        <w:rPr>
          <w:b/>
          <w:u w:color="000000"/>
          <w:lang w:val="en-US" w:eastAsia="es-ES"/>
        </w:rPr>
        <w:t>O</w:t>
      </w:r>
      <w:r w:rsidRPr="001D4E67">
        <w:rPr>
          <w:b/>
          <w:u w:color="000000"/>
          <w:lang w:val="en-US" w:eastAsia="es-ES"/>
        </w:rPr>
        <w:t>N</w:t>
      </w:r>
    </w:p>
    <w:p w14:paraId="3F0B8AF7" w14:textId="5AAEBD13" w:rsidR="00CE14B3" w:rsidRPr="00FB5C0E" w:rsidRDefault="00CE14B3" w:rsidP="00380689">
      <w:pPr>
        <w:pStyle w:val="EstiloActa"/>
        <w:spacing w:before="100" w:beforeAutospacing="1" w:after="100" w:afterAutospacing="1"/>
        <w:ind w:firstLine="709"/>
        <w:jc w:val="both"/>
        <w:rPr>
          <w:b/>
          <w:lang w:val="en-US"/>
        </w:rPr>
      </w:pPr>
      <w:r w:rsidRPr="00FB5C0E">
        <w:rPr>
          <w:lang w:val="en-US"/>
        </w:rPr>
        <w:t xml:space="preserve">Soil microbiota plays an important role in plant health through the provision of nutrients, as well as through the production of metabolites and enzymes that </w:t>
      </w:r>
      <w:r w:rsidR="00126558" w:rsidRPr="00FB5C0E">
        <w:rPr>
          <w:bCs/>
          <w:lang w:val="en-US"/>
        </w:rPr>
        <w:t>are involved in pathogen biocontrol</w:t>
      </w:r>
      <w:r w:rsidR="00126558" w:rsidRPr="00FB5C0E">
        <w:rPr>
          <w:lang w:val="en-US"/>
        </w:rPr>
        <w:t xml:space="preserve"> </w:t>
      </w:r>
      <w:r w:rsidRPr="00FB5C0E">
        <w:rPr>
          <w:lang w:val="en-US"/>
        </w:rPr>
        <w:t>and promote plant immunity in general. Two important factors that determine soil diversity are plant type and soil type (</w:t>
      </w:r>
      <w:proofErr w:type="spellStart"/>
      <w:r w:rsidRPr="00FB5C0E">
        <w:rPr>
          <w:bCs/>
          <w:shd w:val="clear" w:color="auto" w:fill="FFFFFF"/>
          <w:lang w:val="en-US"/>
        </w:rPr>
        <w:t>Guseva</w:t>
      </w:r>
      <w:proofErr w:type="spellEnd"/>
      <w:r w:rsidRPr="00FB5C0E">
        <w:rPr>
          <w:bCs/>
          <w:lang w:val="en-US"/>
        </w:rPr>
        <w:t xml:space="preserve"> et al., 2022</w:t>
      </w:r>
      <w:r w:rsidRPr="00FB5C0E">
        <w:rPr>
          <w:lang w:val="en-US"/>
        </w:rPr>
        <w:t xml:space="preserve">). In the analysis of the soils, the phyla Actinobacteria, </w:t>
      </w:r>
      <w:proofErr w:type="spellStart"/>
      <w:r w:rsidRPr="00FB5C0E">
        <w:rPr>
          <w:lang w:val="en-US"/>
        </w:rPr>
        <w:t>Acidobacteriota</w:t>
      </w:r>
      <w:proofErr w:type="spellEnd"/>
      <w:r w:rsidRPr="00FB5C0E">
        <w:rPr>
          <w:lang w:val="en-US"/>
        </w:rPr>
        <w:t xml:space="preserve">, and Proteobacteria were found to be the most abundant taxa </w:t>
      </w:r>
      <w:r w:rsidR="00460472" w:rsidRPr="00FB5C0E">
        <w:rPr>
          <w:lang w:val="en-US"/>
        </w:rPr>
        <w:t xml:space="preserve">across </w:t>
      </w:r>
      <w:r w:rsidRPr="00FB5C0E">
        <w:rPr>
          <w:lang w:val="en-US"/>
        </w:rPr>
        <w:t>treatments</w:t>
      </w:r>
      <w:r w:rsidR="00460472" w:rsidRPr="00FB5C0E">
        <w:rPr>
          <w:lang w:val="en-US"/>
        </w:rPr>
        <w:t xml:space="preserve"> </w:t>
      </w:r>
      <w:r w:rsidRPr="00FB5C0E">
        <w:rPr>
          <w:lang w:val="en-US"/>
        </w:rPr>
        <w:t xml:space="preserve">Chaudhary et al., 2021 also reported that Proteobacteria are the most abundant in the microbiota of the maize rhizosphere when </w:t>
      </w:r>
      <w:r w:rsidRPr="00FB5C0E">
        <w:rPr>
          <w:i/>
          <w:iCs/>
          <w:lang w:val="en-US"/>
        </w:rPr>
        <w:t xml:space="preserve">Pseudomonas </w:t>
      </w:r>
      <w:proofErr w:type="spellStart"/>
      <w:r w:rsidRPr="00FB5C0E">
        <w:rPr>
          <w:i/>
          <w:iCs/>
          <w:lang w:val="en-US"/>
        </w:rPr>
        <w:t>taiwanensis</w:t>
      </w:r>
      <w:proofErr w:type="spellEnd"/>
      <w:r w:rsidRPr="00FB5C0E">
        <w:rPr>
          <w:lang w:val="en-US"/>
        </w:rPr>
        <w:t xml:space="preserve"> and </w:t>
      </w:r>
      <w:proofErr w:type="spellStart"/>
      <w:r w:rsidRPr="00FB5C0E">
        <w:rPr>
          <w:lang w:val="en-US"/>
        </w:rPr>
        <w:t>nanogypsum</w:t>
      </w:r>
      <w:proofErr w:type="spellEnd"/>
      <w:r w:rsidRPr="00FB5C0E">
        <w:rPr>
          <w:lang w:val="en-US"/>
        </w:rPr>
        <w:t xml:space="preserve"> were added. However, when performing the analysis of relative abundance (ASVs) between the treatments, no significant difference was found at (</w:t>
      </w:r>
      <w:r w:rsidR="00A23597" w:rsidRPr="00FB5C0E">
        <w:rPr>
          <w:i/>
          <w:iCs/>
          <w:lang w:val="en-US"/>
        </w:rPr>
        <w:t xml:space="preserve">p </w:t>
      </w:r>
      <w:r w:rsidRPr="00FB5C0E">
        <w:rPr>
          <w:lang w:val="en-US"/>
        </w:rPr>
        <w:t>&lt;</w:t>
      </w:r>
      <w:r w:rsidR="00A23597" w:rsidRPr="00FB5C0E">
        <w:rPr>
          <w:lang w:val="en-US"/>
        </w:rPr>
        <w:t xml:space="preserve"> </w:t>
      </w:r>
      <w:r w:rsidRPr="00FB5C0E">
        <w:rPr>
          <w:lang w:val="en-US"/>
        </w:rPr>
        <w:t>0.05), this indicates that the compound 22-Oxocholestanes SPGP4 does not affect soil microbiota.</w:t>
      </w:r>
    </w:p>
    <w:p w14:paraId="75C1AFAC" w14:textId="7EDE7105" w:rsidR="00C94A2B" w:rsidRPr="00FB5C0E" w:rsidRDefault="00EB69B6" w:rsidP="00380689">
      <w:pPr>
        <w:pStyle w:val="EstiloActa"/>
        <w:spacing w:before="100" w:beforeAutospacing="1" w:after="100" w:afterAutospacing="1"/>
        <w:ind w:firstLine="709"/>
        <w:jc w:val="both"/>
        <w:rPr>
          <w:b/>
          <w:lang w:val="en-US"/>
        </w:rPr>
      </w:pPr>
      <w:r w:rsidRPr="00FB5C0E">
        <w:rPr>
          <w:lang w:val="en-US"/>
        </w:rPr>
        <w:t xml:space="preserve">No significant differences were found in the most abundant bacterial genera reported, such as </w:t>
      </w:r>
      <w:r w:rsidRPr="00FB5C0E">
        <w:rPr>
          <w:i/>
          <w:iCs/>
          <w:lang w:val="en-US"/>
        </w:rPr>
        <w:t>Bacillu</w:t>
      </w:r>
      <w:r w:rsidRPr="00FB5C0E">
        <w:rPr>
          <w:lang w:val="en-US"/>
        </w:rPr>
        <w:t xml:space="preserve">s, </w:t>
      </w:r>
      <w:r w:rsidRPr="00FB5C0E">
        <w:rPr>
          <w:i/>
          <w:iCs/>
          <w:lang w:val="en-US"/>
        </w:rPr>
        <w:t>Streptomyces</w:t>
      </w:r>
      <w:r w:rsidRPr="00FB5C0E">
        <w:rPr>
          <w:lang w:val="en-US"/>
        </w:rPr>
        <w:t xml:space="preserve">, and </w:t>
      </w:r>
      <w:proofErr w:type="spellStart"/>
      <w:r w:rsidRPr="00FB5C0E">
        <w:rPr>
          <w:i/>
          <w:iCs/>
          <w:lang w:val="en-US"/>
        </w:rPr>
        <w:t>Nocardioides</w:t>
      </w:r>
      <w:proofErr w:type="spellEnd"/>
      <w:r w:rsidR="00CE14B3" w:rsidRPr="00FB5C0E">
        <w:rPr>
          <w:lang w:val="en-US"/>
        </w:rPr>
        <w:t xml:space="preserve">. </w:t>
      </w:r>
      <w:r w:rsidR="00063CCB" w:rsidRPr="00FB5C0E">
        <w:rPr>
          <w:lang w:val="en-US"/>
        </w:rPr>
        <w:t>The most abundant</w:t>
      </w:r>
      <w:r w:rsidR="00CE14B3" w:rsidRPr="00FB5C0E">
        <w:rPr>
          <w:lang w:val="en-US"/>
        </w:rPr>
        <w:t xml:space="preserve"> genera</w:t>
      </w:r>
      <w:r w:rsidR="00063CCB" w:rsidRPr="00FB5C0E">
        <w:rPr>
          <w:lang w:val="en-US"/>
        </w:rPr>
        <w:t>,</w:t>
      </w:r>
      <w:r w:rsidR="00CE14B3" w:rsidRPr="00FB5C0E">
        <w:rPr>
          <w:lang w:val="en-US"/>
        </w:rPr>
        <w:t xml:space="preserve"> such as </w:t>
      </w:r>
      <w:r w:rsidR="00CE14B3" w:rsidRPr="00FB5C0E">
        <w:rPr>
          <w:i/>
          <w:iCs/>
          <w:lang w:val="en-US"/>
        </w:rPr>
        <w:t>Bacillus</w:t>
      </w:r>
      <w:r w:rsidR="00063CCB" w:rsidRPr="00FB5C0E">
        <w:rPr>
          <w:lang w:val="en-US"/>
        </w:rPr>
        <w:t>,</w:t>
      </w:r>
      <w:r w:rsidR="00CE14B3" w:rsidRPr="00FB5C0E">
        <w:rPr>
          <w:lang w:val="en-US"/>
        </w:rPr>
        <w:t xml:space="preserve"> are related to different mechanisms that promote plant growth such as the production of indoleacetic acid and phosphate solubilization, as well as the production of antibiotics and lytic enzymes that protect plants from pathogens. </w:t>
      </w:r>
      <w:r w:rsidR="00C2743D" w:rsidRPr="00FB5C0E">
        <w:rPr>
          <w:lang w:val="en-US"/>
        </w:rPr>
        <w:t>A strain of Bacillus thuringiensis was reported with entomopathogenic activity against different insects (</w:t>
      </w:r>
      <w:proofErr w:type="spellStart"/>
      <w:r w:rsidR="00C2743D" w:rsidRPr="00FB5C0E">
        <w:rPr>
          <w:lang w:val="en-US"/>
        </w:rPr>
        <w:t>Ragasruthi</w:t>
      </w:r>
      <w:proofErr w:type="spellEnd"/>
      <w:r w:rsidR="00C2743D" w:rsidRPr="00FB5C0E">
        <w:rPr>
          <w:lang w:val="en-US"/>
        </w:rPr>
        <w:t xml:space="preserve"> et al., 2024), in this study the presence of the genus </w:t>
      </w:r>
      <w:r w:rsidR="00C2743D" w:rsidRPr="00FB5C0E">
        <w:rPr>
          <w:i/>
          <w:iCs/>
          <w:lang w:val="en-US"/>
        </w:rPr>
        <w:t xml:space="preserve">Bacillus </w:t>
      </w:r>
      <w:r w:rsidR="00C2743D" w:rsidRPr="00FB5C0E">
        <w:rPr>
          <w:lang w:val="en-US"/>
        </w:rPr>
        <w:t>was detected in the soils of the plots studied</w:t>
      </w:r>
      <w:r w:rsidR="00CE14B3" w:rsidRPr="00FB5C0E">
        <w:rPr>
          <w:lang w:val="en-US"/>
        </w:rPr>
        <w:t>. For the genus Streptomyces, some species with the capacity for biocontrol have been reported</w:t>
      </w:r>
      <w:r w:rsidR="00361E2D" w:rsidRPr="00FB5C0E">
        <w:rPr>
          <w:lang w:val="en-US"/>
        </w:rPr>
        <w:t>.</w:t>
      </w:r>
      <w:r w:rsidR="00CE14B3" w:rsidRPr="00FB5C0E">
        <w:rPr>
          <w:lang w:val="en-US"/>
        </w:rPr>
        <w:t xml:space="preserve"> </w:t>
      </w:r>
      <w:r w:rsidR="00361E2D" w:rsidRPr="00FB5C0E">
        <w:rPr>
          <w:lang w:val="en-US"/>
        </w:rPr>
        <w:t>I</w:t>
      </w:r>
      <w:r w:rsidR="00CE14B3" w:rsidRPr="00FB5C0E">
        <w:rPr>
          <w:lang w:val="en-US"/>
        </w:rPr>
        <w:t xml:space="preserve">n the genus </w:t>
      </w:r>
      <w:proofErr w:type="spellStart"/>
      <w:r w:rsidR="00CE14B3" w:rsidRPr="00FB5C0E">
        <w:rPr>
          <w:i/>
          <w:iCs/>
          <w:lang w:val="en-US"/>
        </w:rPr>
        <w:t>Nocardioides</w:t>
      </w:r>
      <w:proofErr w:type="spellEnd"/>
      <w:r w:rsidR="00CE14B3" w:rsidRPr="00FB5C0E">
        <w:rPr>
          <w:lang w:val="en-US"/>
        </w:rPr>
        <w:t>, some species isolated from the maize rhizosphere are related to pesticide and hydrocarbon degradation processes (</w:t>
      </w:r>
      <w:r w:rsidR="00CE14B3" w:rsidRPr="00FB5C0E">
        <w:rPr>
          <w:bCs/>
          <w:shd w:val="clear" w:color="auto" w:fill="FFFFFF"/>
          <w:lang w:val="en-US"/>
        </w:rPr>
        <w:t>Ma</w:t>
      </w:r>
      <w:r w:rsidR="00CE14B3" w:rsidRPr="00FB5C0E">
        <w:rPr>
          <w:bCs/>
          <w:lang w:val="en-US"/>
        </w:rPr>
        <w:t xml:space="preserve"> et al., 2023</w:t>
      </w:r>
      <w:r w:rsidR="00CE14B3" w:rsidRPr="00FB5C0E">
        <w:rPr>
          <w:lang w:val="en-US"/>
        </w:rPr>
        <w:t xml:space="preserve">; </w:t>
      </w:r>
      <w:proofErr w:type="spellStart"/>
      <w:r w:rsidR="00CE14B3" w:rsidRPr="00FB5C0E">
        <w:rPr>
          <w:lang w:val="en-US"/>
        </w:rPr>
        <w:t>Ayswaria</w:t>
      </w:r>
      <w:proofErr w:type="spellEnd"/>
      <w:r w:rsidR="00CE14B3" w:rsidRPr="00FB5C0E">
        <w:rPr>
          <w:lang w:val="en-US"/>
        </w:rPr>
        <w:t xml:space="preserve"> et al., 2020; Singha and Pandey, 2021). With respect to </w:t>
      </w:r>
      <w:r w:rsidR="00A23597" w:rsidRPr="00FB5C0E">
        <w:rPr>
          <w:lang w:val="en-US"/>
        </w:rPr>
        <w:t>microbiota</w:t>
      </w:r>
      <w:r w:rsidR="00CE14B3" w:rsidRPr="00FB5C0E">
        <w:rPr>
          <w:lang w:val="en-US"/>
        </w:rPr>
        <w:t xml:space="preserve">, the most </w:t>
      </w:r>
      <w:r w:rsidR="00CE14B3" w:rsidRPr="00FB5C0E">
        <w:rPr>
          <w:lang w:val="en-US"/>
        </w:rPr>
        <w:lastRenderedPageBreak/>
        <w:t>abundant phyla in the treatments were Ascomycota and Basidiomycota</w:t>
      </w:r>
      <w:r w:rsidR="00A23597" w:rsidRPr="00FB5C0E">
        <w:rPr>
          <w:lang w:val="en-US"/>
        </w:rPr>
        <w:t>;</w:t>
      </w:r>
      <w:r w:rsidR="00CE14B3" w:rsidRPr="00FB5C0E">
        <w:rPr>
          <w:lang w:val="en-US"/>
        </w:rPr>
        <w:t xml:space="preserve"> however, when comparing the relative abundance analysis (ASVs) between the treatments, no significant difference was found (</w:t>
      </w:r>
      <w:r w:rsidR="00A23597" w:rsidRPr="00FB5C0E">
        <w:rPr>
          <w:i/>
          <w:iCs/>
          <w:lang w:val="en-US"/>
        </w:rPr>
        <w:t xml:space="preserve">p </w:t>
      </w:r>
      <w:r w:rsidR="00CE14B3" w:rsidRPr="00FB5C0E">
        <w:rPr>
          <w:lang w:val="en-US"/>
        </w:rPr>
        <w:t>&lt;</w:t>
      </w:r>
      <w:r w:rsidR="00A23597" w:rsidRPr="00FB5C0E">
        <w:rPr>
          <w:lang w:val="en-US"/>
        </w:rPr>
        <w:t xml:space="preserve"> </w:t>
      </w:r>
      <w:r w:rsidR="00CE14B3" w:rsidRPr="00FB5C0E">
        <w:rPr>
          <w:lang w:val="en-US"/>
        </w:rPr>
        <w:t xml:space="preserve">0.05) in microbial diversity (Fig. </w:t>
      </w:r>
      <w:r w:rsidR="00CA7445" w:rsidRPr="00FB5C0E">
        <w:rPr>
          <w:lang w:val="en-US"/>
        </w:rPr>
        <w:t>3c, 3d</w:t>
      </w:r>
      <w:r w:rsidR="00CE14B3" w:rsidRPr="00FB5C0E">
        <w:rPr>
          <w:lang w:val="en-US"/>
        </w:rPr>
        <w:t xml:space="preserve">). This same behavior was reported by </w:t>
      </w:r>
      <w:r w:rsidR="00CE14B3" w:rsidRPr="00FB5C0E">
        <w:rPr>
          <w:bCs/>
          <w:shd w:val="clear" w:color="auto" w:fill="FFFFFF"/>
          <w:lang w:val="en-US"/>
        </w:rPr>
        <w:t>Qu</w:t>
      </w:r>
      <w:r w:rsidR="00CE14B3" w:rsidRPr="00FB5C0E">
        <w:rPr>
          <w:bCs/>
          <w:lang w:val="en-US"/>
        </w:rPr>
        <w:t xml:space="preserve"> et al. 2022</w:t>
      </w:r>
      <w:r w:rsidR="00CE14B3" w:rsidRPr="00FB5C0E">
        <w:rPr>
          <w:lang w:val="en-US"/>
        </w:rPr>
        <w:t xml:space="preserve">, where the predominant communities in subtropical forest soils in China are Ascomycota and Basidiomycota. </w:t>
      </w:r>
      <w:r w:rsidR="00C94A2B" w:rsidRPr="00FB5C0E">
        <w:rPr>
          <w:lang w:val="en-US"/>
        </w:rPr>
        <w:t>This also agrees with what was reported by Wang et al. 2023, where the most abundant phyla detected were Ascomycota and Basidiomycota in six different forest soils, which may be involved in the ecological and biochemical processes of forests. This has also been reported in agricultural soils, where microorganisms are fundamental in biogeochemical cycles. Furthermore, the presence of certain fungi can confer resistance to water and heat stress in crops (Cruz-Cárdenas et al., 2021).</w:t>
      </w:r>
    </w:p>
    <w:p w14:paraId="5AE5F967" w14:textId="6CE73C81" w:rsidR="00CE14B3" w:rsidRPr="00FB5C0E" w:rsidRDefault="009376A3" w:rsidP="00380689">
      <w:pPr>
        <w:pStyle w:val="EstiloActa"/>
        <w:spacing w:before="100" w:beforeAutospacing="1" w:after="100" w:afterAutospacing="1"/>
        <w:ind w:firstLine="709"/>
        <w:jc w:val="both"/>
        <w:rPr>
          <w:b/>
          <w:lang w:val="en-US"/>
        </w:rPr>
      </w:pPr>
      <w:r w:rsidRPr="00FB5C0E">
        <w:rPr>
          <w:lang w:val="en-US"/>
        </w:rPr>
        <w:t>The dominant microbial groups are those that influence the productivity of maize when intercropped with legumes</w:t>
      </w:r>
      <w:r w:rsidR="00CE14B3" w:rsidRPr="00FB5C0E">
        <w:rPr>
          <w:lang w:val="en-US"/>
        </w:rPr>
        <w:t xml:space="preserve">. The main genus identified was </w:t>
      </w:r>
      <w:r w:rsidR="00CE14B3" w:rsidRPr="00FB5C0E">
        <w:rPr>
          <w:i/>
          <w:iCs/>
          <w:lang w:val="en-US"/>
        </w:rPr>
        <w:t>Aspergillus</w:t>
      </w:r>
      <w:r w:rsidR="00CE14B3" w:rsidRPr="00FB5C0E">
        <w:rPr>
          <w:lang w:val="en-US"/>
        </w:rPr>
        <w:t>, which is important in the carbon and phosphorus cycles. The compound 22-Oxocholestanes SPGP4 did not affect soil microbial diversity, but it has been reported to have growth promoting activity and increased maize production in a range of 8.9-32.5</w:t>
      </w:r>
      <w:r w:rsidR="006F23D2" w:rsidRPr="00FB5C0E">
        <w:rPr>
          <w:lang w:val="en-US"/>
        </w:rPr>
        <w:t xml:space="preserve"> </w:t>
      </w:r>
      <w:r w:rsidR="00CE14B3" w:rsidRPr="00FB5C0E">
        <w:rPr>
          <w:lang w:val="en-US"/>
        </w:rPr>
        <w:t xml:space="preserve">% in the plots evaluated in fields in the State of Oaxaca. </w:t>
      </w:r>
      <w:r w:rsidR="00026CFC" w:rsidRPr="00FB5C0E">
        <w:rPr>
          <w:lang w:val="en-US"/>
        </w:rPr>
        <w:t>The</w:t>
      </w:r>
      <w:r w:rsidR="00CE14B3" w:rsidRPr="00FB5C0E">
        <w:rPr>
          <w:lang w:val="en-US"/>
        </w:rPr>
        <w:t xml:space="preserve"> same effect was observed in bean crops, increasing production by 12.3 to 28.3</w:t>
      </w:r>
      <w:r w:rsidR="006F23D2" w:rsidRPr="00FB5C0E">
        <w:rPr>
          <w:lang w:val="en-US"/>
        </w:rPr>
        <w:t xml:space="preserve"> </w:t>
      </w:r>
      <w:r w:rsidR="00CE14B3" w:rsidRPr="00FB5C0E">
        <w:rPr>
          <w:lang w:val="en-US"/>
        </w:rPr>
        <w:t>% (López</w:t>
      </w:r>
      <w:r w:rsidR="00255EB5" w:rsidRPr="00FB5C0E">
        <w:rPr>
          <w:lang w:val="en-US"/>
        </w:rPr>
        <w:t>-Castillo</w:t>
      </w:r>
      <w:r w:rsidR="00CE14B3" w:rsidRPr="00FB5C0E">
        <w:rPr>
          <w:lang w:val="en-US"/>
        </w:rPr>
        <w:t xml:space="preserve"> et al., 2024). </w:t>
      </w:r>
    </w:p>
    <w:p w14:paraId="0D0E810E" w14:textId="77777777" w:rsidR="00CE14B3" w:rsidRPr="00CD52AA" w:rsidRDefault="00CE14B3" w:rsidP="00C62203">
      <w:pPr>
        <w:shd w:val="clear" w:color="auto" w:fill="FFFFFF"/>
        <w:spacing w:line="480" w:lineRule="auto"/>
        <w:rPr>
          <w:rFonts w:ascii="Ancizar Sans" w:hAnsi="Ancizar Sans"/>
          <w:bCs/>
          <w:u w:color="000000"/>
          <w:lang w:val="en-US" w:eastAsia="es-ES"/>
        </w:rPr>
      </w:pPr>
    </w:p>
    <w:p w14:paraId="0079A4FF" w14:textId="77777777" w:rsidR="00B40CCC" w:rsidRPr="00CD52AA" w:rsidRDefault="00B40CCC" w:rsidP="00C62203">
      <w:pPr>
        <w:shd w:val="clear" w:color="auto" w:fill="FFFFFF"/>
        <w:spacing w:line="480" w:lineRule="auto"/>
        <w:rPr>
          <w:b/>
          <w:u w:color="000000"/>
          <w:lang w:val="en-US" w:eastAsia="es-ES"/>
        </w:rPr>
      </w:pPr>
      <w:r w:rsidRPr="00CD52AA">
        <w:rPr>
          <w:b/>
          <w:u w:color="000000"/>
          <w:lang w:val="en-US" w:eastAsia="es-ES"/>
        </w:rPr>
        <w:t>CONCLUSIONS</w:t>
      </w:r>
    </w:p>
    <w:p w14:paraId="55BB72DF" w14:textId="77777777" w:rsidR="00CE14B3" w:rsidRPr="00CD52AA" w:rsidRDefault="00CE14B3" w:rsidP="00380689">
      <w:pPr>
        <w:pStyle w:val="EstiloActa"/>
        <w:spacing w:before="100" w:beforeAutospacing="1" w:after="100" w:afterAutospacing="1"/>
        <w:jc w:val="both"/>
        <w:rPr>
          <w:rStyle w:val="Cuadrculamedia11"/>
          <w:color w:val="auto"/>
          <w:lang w:val="en-US"/>
        </w:rPr>
      </w:pPr>
      <w:r w:rsidRPr="00CD52AA">
        <w:rPr>
          <w:rStyle w:val="Cuadrculamedia11"/>
          <w:color w:val="auto"/>
          <w:lang w:val="en-US"/>
        </w:rPr>
        <w:t xml:space="preserve">The metagenomic analysis of microbial diversity in the soils showed that the application of the compound 22-Oxocholestanes SPGP4, a </w:t>
      </w:r>
      <w:proofErr w:type="spellStart"/>
      <w:r w:rsidRPr="00CD52AA">
        <w:rPr>
          <w:rStyle w:val="Cuadrculamedia11"/>
          <w:color w:val="auto"/>
          <w:lang w:val="en-US"/>
        </w:rPr>
        <w:t>brassinosteroid</w:t>
      </w:r>
      <w:proofErr w:type="spellEnd"/>
      <w:r w:rsidRPr="00CD52AA">
        <w:rPr>
          <w:rStyle w:val="Cuadrculamedia11"/>
          <w:color w:val="auto"/>
          <w:lang w:val="en-US"/>
        </w:rPr>
        <w:t xml:space="preserve"> analogue, does not affect the </w:t>
      </w:r>
      <w:r w:rsidRPr="00CD52AA">
        <w:rPr>
          <w:rStyle w:val="Cuadrculamedia11"/>
          <w:color w:val="auto"/>
          <w:lang w:val="en-US"/>
        </w:rPr>
        <w:lastRenderedPageBreak/>
        <w:t>communities of bacteria and fungi at the concentration evaluated; this could be observed with the metagenomic results obtained from the diversity, where no significant differences were found in the different plots, as well as in the variety of maize and bean that were planted.</w:t>
      </w:r>
    </w:p>
    <w:p w14:paraId="247CDF8F" w14:textId="77777777" w:rsidR="0093765C" w:rsidRPr="00CD52AA" w:rsidRDefault="0093765C" w:rsidP="00CE14B3">
      <w:pPr>
        <w:shd w:val="clear" w:color="auto" w:fill="FFFFFF"/>
        <w:spacing w:line="360" w:lineRule="auto"/>
        <w:ind w:firstLine="708"/>
        <w:jc w:val="both"/>
        <w:rPr>
          <w:rStyle w:val="Cuadrculamedia11"/>
          <w:color w:val="auto"/>
          <w:lang w:val="en-US"/>
        </w:rPr>
      </w:pPr>
    </w:p>
    <w:p w14:paraId="33FFC4C2" w14:textId="2E621338" w:rsidR="0093765C" w:rsidRDefault="0093765C" w:rsidP="00944E6F">
      <w:pPr>
        <w:shd w:val="clear" w:color="auto" w:fill="FFFFFF"/>
        <w:spacing w:line="360" w:lineRule="auto"/>
        <w:jc w:val="both"/>
        <w:rPr>
          <w:rStyle w:val="Cuadrculamedia11"/>
          <w:b/>
          <w:bCs/>
          <w:color w:val="auto"/>
          <w:lang w:val="en-US"/>
        </w:rPr>
      </w:pPr>
      <w:r w:rsidRPr="00CD52AA">
        <w:rPr>
          <w:rStyle w:val="Cuadrculamedia11"/>
          <w:b/>
          <w:bCs/>
          <w:color w:val="auto"/>
          <w:lang w:val="en-US"/>
        </w:rPr>
        <w:t>AUTHOR</w:t>
      </w:r>
      <w:r w:rsidR="00CD52AA">
        <w:rPr>
          <w:rStyle w:val="Cuadrculamedia11"/>
          <w:b/>
          <w:bCs/>
          <w:color w:val="auto"/>
          <w:lang w:val="en-US"/>
        </w:rPr>
        <w:t xml:space="preserve"> CONTRIBUTIONS</w:t>
      </w:r>
    </w:p>
    <w:p w14:paraId="5ED981C2" w14:textId="77777777" w:rsidR="00CD52AA" w:rsidRPr="00CD52AA" w:rsidRDefault="00CD52AA" w:rsidP="00944E6F">
      <w:pPr>
        <w:shd w:val="clear" w:color="auto" w:fill="FFFFFF"/>
        <w:spacing w:line="360" w:lineRule="auto"/>
        <w:jc w:val="both"/>
        <w:rPr>
          <w:rStyle w:val="Cuadrculamedia11"/>
          <w:b/>
          <w:bCs/>
          <w:color w:val="auto"/>
          <w:lang w:val="en-US"/>
        </w:rPr>
      </w:pPr>
    </w:p>
    <w:p w14:paraId="16BFC801" w14:textId="32125B30" w:rsidR="00CD52AA" w:rsidRPr="00CD52AA" w:rsidRDefault="00944E6F" w:rsidP="006F23D2">
      <w:pPr>
        <w:pStyle w:val="MDPI62BackMatter"/>
        <w:spacing w:before="100" w:beforeAutospacing="1" w:after="100" w:afterAutospacing="1" w:line="480" w:lineRule="auto"/>
        <w:ind w:left="0"/>
        <w:rPr>
          <w:rStyle w:val="Cuadrculamedia11"/>
          <w:rFonts w:ascii="Times New Roman" w:hAnsi="Times New Roman"/>
          <w:bCs/>
          <w:color w:val="auto"/>
          <w:sz w:val="24"/>
          <w:szCs w:val="24"/>
          <w:lang w:val="de-CH"/>
        </w:rPr>
      </w:pPr>
      <w:r w:rsidRPr="00CD52AA">
        <w:rPr>
          <w:rFonts w:ascii="Times New Roman" w:hAnsi="Times New Roman"/>
          <w:b/>
          <w:color w:val="auto"/>
          <w:sz w:val="24"/>
          <w:szCs w:val="24"/>
        </w:rPr>
        <w:t xml:space="preserve">Contributions: </w:t>
      </w:r>
      <w:r w:rsidRPr="00CD52AA">
        <w:rPr>
          <w:rFonts w:ascii="Times New Roman" w:hAnsi="Times New Roman"/>
          <w:bCs/>
          <w:color w:val="auto"/>
          <w:sz w:val="24"/>
          <w:szCs w:val="24"/>
          <w:lang w:val="de-CH"/>
        </w:rPr>
        <w:t xml:space="preserve">Investigation, A.W.V. and J.S.R.; Methodology, A.W.V., D.C.G and S.E.Z.; Software, D.C.G. and A.W.V.; Validation, A.W.V., J.S.R., A.C.C., D.C.G., S.L.C.H., J.C.M., M.M.A S.E.Z., and J.A.F.; Formal analysis, A.W.V., D.C.G and S.E.Z.; Investigation, A.W.V., J.S.R., A.C.C., D.C.G., S.L.C.H., J.C.M., M.M.A., S.E.Z. and J.A.F.; Resources, A.W.V and D.C.G.; Data curation A.W.V., D.C.G and S.E.Z..; Writing—original draft preparation, A.W.V., J.C.M., S.E.Z. and J.A.F.; Writing—review and Editing, A.W.V., J.S.R., A.C.C., D.C.G., S.L.C.H., J.C.M., M.M.A., S.E.Z. and J.A.F.; Supervision, A.W.V.; Project administration, A.W.V., J.S.R., A.C.C.; Funding acquisition, A.W.V., J.S.R. and A.C.C. All authors have read and agreed to the published version of the manuscript. </w:t>
      </w:r>
    </w:p>
    <w:p w14:paraId="1332C39C" w14:textId="77777777" w:rsidR="00CE14B3" w:rsidRPr="00CD52AA" w:rsidRDefault="00CE14B3" w:rsidP="00CE14B3">
      <w:pPr>
        <w:shd w:val="clear" w:color="auto" w:fill="FFFFFF"/>
        <w:spacing w:line="360" w:lineRule="auto"/>
        <w:ind w:firstLine="708"/>
        <w:jc w:val="both"/>
        <w:rPr>
          <w:lang w:val="en-US"/>
        </w:rPr>
      </w:pPr>
    </w:p>
    <w:p w14:paraId="1D86FA83" w14:textId="77777777" w:rsidR="00B40CCC" w:rsidRPr="00CD52AA" w:rsidRDefault="00B40CCC" w:rsidP="00C62203">
      <w:pPr>
        <w:shd w:val="clear" w:color="auto" w:fill="FFFFFF"/>
        <w:spacing w:line="480" w:lineRule="auto"/>
        <w:rPr>
          <w:b/>
          <w:u w:color="000000"/>
          <w:lang w:val="en-US" w:eastAsia="es-ES"/>
        </w:rPr>
      </w:pPr>
      <w:r w:rsidRPr="00CD52AA">
        <w:rPr>
          <w:b/>
          <w:u w:color="000000"/>
          <w:lang w:val="en-US" w:eastAsia="es-ES"/>
        </w:rPr>
        <w:t>ACKNOWLEDGMENT</w:t>
      </w:r>
    </w:p>
    <w:p w14:paraId="4C27B111" w14:textId="054100F4" w:rsidR="0093765C" w:rsidRPr="006F23D2" w:rsidRDefault="00CE14B3" w:rsidP="006F23D2">
      <w:pPr>
        <w:pStyle w:val="EstiloActa"/>
        <w:spacing w:before="100" w:beforeAutospacing="1" w:after="100" w:afterAutospacing="1"/>
        <w:rPr>
          <w:lang w:val="en-US"/>
        </w:rPr>
      </w:pPr>
      <w:r w:rsidRPr="00CD52AA">
        <w:rPr>
          <w:lang w:val="en-US"/>
        </w:rPr>
        <w:t>This research was funded by CONAHCYT, grant number PRONACES-317580</w:t>
      </w:r>
      <w:r w:rsidR="0093765C" w:rsidRPr="00CD52AA">
        <w:rPr>
          <w:lang w:val="en-US"/>
        </w:rPr>
        <w:t>.</w:t>
      </w:r>
    </w:p>
    <w:p w14:paraId="0D2E251A" w14:textId="6EDAEB9D" w:rsidR="0093765C" w:rsidRPr="00CD52AA" w:rsidRDefault="0093765C" w:rsidP="00C62203">
      <w:pPr>
        <w:shd w:val="clear" w:color="auto" w:fill="FFFFFF"/>
        <w:spacing w:line="480" w:lineRule="auto"/>
        <w:rPr>
          <w:b/>
          <w:bCs/>
          <w:lang w:val="en-US"/>
        </w:rPr>
      </w:pPr>
      <w:r w:rsidRPr="00CD52AA">
        <w:rPr>
          <w:b/>
          <w:bCs/>
          <w:lang w:val="en-US"/>
        </w:rPr>
        <w:t>CONFLICT OF INTEREST</w:t>
      </w:r>
    </w:p>
    <w:p w14:paraId="7010F917" w14:textId="77777777" w:rsidR="006F23D2" w:rsidRDefault="00944E6F" w:rsidP="006F23D2">
      <w:pPr>
        <w:pStyle w:val="EstiloActa"/>
        <w:spacing w:before="100" w:beforeAutospacing="1" w:after="100" w:afterAutospacing="1"/>
        <w:rPr>
          <w:rFonts w:eastAsia="Cambria Math"/>
          <w:lang w:val="en-US"/>
        </w:rPr>
      </w:pPr>
      <w:r w:rsidRPr="00CD52AA">
        <w:rPr>
          <w:rFonts w:eastAsia="Cambria Math"/>
          <w:lang w:val="en-US"/>
        </w:rPr>
        <w:t>The authors declare that they have no conflict of interest.</w:t>
      </w:r>
    </w:p>
    <w:p w14:paraId="1E1B074C" w14:textId="6EBD5273" w:rsidR="00B40CCC" w:rsidRPr="006F23D2" w:rsidRDefault="00B40CCC" w:rsidP="006F23D2">
      <w:pPr>
        <w:pStyle w:val="EstiloActa"/>
        <w:spacing w:before="100" w:beforeAutospacing="1" w:after="100" w:afterAutospacing="1"/>
        <w:rPr>
          <w:lang w:val="en-US"/>
        </w:rPr>
      </w:pPr>
      <w:r w:rsidRPr="00CD52AA">
        <w:rPr>
          <w:b/>
          <w:u w:color="000000"/>
          <w:lang w:val="en-US" w:eastAsia="es-ES"/>
        </w:rPr>
        <w:lastRenderedPageBreak/>
        <w:t>REFERENCES</w:t>
      </w:r>
      <w:r w:rsidR="00C62203" w:rsidRPr="00CD52AA">
        <w:rPr>
          <w:rFonts w:ascii="Ancizar Sans" w:hAnsi="Ancizar Sans"/>
          <w:bCs/>
          <w:u w:color="000000"/>
          <w:lang w:val="en-US" w:eastAsia="es-ES"/>
        </w:rPr>
        <w:t xml:space="preserve"> </w:t>
      </w:r>
    </w:p>
    <w:p w14:paraId="752C64BE" w14:textId="52C5280C" w:rsidR="008A1E13" w:rsidRPr="00CD52AA" w:rsidRDefault="00CE14B3" w:rsidP="006F23D2">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Anastassiadou</w:t>
      </w:r>
      <w:proofErr w:type="spellEnd"/>
      <w:r w:rsidRPr="00CD52AA">
        <w:rPr>
          <w:shd w:val="clear" w:color="auto" w:fill="FFFFFF"/>
          <w:lang w:val="en-US"/>
        </w:rPr>
        <w:t xml:space="preserve">, M., Arena, M., </w:t>
      </w:r>
      <w:proofErr w:type="spellStart"/>
      <w:r w:rsidRPr="00CD52AA">
        <w:rPr>
          <w:shd w:val="clear" w:color="auto" w:fill="FFFFFF"/>
          <w:lang w:val="en-US"/>
        </w:rPr>
        <w:t>Auteri</w:t>
      </w:r>
      <w:proofErr w:type="spellEnd"/>
      <w:r w:rsidRPr="00CD52AA">
        <w:rPr>
          <w:shd w:val="clear" w:color="auto" w:fill="FFFFFF"/>
          <w:lang w:val="en-US"/>
        </w:rPr>
        <w:t xml:space="preserve">, D., </w:t>
      </w:r>
      <w:proofErr w:type="spellStart"/>
      <w:r w:rsidRPr="00CD52AA">
        <w:rPr>
          <w:shd w:val="clear" w:color="auto" w:fill="FFFFFF"/>
          <w:lang w:val="en-US"/>
        </w:rPr>
        <w:t>Brancato</w:t>
      </w:r>
      <w:proofErr w:type="spellEnd"/>
      <w:r w:rsidRPr="00CD52AA">
        <w:rPr>
          <w:shd w:val="clear" w:color="auto" w:fill="FFFFFF"/>
          <w:lang w:val="en-US"/>
        </w:rPr>
        <w:t xml:space="preserve">, A., Bura, L., Carrasco Cabrera, L., </w:t>
      </w:r>
      <w:proofErr w:type="spellStart"/>
      <w:r w:rsidRPr="00CD52AA">
        <w:rPr>
          <w:shd w:val="clear" w:color="auto" w:fill="FFFFFF"/>
          <w:lang w:val="en-US"/>
        </w:rPr>
        <w:t>Chaideftou</w:t>
      </w:r>
      <w:proofErr w:type="spellEnd"/>
      <w:r w:rsidRPr="00CD52AA">
        <w:rPr>
          <w:shd w:val="clear" w:color="auto" w:fill="FFFFFF"/>
          <w:lang w:val="en-US"/>
        </w:rPr>
        <w:t xml:space="preserve">, E., </w:t>
      </w:r>
      <w:proofErr w:type="spellStart"/>
      <w:r w:rsidRPr="00CD52AA">
        <w:rPr>
          <w:shd w:val="clear" w:color="auto" w:fill="FFFFFF"/>
          <w:lang w:val="en-US"/>
        </w:rPr>
        <w:t>Chiusolo</w:t>
      </w:r>
      <w:proofErr w:type="spellEnd"/>
      <w:r w:rsidRPr="00CD52AA">
        <w:rPr>
          <w:shd w:val="clear" w:color="auto" w:fill="FFFFFF"/>
          <w:lang w:val="en-US"/>
        </w:rPr>
        <w:t xml:space="preserve">, A., Marques, D.C., </w:t>
      </w:r>
      <w:proofErr w:type="spellStart"/>
      <w:r w:rsidRPr="00CD52AA">
        <w:rPr>
          <w:shd w:val="clear" w:color="auto" w:fill="FFFFFF"/>
          <w:lang w:val="en-US"/>
        </w:rPr>
        <w:t>Crivellente</w:t>
      </w:r>
      <w:proofErr w:type="spellEnd"/>
      <w:r w:rsidRPr="00CD52AA">
        <w:rPr>
          <w:shd w:val="clear" w:color="auto" w:fill="FFFFFF"/>
          <w:lang w:val="en-US"/>
        </w:rPr>
        <w:t xml:space="preserve">, F., De </w:t>
      </w:r>
      <w:proofErr w:type="spellStart"/>
      <w:r w:rsidRPr="00CD52AA">
        <w:rPr>
          <w:shd w:val="clear" w:color="auto" w:fill="FFFFFF"/>
          <w:lang w:val="en-US"/>
        </w:rPr>
        <w:t>Lentdecker</w:t>
      </w:r>
      <w:proofErr w:type="spellEnd"/>
      <w:r w:rsidRPr="00CD52AA">
        <w:rPr>
          <w:shd w:val="clear" w:color="auto" w:fill="FFFFFF"/>
          <w:lang w:val="en-US"/>
        </w:rPr>
        <w:t xml:space="preserve">, C., </w:t>
      </w:r>
      <w:proofErr w:type="spellStart"/>
      <w:r w:rsidRPr="00CD52AA">
        <w:rPr>
          <w:shd w:val="clear" w:color="auto" w:fill="FFFFFF"/>
          <w:lang w:val="en-US"/>
        </w:rPr>
        <w:t>Egsmose</w:t>
      </w:r>
      <w:proofErr w:type="spellEnd"/>
      <w:r w:rsidRPr="00CD52AA">
        <w:rPr>
          <w:shd w:val="clear" w:color="auto" w:fill="FFFFFF"/>
          <w:lang w:val="en-US"/>
        </w:rPr>
        <w:t xml:space="preserve">, M., Fait, G., Greco, L., Ippolito, A., </w:t>
      </w:r>
      <w:proofErr w:type="spellStart"/>
      <w:r w:rsidRPr="00CD52AA">
        <w:rPr>
          <w:shd w:val="clear" w:color="auto" w:fill="FFFFFF"/>
          <w:lang w:val="en-US"/>
        </w:rPr>
        <w:t>Istace</w:t>
      </w:r>
      <w:proofErr w:type="spellEnd"/>
      <w:r w:rsidRPr="00CD52AA">
        <w:rPr>
          <w:shd w:val="clear" w:color="auto" w:fill="FFFFFF"/>
          <w:lang w:val="en-US"/>
        </w:rPr>
        <w:t xml:space="preserve">, F., Jarrah, S., </w:t>
      </w:r>
      <w:proofErr w:type="spellStart"/>
      <w:r w:rsidRPr="00CD52AA">
        <w:rPr>
          <w:shd w:val="clear" w:color="auto" w:fill="FFFFFF"/>
          <w:lang w:val="en-US"/>
        </w:rPr>
        <w:t>Kardassi</w:t>
      </w:r>
      <w:proofErr w:type="spellEnd"/>
      <w:r w:rsidRPr="00CD52AA">
        <w:rPr>
          <w:shd w:val="clear" w:color="auto" w:fill="FFFFFF"/>
          <w:lang w:val="en-US"/>
        </w:rPr>
        <w:t xml:space="preserve">, D., Leuschner, R, </w:t>
      </w:r>
      <w:proofErr w:type="spellStart"/>
      <w:r w:rsidRPr="00CD52AA">
        <w:rPr>
          <w:shd w:val="clear" w:color="auto" w:fill="FFFFFF"/>
          <w:lang w:val="en-US"/>
        </w:rPr>
        <w:t>Lostia</w:t>
      </w:r>
      <w:proofErr w:type="spellEnd"/>
      <w:r w:rsidRPr="00CD52AA">
        <w:rPr>
          <w:shd w:val="clear" w:color="auto" w:fill="FFFFFF"/>
          <w:lang w:val="en-US"/>
        </w:rPr>
        <w:t xml:space="preserve">, A., </w:t>
      </w:r>
      <w:proofErr w:type="spellStart"/>
      <w:r w:rsidRPr="00CD52AA">
        <w:rPr>
          <w:shd w:val="clear" w:color="auto" w:fill="FFFFFF"/>
          <w:lang w:val="en-US"/>
        </w:rPr>
        <w:t>Lythgo</w:t>
      </w:r>
      <w:proofErr w:type="spellEnd"/>
      <w:r w:rsidRPr="00CD52AA">
        <w:rPr>
          <w:shd w:val="clear" w:color="auto" w:fill="FFFFFF"/>
          <w:lang w:val="en-US"/>
        </w:rPr>
        <w:t xml:space="preserve">, C., </w:t>
      </w:r>
      <w:proofErr w:type="spellStart"/>
      <w:r w:rsidRPr="00CD52AA">
        <w:rPr>
          <w:shd w:val="clear" w:color="auto" w:fill="FFFFFF"/>
          <w:lang w:val="en-US"/>
        </w:rPr>
        <w:t>Magrans</w:t>
      </w:r>
      <w:proofErr w:type="spellEnd"/>
      <w:r w:rsidRPr="00CD52AA">
        <w:rPr>
          <w:shd w:val="clear" w:color="auto" w:fill="FFFFFF"/>
          <w:lang w:val="en-US"/>
        </w:rPr>
        <w:t xml:space="preserve">, O., </w:t>
      </w:r>
      <w:proofErr w:type="spellStart"/>
      <w:r w:rsidRPr="00CD52AA">
        <w:rPr>
          <w:shd w:val="clear" w:color="auto" w:fill="FFFFFF"/>
          <w:lang w:val="en-US"/>
        </w:rPr>
        <w:t>Mangas</w:t>
      </w:r>
      <w:proofErr w:type="spellEnd"/>
      <w:r w:rsidRPr="00CD52AA">
        <w:rPr>
          <w:shd w:val="clear" w:color="auto" w:fill="FFFFFF"/>
          <w:lang w:val="en-US"/>
        </w:rPr>
        <w:t xml:space="preserve">, I., </w:t>
      </w:r>
      <w:proofErr w:type="spellStart"/>
      <w:r w:rsidRPr="00CD52AA">
        <w:rPr>
          <w:shd w:val="clear" w:color="auto" w:fill="FFFFFF"/>
          <w:lang w:val="en-US"/>
        </w:rPr>
        <w:t>Miron</w:t>
      </w:r>
      <w:proofErr w:type="spellEnd"/>
      <w:r w:rsidRPr="00CD52AA">
        <w:rPr>
          <w:shd w:val="clear" w:color="auto" w:fill="FFFFFF"/>
          <w:lang w:val="en-US"/>
        </w:rPr>
        <w:t xml:space="preserve">, I., Molnar, T., </w:t>
      </w:r>
      <w:proofErr w:type="spellStart"/>
      <w:r w:rsidRPr="00CD52AA">
        <w:rPr>
          <w:shd w:val="clear" w:color="auto" w:fill="FFFFFF"/>
          <w:lang w:val="en-US"/>
        </w:rPr>
        <w:t>Padovani</w:t>
      </w:r>
      <w:proofErr w:type="spellEnd"/>
      <w:r w:rsidRPr="00CD52AA">
        <w:rPr>
          <w:shd w:val="clear" w:color="auto" w:fill="FFFFFF"/>
          <w:lang w:val="en-US"/>
        </w:rPr>
        <w:t xml:space="preserve">, L., Parra </w:t>
      </w:r>
      <w:proofErr w:type="spellStart"/>
      <w:r w:rsidRPr="00CD52AA">
        <w:rPr>
          <w:shd w:val="clear" w:color="auto" w:fill="FFFFFF"/>
          <w:lang w:val="en-US"/>
        </w:rPr>
        <w:t>Morte</w:t>
      </w:r>
      <w:proofErr w:type="spellEnd"/>
      <w:r w:rsidRPr="00CD52AA">
        <w:rPr>
          <w:shd w:val="clear" w:color="auto" w:fill="FFFFFF"/>
          <w:lang w:val="en-US"/>
        </w:rPr>
        <w:t xml:space="preserve">, J.M., Pedersen, R., Reich, H., Santos, M., </w:t>
      </w:r>
      <w:proofErr w:type="spellStart"/>
      <w:r w:rsidRPr="00CD52AA">
        <w:rPr>
          <w:shd w:val="clear" w:color="auto" w:fill="FFFFFF"/>
          <w:lang w:val="en-US"/>
        </w:rPr>
        <w:t>Serafimova</w:t>
      </w:r>
      <w:proofErr w:type="spellEnd"/>
      <w:r w:rsidRPr="00CD52AA">
        <w:rPr>
          <w:shd w:val="clear" w:color="auto" w:fill="FFFFFF"/>
          <w:lang w:val="en-US"/>
        </w:rPr>
        <w:t xml:space="preserve">, R., Sharp, R., Stanek, A., </w:t>
      </w:r>
      <w:proofErr w:type="spellStart"/>
      <w:r w:rsidRPr="00CD52AA">
        <w:rPr>
          <w:shd w:val="clear" w:color="auto" w:fill="FFFFFF"/>
          <w:lang w:val="en-US"/>
        </w:rPr>
        <w:t>Sturma</w:t>
      </w:r>
      <w:proofErr w:type="spellEnd"/>
      <w:r w:rsidRPr="00CD52AA">
        <w:rPr>
          <w:shd w:val="clear" w:color="auto" w:fill="FFFFFF"/>
          <w:lang w:val="en-US"/>
        </w:rPr>
        <w:t xml:space="preserve">, J., </w:t>
      </w:r>
      <w:proofErr w:type="spellStart"/>
      <w:r w:rsidRPr="00CD52AA">
        <w:rPr>
          <w:shd w:val="clear" w:color="auto" w:fill="FFFFFF"/>
          <w:lang w:val="en-US"/>
        </w:rPr>
        <w:t>Szentes</w:t>
      </w:r>
      <w:proofErr w:type="spellEnd"/>
      <w:r w:rsidRPr="00CD52AA">
        <w:rPr>
          <w:shd w:val="clear" w:color="auto" w:fill="FFFFFF"/>
          <w:lang w:val="en-US"/>
        </w:rPr>
        <w:t xml:space="preserve">, C., Terron, A., Tiramani, M., </w:t>
      </w:r>
      <w:proofErr w:type="spellStart"/>
      <w:r w:rsidRPr="00CD52AA">
        <w:rPr>
          <w:shd w:val="clear" w:color="auto" w:fill="FFFFFF"/>
          <w:lang w:val="en-US"/>
        </w:rPr>
        <w:t>Vagenende</w:t>
      </w:r>
      <w:proofErr w:type="spellEnd"/>
      <w:r w:rsidRPr="00CD52AA">
        <w:rPr>
          <w:shd w:val="clear" w:color="auto" w:fill="FFFFFF"/>
          <w:lang w:val="en-US"/>
        </w:rPr>
        <w:t xml:space="preserve">, B. and </w:t>
      </w:r>
      <w:proofErr w:type="spellStart"/>
      <w:r w:rsidRPr="00CD52AA">
        <w:rPr>
          <w:shd w:val="clear" w:color="auto" w:fill="FFFFFF"/>
          <w:lang w:val="en-US"/>
        </w:rPr>
        <w:t>Villamar</w:t>
      </w:r>
      <w:proofErr w:type="spellEnd"/>
      <w:r w:rsidRPr="00CD52AA">
        <w:rPr>
          <w:shd w:val="clear" w:color="auto" w:fill="FFFFFF"/>
          <w:lang w:val="en-US"/>
        </w:rPr>
        <w:t xml:space="preserve">-Bouza, L. (2020). Peer review of the pesticide risk assessment of the active substance 24-epibrassinolide. </w:t>
      </w:r>
      <w:r w:rsidRPr="00CD52AA">
        <w:rPr>
          <w:i/>
          <w:iCs/>
          <w:shd w:val="clear" w:color="auto" w:fill="FFFFFF"/>
          <w:lang w:val="en-US"/>
        </w:rPr>
        <w:t>EFSA Journal</w:t>
      </w:r>
      <w:r w:rsidRPr="00CD52AA">
        <w:rPr>
          <w:shd w:val="clear" w:color="auto" w:fill="FFFFFF"/>
          <w:lang w:val="en-US"/>
        </w:rPr>
        <w:t>,</w:t>
      </w:r>
      <w:r w:rsidR="001B459F" w:rsidRPr="00CD52AA">
        <w:rPr>
          <w:shd w:val="clear" w:color="auto" w:fill="FFFFFF"/>
          <w:lang w:val="en-US"/>
        </w:rPr>
        <w:t xml:space="preserve"> </w:t>
      </w:r>
      <w:r w:rsidRPr="00CD52AA">
        <w:rPr>
          <w:i/>
          <w:iCs/>
          <w:shd w:val="clear" w:color="auto" w:fill="FFFFFF"/>
          <w:lang w:val="en-US"/>
        </w:rPr>
        <w:t>18</w:t>
      </w:r>
      <w:r w:rsidRPr="00CD52AA">
        <w:rPr>
          <w:shd w:val="clear" w:color="auto" w:fill="FFFFFF"/>
          <w:lang w:val="en-US"/>
        </w:rPr>
        <w:t>(6)</w:t>
      </w:r>
      <w:r w:rsidR="001B459F" w:rsidRPr="00CD52AA">
        <w:rPr>
          <w:shd w:val="clear" w:color="auto" w:fill="FFFFFF"/>
          <w:lang w:val="en-US"/>
        </w:rPr>
        <w:t xml:space="preserve">, </w:t>
      </w:r>
      <w:r w:rsidRPr="00CD52AA">
        <w:rPr>
          <w:shd w:val="clear" w:color="auto" w:fill="FFFFFF"/>
          <w:lang w:val="en-US"/>
        </w:rPr>
        <w:t xml:space="preserve">e06132. </w:t>
      </w:r>
      <w:hyperlink r:id="rId19" w:tgtFrame="_blank" w:history="1">
        <w:r w:rsidR="001B459F" w:rsidRPr="00CD52AA">
          <w:rPr>
            <w:rStyle w:val="Hipervnculo"/>
            <w:color w:val="auto"/>
            <w:shd w:val="clear" w:color="auto" w:fill="FFFFFF"/>
            <w:lang w:val="en-US"/>
          </w:rPr>
          <w:t>https://doi.org/10.2903/j.efsa.2020.6132</w:t>
        </w:r>
      </w:hyperlink>
    </w:p>
    <w:p w14:paraId="5AA3095D" w14:textId="4727E9BC"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Ayswaria</w:t>
      </w:r>
      <w:proofErr w:type="spellEnd"/>
      <w:r w:rsidRPr="00CD52AA">
        <w:rPr>
          <w:shd w:val="clear" w:color="auto" w:fill="FFFFFF"/>
          <w:lang w:val="en-US"/>
        </w:rPr>
        <w:t xml:space="preserve">, R., Vasu, V. and Krishna, R. (2020). Diverse endophytic </w:t>
      </w:r>
      <w:r w:rsidRPr="00CD52AA">
        <w:rPr>
          <w:i/>
          <w:iCs/>
          <w:shd w:val="clear" w:color="auto" w:fill="FFFFFF"/>
          <w:lang w:val="en-US"/>
        </w:rPr>
        <w:t xml:space="preserve">Streptomyces </w:t>
      </w:r>
      <w:r w:rsidRPr="00CD52AA">
        <w:rPr>
          <w:shd w:val="clear" w:color="auto" w:fill="FFFFFF"/>
          <w:lang w:val="en-US"/>
        </w:rPr>
        <w:t xml:space="preserve">species with dynamic metabolites and their meritorious applications: a critical review. </w:t>
      </w:r>
      <w:r w:rsidRPr="00CD52AA">
        <w:rPr>
          <w:i/>
          <w:iCs/>
          <w:shd w:val="clear" w:color="auto" w:fill="FFFFFF"/>
          <w:lang w:val="en-US"/>
        </w:rPr>
        <w:t>Critical Reviews in Microbiology</w:t>
      </w:r>
      <w:r w:rsidRPr="00CD52AA">
        <w:rPr>
          <w:shd w:val="clear" w:color="auto" w:fill="FFFFFF"/>
          <w:lang w:val="en-US"/>
        </w:rPr>
        <w:t xml:space="preserve">, </w:t>
      </w:r>
      <w:r w:rsidRPr="00CD52AA">
        <w:rPr>
          <w:i/>
          <w:iCs/>
          <w:shd w:val="clear" w:color="auto" w:fill="FFFFFF"/>
          <w:lang w:val="en-US"/>
        </w:rPr>
        <w:t>46</w:t>
      </w:r>
      <w:r w:rsidRPr="00CD52AA">
        <w:rPr>
          <w:shd w:val="clear" w:color="auto" w:fill="FFFFFF"/>
          <w:lang w:val="en-US"/>
        </w:rPr>
        <w:t>(6)</w:t>
      </w:r>
      <w:r w:rsidR="001B459F" w:rsidRPr="00CD52AA">
        <w:rPr>
          <w:shd w:val="clear" w:color="auto" w:fill="FFFFFF"/>
          <w:lang w:val="en-US"/>
        </w:rPr>
        <w:t xml:space="preserve">, </w:t>
      </w:r>
      <w:r w:rsidRPr="00CD52AA">
        <w:rPr>
          <w:shd w:val="clear" w:color="auto" w:fill="FFFFFF"/>
          <w:lang w:val="en-US"/>
        </w:rPr>
        <w:t xml:space="preserve">750-758. </w:t>
      </w:r>
      <w:hyperlink r:id="rId20" w:tgtFrame="_blank" w:history="1">
        <w:r w:rsidR="001B459F" w:rsidRPr="00CD52AA">
          <w:rPr>
            <w:rStyle w:val="Hipervnculo"/>
            <w:color w:val="auto"/>
            <w:shd w:val="clear" w:color="auto" w:fill="FFFFFF"/>
            <w:lang w:val="en-US"/>
          </w:rPr>
          <w:t>https://doi.org/10.1080/1040841X.2020.1828816</w:t>
        </w:r>
      </w:hyperlink>
    </w:p>
    <w:p w14:paraId="3BAB2301" w14:textId="1B2E8BAA"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Balbuena-Hernández, L., Miranda-</w:t>
      </w:r>
      <w:proofErr w:type="spellStart"/>
      <w:r w:rsidRPr="00CD52AA">
        <w:rPr>
          <w:shd w:val="clear" w:color="auto" w:fill="FFFFFF"/>
          <w:lang w:val="en-US"/>
        </w:rPr>
        <w:t>Arámbula</w:t>
      </w:r>
      <w:proofErr w:type="spellEnd"/>
      <w:r w:rsidRPr="00CD52AA">
        <w:rPr>
          <w:shd w:val="clear" w:color="auto" w:fill="FFFFFF"/>
          <w:lang w:val="en-US"/>
        </w:rPr>
        <w:t xml:space="preserve">, M., Merino-Montiel, P., Carrasco-Carballo, A. and Sandoval-Ramírez, J. (2023). 22-Oxocholestanes SPGP4 and SPGP8: </w:t>
      </w:r>
      <w:r w:rsidRPr="00CD52AA">
        <w:rPr>
          <w:i/>
          <w:iCs/>
          <w:shd w:val="clear" w:color="auto" w:fill="FFFFFF"/>
          <w:lang w:val="en-US"/>
        </w:rPr>
        <w:t>in Silico</w:t>
      </w:r>
      <w:r w:rsidRPr="00CD52AA">
        <w:rPr>
          <w:shd w:val="clear" w:color="auto" w:fill="FFFFFF"/>
          <w:lang w:val="en-US"/>
        </w:rPr>
        <w:t xml:space="preserve"> and </w:t>
      </w:r>
      <w:r w:rsidRPr="00CD52AA">
        <w:rPr>
          <w:i/>
          <w:iCs/>
          <w:shd w:val="clear" w:color="auto" w:fill="FFFFFF"/>
          <w:lang w:val="en-US"/>
        </w:rPr>
        <w:t>in Vitro</w:t>
      </w:r>
      <w:r w:rsidRPr="00CD52AA">
        <w:rPr>
          <w:shd w:val="clear" w:color="auto" w:fill="FFFFFF"/>
          <w:lang w:val="en-US"/>
        </w:rPr>
        <w:t xml:space="preserve"> Study as Activators of Plant Growth Promotion. </w:t>
      </w:r>
      <w:r w:rsidRPr="00CD52AA">
        <w:rPr>
          <w:i/>
          <w:iCs/>
          <w:shd w:val="clear" w:color="auto" w:fill="FFFFFF"/>
          <w:lang w:val="en-US"/>
        </w:rPr>
        <w:t>Chemistry and Biodiversity</w:t>
      </w:r>
      <w:r w:rsidRPr="00CD52AA">
        <w:rPr>
          <w:shd w:val="clear" w:color="auto" w:fill="FFFFFF"/>
          <w:lang w:val="en-US"/>
        </w:rPr>
        <w:t xml:space="preserve">, </w:t>
      </w:r>
      <w:r w:rsidRPr="00CD52AA">
        <w:rPr>
          <w:i/>
          <w:iCs/>
          <w:shd w:val="clear" w:color="auto" w:fill="FFFFFF"/>
          <w:lang w:val="en-US"/>
        </w:rPr>
        <w:t>20</w:t>
      </w:r>
      <w:r w:rsidRPr="00CD52AA">
        <w:rPr>
          <w:shd w:val="clear" w:color="auto" w:fill="FFFFFF"/>
          <w:lang w:val="en-US"/>
        </w:rPr>
        <w:t>(5),</w:t>
      </w:r>
      <w:r w:rsidR="001B459F" w:rsidRPr="00CD52AA">
        <w:rPr>
          <w:shd w:val="clear" w:color="auto" w:fill="FFFFFF"/>
          <w:lang w:val="en-US"/>
        </w:rPr>
        <w:t xml:space="preserve"> </w:t>
      </w:r>
      <w:r w:rsidRPr="00CD52AA">
        <w:rPr>
          <w:shd w:val="clear" w:color="auto" w:fill="FFFFFF"/>
          <w:lang w:val="en-US"/>
        </w:rPr>
        <w:t xml:space="preserve">e202201243. </w:t>
      </w:r>
      <w:hyperlink r:id="rId21" w:tgtFrame="_blank" w:history="1">
        <w:r w:rsidR="001B459F" w:rsidRPr="00CD52AA">
          <w:rPr>
            <w:rStyle w:val="Hipervnculo"/>
            <w:color w:val="auto"/>
            <w:shd w:val="clear" w:color="auto" w:fill="FFFFFF"/>
            <w:lang w:val="en-US"/>
          </w:rPr>
          <w:t>https://doi.org/10.1002/cbdv.202201243</w:t>
        </w:r>
      </w:hyperlink>
    </w:p>
    <w:p w14:paraId="2F6ABE9F" w14:textId="2165670F"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Beule</w:t>
      </w:r>
      <w:proofErr w:type="spellEnd"/>
      <w:r w:rsidRPr="00CD52AA">
        <w:rPr>
          <w:shd w:val="clear" w:color="auto" w:fill="FFFFFF"/>
          <w:lang w:val="en-US"/>
        </w:rPr>
        <w:t xml:space="preserve">, L, and </w:t>
      </w:r>
      <w:proofErr w:type="spellStart"/>
      <w:r w:rsidRPr="00CD52AA">
        <w:rPr>
          <w:shd w:val="clear" w:color="auto" w:fill="FFFFFF"/>
          <w:lang w:val="en-US"/>
        </w:rPr>
        <w:t>Karlovsky</w:t>
      </w:r>
      <w:proofErr w:type="spellEnd"/>
      <w:r w:rsidRPr="00CD52AA">
        <w:rPr>
          <w:shd w:val="clear" w:color="auto" w:fill="FFFFFF"/>
          <w:lang w:val="en-US"/>
        </w:rPr>
        <w:t xml:space="preserve">, P. (2020). Improved normalization of species count data in ecology by scaling with ranked subsampling (SRS): application to microbial communities. </w:t>
      </w:r>
      <w:proofErr w:type="spellStart"/>
      <w:r w:rsidRPr="00CD52AA">
        <w:rPr>
          <w:i/>
          <w:iCs/>
          <w:shd w:val="clear" w:color="auto" w:fill="FFFFFF"/>
          <w:lang w:val="en-US"/>
        </w:rPr>
        <w:t>PeerJ</w:t>
      </w:r>
      <w:proofErr w:type="spellEnd"/>
      <w:r w:rsidRPr="00CD52AA">
        <w:rPr>
          <w:shd w:val="clear" w:color="auto" w:fill="FFFFFF"/>
          <w:lang w:val="en-US"/>
        </w:rPr>
        <w:t>, 8</w:t>
      </w:r>
      <w:r w:rsidR="001B459F" w:rsidRPr="00CD52AA">
        <w:rPr>
          <w:shd w:val="clear" w:color="auto" w:fill="FFFFFF"/>
          <w:lang w:val="en-US"/>
        </w:rPr>
        <w:t xml:space="preserve">, </w:t>
      </w:r>
      <w:r w:rsidRPr="00CD52AA">
        <w:rPr>
          <w:shd w:val="clear" w:color="auto" w:fill="FFFFFF"/>
          <w:lang w:val="en-US"/>
        </w:rPr>
        <w:t>e9593.</w:t>
      </w:r>
      <w:r w:rsidR="001B459F" w:rsidRPr="00CD52AA">
        <w:rPr>
          <w:shd w:val="clear" w:color="auto" w:fill="FFFFFF"/>
          <w:lang w:val="en-US"/>
        </w:rPr>
        <w:t xml:space="preserve"> </w:t>
      </w:r>
      <w:hyperlink r:id="rId22" w:tgtFrame="_blank" w:history="1">
        <w:r w:rsidR="001B459F" w:rsidRPr="00CD52AA">
          <w:rPr>
            <w:rStyle w:val="Hipervnculo"/>
            <w:color w:val="auto"/>
            <w:shd w:val="clear" w:color="auto" w:fill="FFFFFF"/>
            <w:lang w:val="en-US"/>
          </w:rPr>
          <w:t>https://doi.org/10.7717/peerj.9593</w:t>
        </w:r>
      </w:hyperlink>
    </w:p>
    <w:p w14:paraId="2D1FAAC3" w14:textId="596BC9BD"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lastRenderedPageBreak/>
        <w:t>Callahan, B.</w:t>
      </w:r>
      <w:r w:rsidR="001B459F" w:rsidRPr="00CD52AA">
        <w:rPr>
          <w:shd w:val="clear" w:color="auto" w:fill="FFFFFF"/>
          <w:lang w:val="en-US"/>
        </w:rPr>
        <w:t xml:space="preserve"> </w:t>
      </w:r>
      <w:r w:rsidRPr="00CD52AA">
        <w:rPr>
          <w:shd w:val="clear" w:color="auto" w:fill="FFFFFF"/>
          <w:lang w:val="en-US"/>
        </w:rPr>
        <w:t xml:space="preserve">J., </w:t>
      </w:r>
      <w:proofErr w:type="spellStart"/>
      <w:r w:rsidRPr="00CD52AA">
        <w:rPr>
          <w:shd w:val="clear" w:color="auto" w:fill="FFFFFF"/>
          <w:lang w:val="en-US"/>
        </w:rPr>
        <w:t>McMurdie</w:t>
      </w:r>
      <w:proofErr w:type="spellEnd"/>
      <w:r w:rsidRPr="00CD52AA">
        <w:rPr>
          <w:shd w:val="clear" w:color="auto" w:fill="FFFFFF"/>
          <w:lang w:val="en-US"/>
        </w:rPr>
        <w:t>, P.</w:t>
      </w:r>
      <w:r w:rsidR="001B459F" w:rsidRPr="00CD52AA">
        <w:rPr>
          <w:shd w:val="clear" w:color="auto" w:fill="FFFFFF"/>
          <w:lang w:val="en-US"/>
        </w:rPr>
        <w:t xml:space="preserve"> </w:t>
      </w:r>
      <w:r w:rsidRPr="00CD52AA">
        <w:rPr>
          <w:shd w:val="clear" w:color="auto" w:fill="FFFFFF"/>
          <w:lang w:val="en-US"/>
        </w:rPr>
        <w:t>J., Rosen, M.</w:t>
      </w:r>
      <w:r w:rsidR="001B459F" w:rsidRPr="00CD52AA">
        <w:rPr>
          <w:shd w:val="clear" w:color="auto" w:fill="FFFFFF"/>
          <w:lang w:val="en-US"/>
        </w:rPr>
        <w:t xml:space="preserve"> </w:t>
      </w:r>
      <w:r w:rsidRPr="00CD52AA">
        <w:rPr>
          <w:shd w:val="clear" w:color="auto" w:fill="FFFFFF"/>
          <w:lang w:val="en-US"/>
        </w:rPr>
        <w:t>J., Han, A.</w:t>
      </w:r>
      <w:r w:rsidR="001B459F" w:rsidRPr="00CD52AA">
        <w:rPr>
          <w:shd w:val="clear" w:color="auto" w:fill="FFFFFF"/>
          <w:lang w:val="en-US"/>
        </w:rPr>
        <w:t xml:space="preserve"> </w:t>
      </w:r>
      <w:r w:rsidRPr="00CD52AA">
        <w:rPr>
          <w:shd w:val="clear" w:color="auto" w:fill="FFFFFF"/>
          <w:lang w:val="en-US"/>
        </w:rPr>
        <w:t>W., Johnson, A.</w:t>
      </w:r>
      <w:r w:rsidR="001B459F" w:rsidRPr="00CD52AA">
        <w:rPr>
          <w:shd w:val="clear" w:color="auto" w:fill="FFFFFF"/>
          <w:lang w:val="en-US"/>
        </w:rPr>
        <w:t xml:space="preserve"> </w:t>
      </w:r>
      <w:r w:rsidRPr="00CD52AA">
        <w:rPr>
          <w:shd w:val="clear" w:color="auto" w:fill="FFFFFF"/>
          <w:lang w:val="en-US"/>
        </w:rPr>
        <w:t>J.</w:t>
      </w:r>
      <w:r w:rsidR="001B459F" w:rsidRPr="00CD52AA">
        <w:rPr>
          <w:shd w:val="clear" w:color="auto" w:fill="FFFFFF"/>
          <w:lang w:val="en-US"/>
        </w:rPr>
        <w:t xml:space="preserve"> </w:t>
      </w:r>
      <w:r w:rsidRPr="00CD52AA">
        <w:rPr>
          <w:shd w:val="clear" w:color="auto" w:fill="FFFFFF"/>
          <w:lang w:val="en-US"/>
        </w:rPr>
        <w:t>A. and Holmes, S.</w:t>
      </w:r>
      <w:r w:rsidR="001B459F" w:rsidRPr="00CD52AA">
        <w:rPr>
          <w:shd w:val="clear" w:color="auto" w:fill="FFFFFF"/>
          <w:lang w:val="en-US"/>
        </w:rPr>
        <w:t xml:space="preserve"> </w:t>
      </w:r>
      <w:r w:rsidRPr="00CD52AA">
        <w:rPr>
          <w:shd w:val="clear" w:color="auto" w:fill="FFFFFF"/>
          <w:lang w:val="en-US"/>
        </w:rPr>
        <w:t xml:space="preserve">P. (2016). DADA2: High-resolution sample inference from Illumina amplicon data. </w:t>
      </w:r>
      <w:r w:rsidRPr="00CD52AA">
        <w:rPr>
          <w:i/>
          <w:iCs/>
          <w:shd w:val="clear" w:color="auto" w:fill="FFFFFF"/>
          <w:lang w:val="en-US"/>
        </w:rPr>
        <w:t>Nature Methods</w:t>
      </w:r>
      <w:r w:rsidRPr="00CD52AA">
        <w:rPr>
          <w:shd w:val="clear" w:color="auto" w:fill="FFFFFF"/>
          <w:lang w:val="en-US"/>
        </w:rPr>
        <w:t xml:space="preserve">, </w:t>
      </w:r>
      <w:r w:rsidRPr="00CD52AA">
        <w:rPr>
          <w:i/>
          <w:iCs/>
          <w:shd w:val="clear" w:color="auto" w:fill="FFFFFF"/>
          <w:lang w:val="en-US"/>
        </w:rPr>
        <w:t>13</w:t>
      </w:r>
      <w:r w:rsidRPr="00CD52AA">
        <w:rPr>
          <w:shd w:val="clear" w:color="auto" w:fill="FFFFFF"/>
          <w:lang w:val="en-US"/>
        </w:rPr>
        <w:t>(7)</w:t>
      </w:r>
      <w:r w:rsidR="001B459F" w:rsidRPr="00CD52AA">
        <w:rPr>
          <w:shd w:val="clear" w:color="auto" w:fill="FFFFFF"/>
          <w:lang w:val="en-US"/>
        </w:rPr>
        <w:t>,</w:t>
      </w:r>
      <w:r w:rsidRPr="00CD52AA">
        <w:rPr>
          <w:shd w:val="clear" w:color="auto" w:fill="FFFFFF"/>
          <w:lang w:val="en-US"/>
        </w:rPr>
        <w:t xml:space="preserve"> 581-583.</w:t>
      </w:r>
    </w:p>
    <w:p w14:paraId="32E6BBE1" w14:textId="294FD919"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 xml:space="preserve">Chaudhary, P., </w:t>
      </w:r>
      <w:proofErr w:type="spellStart"/>
      <w:r w:rsidRPr="00CD52AA">
        <w:rPr>
          <w:shd w:val="clear" w:color="auto" w:fill="FFFFFF"/>
          <w:lang w:val="en-US"/>
        </w:rPr>
        <w:t>Khati</w:t>
      </w:r>
      <w:proofErr w:type="spellEnd"/>
      <w:r w:rsidRPr="00CD52AA">
        <w:rPr>
          <w:shd w:val="clear" w:color="auto" w:fill="FFFFFF"/>
          <w:lang w:val="en-US"/>
        </w:rPr>
        <w:t xml:space="preserve">, P., Chaudhary, A., </w:t>
      </w:r>
      <w:proofErr w:type="spellStart"/>
      <w:r w:rsidRPr="00CD52AA">
        <w:rPr>
          <w:shd w:val="clear" w:color="auto" w:fill="FFFFFF"/>
          <w:lang w:val="en-US"/>
        </w:rPr>
        <w:t>Maithani</w:t>
      </w:r>
      <w:proofErr w:type="spellEnd"/>
      <w:r w:rsidRPr="00CD52AA">
        <w:rPr>
          <w:shd w:val="clear" w:color="auto" w:fill="FFFFFF"/>
          <w:lang w:val="en-US"/>
        </w:rPr>
        <w:t xml:space="preserve">, D., Kumar, G. and Sharma, A. (2021). Cultivable and metagenomic approach to study the combined impact of </w:t>
      </w:r>
      <w:proofErr w:type="spellStart"/>
      <w:r w:rsidRPr="00CD52AA">
        <w:rPr>
          <w:shd w:val="clear" w:color="auto" w:fill="FFFFFF"/>
          <w:lang w:val="en-US"/>
        </w:rPr>
        <w:t>nanogypsum</w:t>
      </w:r>
      <w:proofErr w:type="spellEnd"/>
      <w:r w:rsidRPr="00CD52AA">
        <w:rPr>
          <w:shd w:val="clear" w:color="auto" w:fill="FFFFFF"/>
          <w:lang w:val="en-US"/>
        </w:rPr>
        <w:t xml:space="preserve"> and </w:t>
      </w:r>
      <w:r w:rsidRPr="00CD52AA">
        <w:rPr>
          <w:i/>
          <w:iCs/>
          <w:shd w:val="clear" w:color="auto" w:fill="FFFFFF"/>
          <w:lang w:val="en-US"/>
        </w:rPr>
        <w:t xml:space="preserve">Pseudomonas </w:t>
      </w:r>
      <w:proofErr w:type="spellStart"/>
      <w:r w:rsidRPr="00CD52AA">
        <w:rPr>
          <w:i/>
          <w:iCs/>
          <w:shd w:val="clear" w:color="auto" w:fill="FFFFFF"/>
          <w:lang w:val="en-US"/>
        </w:rPr>
        <w:t>taiwanensis</w:t>
      </w:r>
      <w:proofErr w:type="spellEnd"/>
      <w:r w:rsidRPr="00CD52AA">
        <w:rPr>
          <w:shd w:val="clear" w:color="auto" w:fill="FFFFFF"/>
          <w:lang w:val="en-US"/>
        </w:rPr>
        <w:t xml:space="preserve"> on maize plant health and its </w:t>
      </w:r>
      <w:proofErr w:type="spellStart"/>
      <w:r w:rsidRPr="00CD52AA">
        <w:rPr>
          <w:shd w:val="clear" w:color="auto" w:fill="FFFFFF"/>
          <w:lang w:val="en-US"/>
        </w:rPr>
        <w:t>rhizospheric</w:t>
      </w:r>
      <w:proofErr w:type="spellEnd"/>
      <w:r w:rsidRPr="00CD52AA">
        <w:rPr>
          <w:shd w:val="clear" w:color="auto" w:fill="FFFFFF"/>
          <w:lang w:val="en-US"/>
        </w:rPr>
        <w:t xml:space="preserve"> microbiome. </w:t>
      </w:r>
      <w:proofErr w:type="spellStart"/>
      <w:r w:rsidRPr="00CD52AA">
        <w:rPr>
          <w:i/>
          <w:iCs/>
          <w:shd w:val="clear" w:color="auto" w:fill="FFFFFF"/>
          <w:lang w:val="en-US"/>
        </w:rPr>
        <w:t>PLoS</w:t>
      </w:r>
      <w:proofErr w:type="spellEnd"/>
      <w:r w:rsidRPr="00CD52AA">
        <w:rPr>
          <w:i/>
          <w:iCs/>
          <w:shd w:val="clear" w:color="auto" w:fill="FFFFFF"/>
          <w:lang w:val="en-US"/>
        </w:rPr>
        <w:t xml:space="preserve"> One</w:t>
      </w:r>
      <w:r w:rsidRPr="00CD52AA">
        <w:rPr>
          <w:shd w:val="clear" w:color="auto" w:fill="FFFFFF"/>
          <w:lang w:val="en-US"/>
        </w:rPr>
        <w:t xml:space="preserve">, </w:t>
      </w:r>
      <w:r w:rsidRPr="00CD52AA">
        <w:rPr>
          <w:i/>
          <w:iCs/>
          <w:shd w:val="clear" w:color="auto" w:fill="FFFFFF"/>
          <w:lang w:val="en-US"/>
        </w:rPr>
        <w:t>16</w:t>
      </w:r>
      <w:r w:rsidRPr="00CD52AA">
        <w:rPr>
          <w:shd w:val="clear" w:color="auto" w:fill="FFFFFF"/>
          <w:lang w:val="en-US"/>
        </w:rPr>
        <w:t>(4)</w:t>
      </w:r>
      <w:r w:rsidR="00593067" w:rsidRPr="00CD52AA">
        <w:rPr>
          <w:shd w:val="clear" w:color="auto" w:fill="FFFFFF"/>
          <w:lang w:val="en-US"/>
        </w:rPr>
        <w:t xml:space="preserve">, </w:t>
      </w:r>
      <w:r w:rsidRPr="00CD52AA">
        <w:rPr>
          <w:shd w:val="clear" w:color="auto" w:fill="FFFFFF"/>
          <w:lang w:val="en-US"/>
        </w:rPr>
        <w:t xml:space="preserve">e0250574. </w:t>
      </w:r>
      <w:r w:rsidR="00593067" w:rsidRPr="00CD52AA">
        <w:rPr>
          <w:lang w:val="en-US"/>
        </w:rPr>
        <w:t xml:space="preserve"> </w:t>
      </w:r>
      <w:r w:rsidR="00593067" w:rsidRPr="00CD52AA">
        <w:rPr>
          <w:shd w:val="clear" w:color="auto" w:fill="FFFFFF"/>
          <w:lang w:val="en-US"/>
        </w:rPr>
        <w:t>https://doi.org/10.1371/journal.pone.0250574</w:t>
      </w:r>
    </w:p>
    <w:p w14:paraId="58C273B0" w14:textId="4B3D0BFB"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lang w:val="en-US"/>
        </w:rPr>
        <w:t xml:space="preserve">Chen, X., Hu, X., Jiang, J. and Wang, X. (2024). Functions and Mechanisms of </w:t>
      </w:r>
      <w:proofErr w:type="spellStart"/>
      <w:r w:rsidRPr="00CD52AA">
        <w:rPr>
          <w:shd w:val="clear" w:color="auto" w:fill="FFFFFF"/>
          <w:lang w:val="en-US"/>
        </w:rPr>
        <w:t>Brassinosteroids</w:t>
      </w:r>
      <w:proofErr w:type="spellEnd"/>
      <w:r w:rsidRPr="00CD52AA">
        <w:rPr>
          <w:shd w:val="clear" w:color="auto" w:fill="FFFFFF"/>
          <w:lang w:val="en-US"/>
        </w:rPr>
        <w:t xml:space="preserve"> in Regulating Crop Agronomic Traits. </w:t>
      </w:r>
      <w:r w:rsidRPr="00CD52AA">
        <w:rPr>
          <w:i/>
          <w:iCs/>
          <w:shd w:val="clear" w:color="auto" w:fill="FFFFFF"/>
        </w:rPr>
        <w:t>Plant Cell Physiology</w:t>
      </w:r>
      <w:r w:rsidRPr="00CD52AA">
        <w:rPr>
          <w:shd w:val="clear" w:color="auto" w:fill="FFFFFF"/>
        </w:rPr>
        <w:t xml:space="preserve">, </w:t>
      </w:r>
      <w:r w:rsidRPr="00CD52AA">
        <w:rPr>
          <w:i/>
          <w:iCs/>
          <w:shd w:val="clear" w:color="auto" w:fill="FFFFFF"/>
        </w:rPr>
        <w:t>65</w:t>
      </w:r>
      <w:r w:rsidRPr="00CD52AA">
        <w:rPr>
          <w:shd w:val="clear" w:color="auto" w:fill="FFFFFF"/>
        </w:rPr>
        <w:t>(10)</w:t>
      </w:r>
      <w:r w:rsidR="00593067" w:rsidRPr="00CD52AA">
        <w:rPr>
          <w:shd w:val="clear" w:color="auto" w:fill="FFFFFF"/>
        </w:rPr>
        <w:t xml:space="preserve">, </w:t>
      </w:r>
      <w:r w:rsidRPr="00CD52AA">
        <w:rPr>
          <w:shd w:val="clear" w:color="auto" w:fill="FFFFFF"/>
        </w:rPr>
        <w:t xml:space="preserve">1568-1580. </w:t>
      </w:r>
      <w:r w:rsidR="00593067" w:rsidRPr="00CD52AA">
        <w:t xml:space="preserve"> </w:t>
      </w:r>
      <w:hyperlink r:id="rId23" w:tgtFrame="_blank" w:history="1">
        <w:r w:rsidR="00593067" w:rsidRPr="00CD52AA">
          <w:rPr>
            <w:rStyle w:val="Hipervnculo"/>
            <w:color w:val="auto"/>
            <w:shd w:val="clear" w:color="auto" w:fill="FFFFFF"/>
          </w:rPr>
          <w:t>https://doi.org/10.1093/pcp/pcae044</w:t>
        </w:r>
      </w:hyperlink>
    </w:p>
    <w:p w14:paraId="36DD15AF" w14:textId="0D75F522"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rPr>
        <w:t>Clagnan, E., Costanzo, M., Visca, A., Di Gregorio, L., Tabacchioni, S., Colantoni, E., Sevi, F., Sbarra, F., Bindo, A., Nolfi, L., Magarelli, R.</w:t>
      </w:r>
      <w:r w:rsidR="00593067" w:rsidRPr="00CD52AA">
        <w:rPr>
          <w:shd w:val="clear" w:color="auto" w:fill="FFFFFF"/>
        </w:rPr>
        <w:t xml:space="preserve"> </w:t>
      </w:r>
      <w:r w:rsidRPr="00CD52AA">
        <w:rPr>
          <w:shd w:val="clear" w:color="auto" w:fill="FFFFFF"/>
        </w:rPr>
        <w:t xml:space="preserve">A., Trupo, M., Ambrico, A. and Bevivino A. (2024). </w:t>
      </w:r>
      <w:proofErr w:type="spellStart"/>
      <w:r w:rsidRPr="00CD52AA">
        <w:rPr>
          <w:shd w:val="clear" w:color="auto" w:fill="FFFFFF"/>
          <w:lang w:val="en-US"/>
        </w:rPr>
        <w:t>Culturomics</w:t>
      </w:r>
      <w:proofErr w:type="spellEnd"/>
      <w:r w:rsidRPr="00CD52AA">
        <w:rPr>
          <w:shd w:val="clear" w:color="auto" w:fill="FFFFFF"/>
          <w:lang w:val="en-US"/>
        </w:rPr>
        <w:t xml:space="preserve">- and metagenomics-based insights into the soil microbiome preservation and application for sustainable agriculture. </w:t>
      </w:r>
      <w:r w:rsidRPr="00CD52AA">
        <w:rPr>
          <w:i/>
          <w:iCs/>
          <w:shd w:val="clear" w:color="auto" w:fill="FFFFFF"/>
        </w:rPr>
        <w:t>Front</w:t>
      </w:r>
      <w:r w:rsidR="008A1E13" w:rsidRPr="00CD52AA">
        <w:rPr>
          <w:i/>
          <w:iCs/>
          <w:shd w:val="clear" w:color="auto" w:fill="FFFFFF"/>
        </w:rPr>
        <w:t>iers</w:t>
      </w:r>
      <w:r w:rsidRPr="00CD52AA">
        <w:rPr>
          <w:i/>
          <w:iCs/>
          <w:shd w:val="clear" w:color="auto" w:fill="FFFFFF"/>
        </w:rPr>
        <w:t xml:space="preserve"> Microbiology</w:t>
      </w:r>
      <w:r w:rsidRPr="00FB5C0E">
        <w:rPr>
          <w:shd w:val="clear" w:color="auto" w:fill="FFFFFF"/>
        </w:rPr>
        <w:t xml:space="preserve">, </w:t>
      </w:r>
      <w:r w:rsidRPr="00CD52AA">
        <w:rPr>
          <w:i/>
          <w:iCs/>
          <w:shd w:val="clear" w:color="auto" w:fill="FFFFFF"/>
        </w:rPr>
        <w:t>15</w:t>
      </w:r>
      <w:r w:rsidR="00593067" w:rsidRPr="00CD52AA">
        <w:rPr>
          <w:shd w:val="clear" w:color="auto" w:fill="FFFFFF"/>
        </w:rPr>
        <w:t xml:space="preserve">, </w:t>
      </w:r>
      <w:r w:rsidRPr="00CD52AA">
        <w:rPr>
          <w:shd w:val="clear" w:color="auto" w:fill="FFFFFF"/>
        </w:rPr>
        <w:t xml:space="preserve">1473666. </w:t>
      </w:r>
    </w:p>
    <w:p w14:paraId="5A959FE2" w14:textId="418D3C6B"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rPr>
        <w:t>Cruz-Cárdenas, C.</w:t>
      </w:r>
      <w:r w:rsidR="00593067" w:rsidRPr="00CD52AA">
        <w:rPr>
          <w:shd w:val="clear" w:color="auto" w:fill="FFFFFF"/>
        </w:rPr>
        <w:t xml:space="preserve"> </w:t>
      </w:r>
      <w:r w:rsidRPr="00CD52AA">
        <w:rPr>
          <w:shd w:val="clear" w:color="auto" w:fill="FFFFFF"/>
        </w:rPr>
        <w:t>I., Zelaya Molina, L.</w:t>
      </w:r>
      <w:r w:rsidR="00593067" w:rsidRPr="00CD52AA">
        <w:rPr>
          <w:shd w:val="clear" w:color="auto" w:fill="FFFFFF"/>
        </w:rPr>
        <w:t xml:space="preserve"> </w:t>
      </w:r>
      <w:r w:rsidRPr="00CD52AA">
        <w:rPr>
          <w:shd w:val="clear" w:color="auto" w:fill="FFFFFF"/>
        </w:rPr>
        <w:t xml:space="preserve">X., Sandoval Cancino, G., Santos Villalobos, S., Rojas-Anaya, E., Chávez-Díaz I. and Ruíz-Ramírez, S. (2021). Utilización de microorganismos para una agricultura sostenible en México: consideraciones y retos. </w:t>
      </w:r>
      <w:r w:rsidRPr="00CD52AA">
        <w:rPr>
          <w:i/>
          <w:iCs/>
          <w:shd w:val="clear" w:color="auto" w:fill="FFFFFF"/>
        </w:rPr>
        <w:t>Revista Mexicana de Ciencias Agrícolas</w:t>
      </w:r>
      <w:r w:rsidRPr="00CD52AA">
        <w:rPr>
          <w:shd w:val="clear" w:color="auto" w:fill="FFFFFF"/>
        </w:rPr>
        <w:t xml:space="preserve">, </w:t>
      </w:r>
      <w:r w:rsidRPr="00CD52AA">
        <w:rPr>
          <w:i/>
          <w:iCs/>
          <w:shd w:val="clear" w:color="auto" w:fill="FFFFFF"/>
        </w:rPr>
        <w:t>12</w:t>
      </w:r>
      <w:r w:rsidRPr="00CD52AA">
        <w:rPr>
          <w:shd w:val="clear" w:color="auto" w:fill="FFFFFF"/>
        </w:rPr>
        <w:t>(5)</w:t>
      </w:r>
      <w:r w:rsidR="00593067" w:rsidRPr="00CD52AA">
        <w:rPr>
          <w:shd w:val="clear" w:color="auto" w:fill="FFFFFF"/>
        </w:rPr>
        <w:t>,</w:t>
      </w:r>
      <w:r w:rsidRPr="00CD52AA">
        <w:rPr>
          <w:shd w:val="clear" w:color="auto" w:fill="FFFFFF"/>
        </w:rPr>
        <w:t xml:space="preserve"> 899-913. 2022.</w:t>
      </w:r>
      <w:r w:rsidR="00593067" w:rsidRPr="00CD52AA">
        <w:rPr>
          <w:shd w:val="clear" w:color="auto" w:fill="FFFFFF"/>
        </w:rPr>
        <w:t xml:space="preserve"> </w:t>
      </w:r>
      <w:hyperlink r:id="rId24" w:history="1">
        <w:r w:rsidR="00593067" w:rsidRPr="00CD52AA">
          <w:rPr>
            <w:rStyle w:val="Hipervnculo"/>
            <w:color w:val="auto"/>
            <w:shd w:val="clear" w:color="auto" w:fill="FFFFFF"/>
          </w:rPr>
          <w:t>https://doi.org/10.29312/remexca.v12i5.2905</w:t>
        </w:r>
      </w:hyperlink>
      <w:r w:rsidR="00593067" w:rsidRPr="00CD52AA">
        <w:rPr>
          <w:shd w:val="clear" w:color="auto" w:fill="FFFFFF"/>
        </w:rPr>
        <w:t xml:space="preserve"> </w:t>
      </w:r>
    </w:p>
    <w:p w14:paraId="39237B9E" w14:textId="56684943"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lastRenderedPageBreak/>
        <w:t xml:space="preserve">Darvish, M., Shirzad, H., </w:t>
      </w:r>
      <w:proofErr w:type="spellStart"/>
      <w:r w:rsidRPr="00CD52AA">
        <w:rPr>
          <w:shd w:val="clear" w:color="auto" w:fill="FFFFFF"/>
          <w:lang w:val="en-US"/>
        </w:rPr>
        <w:t>Asghari</w:t>
      </w:r>
      <w:proofErr w:type="spellEnd"/>
      <w:r w:rsidRPr="00CD52AA">
        <w:rPr>
          <w:shd w:val="clear" w:color="auto" w:fill="FFFFFF"/>
          <w:lang w:val="en-US"/>
        </w:rPr>
        <w:t xml:space="preserve">, M., </w:t>
      </w:r>
      <w:proofErr w:type="spellStart"/>
      <w:r w:rsidRPr="00CD52AA">
        <w:rPr>
          <w:shd w:val="clear" w:color="auto" w:fill="FFFFFF"/>
          <w:lang w:val="en-US"/>
        </w:rPr>
        <w:t>Noruzi</w:t>
      </w:r>
      <w:proofErr w:type="spellEnd"/>
      <w:r w:rsidRPr="00CD52AA">
        <w:rPr>
          <w:shd w:val="clear" w:color="auto" w:fill="FFFFFF"/>
          <w:lang w:val="en-US"/>
        </w:rPr>
        <w:t xml:space="preserve">, P., </w:t>
      </w:r>
      <w:proofErr w:type="spellStart"/>
      <w:r w:rsidRPr="00CD52AA">
        <w:rPr>
          <w:shd w:val="clear" w:color="auto" w:fill="FFFFFF"/>
          <w:lang w:val="en-US"/>
        </w:rPr>
        <w:t>Alirezalu</w:t>
      </w:r>
      <w:proofErr w:type="spellEnd"/>
      <w:r w:rsidRPr="00CD52AA">
        <w:rPr>
          <w:shd w:val="clear" w:color="auto" w:fill="FFFFFF"/>
          <w:lang w:val="en-US"/>
        </w:rPr>
        <w:t xml:space="preserve">, A., </w:t>
      </w:r>
      <w:proofErr w:type="spellStart"/>
      <w:r w:rsidRPr="00CD52AA">
        <w:rPr>
          <w:shd w:val="clear" w:color="auto" w:fill="FFFFFF"/>
          <w:lang w:val="en-US"/>
        </w:rPr>
        <w:t>Pateiro</w:t>
      </w:r>
      <w:proofErr w:type="spellEnd"/>
      <w:r w:rsidRPr="00CD52AA">
        <w:rPr>
          <w:shd w:val="clear" w:color="auto" w:fill="FFFFFF"/>
          <w:lang w:val="en-US"/>
        </w:rPr>
        <w:t xml:space="preserve">, M., </w:t>
      </w:r>
      <w:proofErr w:type="spellStart"/>
      <w:r w:rsidRPr="00CD52AA">
        <w:rPr>
          <w:shd w:val="clear" w:color="auto" w:fill="FFFFFF"/>
          <w:lang w:val="en-US"/>
        </w:rPr>
        <w:t>Takshe</w:t>
      </w:r>
      <w:proofErr w:type="spellEnd"/>
      <w:r w:rsidRPr="00CD52AA">
        <w:rPr>
          <w:shd w:val="clear" w:color="auto" w:fill="FFFFFF"/>
          <w:lang w:val="en-US"/>
        </w:rPr>
        <w:t xml:space="preserve"> A. and Lorenzo, J.</w:t>
      </w:r>
      <w:r w:rsidR="00593067" w:rsidRPr="00CD52AA">
        <w:rPr>
          <w:shd w:val="clear" w:color="auto" w:fill="FFFFFF"/>
          <w:lang w:val="en-US"/>
        </w:rPr>
        <w:t xml:space="preserve"> </w:t>
      </w:r>
      <w:r w:rsidRPr="00CD52AA">
        <w:rPr>
          <w:shd w:val="clear" w:color="auto" w:fill="FFFFFF"/>
          <w:lang w:val="en-US"/>
        </w:rPr>
        <w:t xml:space="preserve">M. (2021). 24-Epibrasinolide Modulates the Vase Life of </w:t>
      </w:r>
      <w:proofErr w:type="spellStart"/>
      <w:r w:rsidRPr="00CD52AA">
        <w:rPr>
          <w:shd w:val="clear" w:color="auto" w:fill="FFFFFF"/>
          <w:lang w:val="en-US"/>
        </w:rPr>
        <w:t>Lisianthus</w:t>
      </w:r>
      <w:proofErr w:type="spellEnd"/>
      <w:r w:rsidRPr="00CD52AA">
        <w:rPr>
          <w:shd w:val="clear" w:color="auto" w:fill="FFFFFF"/>
          <w:lang w:val="en-US"/>
        </w:rPr>
        <w:t xml:space="preserve"> Cut Flowers by Modulating ACC Oxidase Enzyme Activity and Physiological Responses. </w:t>
      </w:r>
      <w:r w:rsidRPr="00CD52AA">
        <w:rPr>
          <w:i/>
          <w:iCs/>
          <w:shd w:val="clear" w:color="auto" w:fill="FFFFFF"/>
          <w:lang w:val="en-US"/>
        </w:rPr>
        <w:t>Plants (Basel)</w:t>
      </w:r>
      <w:r w:rsidRPr="00CD52AA">
        <w:rPr>
          <w:shd w:val="clear" w:color="auto" w:fill="FFFFFF"/>
          <w:lang w:val="en-US"/>
        </w:rPr>
        <w:t>.</w:t>
      </w:r>
      <w:r w:rsidR="00593067" w:rsidRPr="00CD52AA">
        <w:rPr>
          <w:shd w:val="clear" w:color="auto" w:fill="FFFFFF"/>
          <w:lang w:val="en-US"/>
        </w:rPr>
        <w:t xml:space="preserve"> </w:t>
      </w:r>
      <w:r w:rsidRPr="00CD52AA">
        <w:rPr>
          <w:i/>
          <w:iCs/>
          <w:shd w:val="clear" w:color="auto" w:fill="FFFFFF"/>
          <w:lang w:val="en-US"/>
        </w:rPr>
        <w:t>10</w:t>
      </w:r>
      <w:r w:rsidRPr="00CD52AA">
        <w:rPr>
          <w:shd w:val="clear" w:color="auto" w:fill="FFFFFF"/>
          <w:lang w:val="en-US"/>
        </w:rPr>
        <w:t>(5)</w:t>
      </w:r>
      <w:r w:rsidR="00593067" w:rsidRPr="00CD52AA">
        <w:rPr>
          <w:shd w:val="clear" w:color="auto" w:fill="FFFFFF"/>
          <w:lang w:val="en-US"/>
        </w:rPr>
        <w:t xml:space="preserve">, </w:t>
      </w:r>
      <w:r w:rsidRPr="00CD52AA">
        <w:rPr>
          <w:shd w:val="clear" w:color="auto" w:fill="FFFFFF"/>
          <w:lang w:val="en-US"/>
        </w:rPr>
        <w:t xml:space="preserve">995. </w:t>
      </w:r>
      <w:hyperlink r:id="rId25" w:tgtFrame="_blank" w:history="1">
        <w:r w:rsidR="00593067" w:rsidRPr="00CD52AA">
          <w:rPr>
            <w:rStyle w:val="Hipervnculo"/>
            <w:color w:val="auto"/>
            <w:shd w:val="clear" w:color="auto" w:fill="FFFFFF"/>
            <w:lang w:val="en-US"/>
          </w:rPr>
          <w:t>https://doi.org/10.3390/plants10050995</w:t>
        </w:r>
      </w:hyperlink>
    </w:p>
    <w:p w14:paraId="214A2010" w14:textId="046C9327"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Deng, Y., Wang, J., Zhang, A., Zhu, Z., Ren, S., Zhang, C</w:t>
      </w:r>
      <w:r w:rsidR="00593067" w:rsidRPr="00CD52AA">
        <w:rPr>
          <w:shd w:val="clear" w:color="auto" w:fill="FFFFFF"/>
          <w:lang w:val="en-US"/>
        </w:rPr>
        <w:t>.</w:t>
      </w:r>
      <w:r w:rsidRPr="00CD52AA">
        <w:rPr>
          <w:shd w:val="clear" w:color="auto" w:fill="FFFFFF"/>
          <w:lang w:val="en-US"/>
        </w:rPr>
        <w:t xml:space="preserve"> and Zhang Q. (2022) Metabolomics Mechanism and Lignin Response to </w:t>
      </w:r>
      <w:proofErr w:type="spellStart"/>
      <w:r w:rsidRPr="00CD52AA">
        <w:rPr>
          <w:shd w:val="clear" w:color="auto" w:fill="FFFFFF"/>
          <w:lang w:val="en-US"/>
        </w:rPr>
        <w:t>Laxogenin</w:t>
      </w:r>
      <w:proofErr w:type="spellEnd"/>
      <w:r w:rsidRPr="00CD52AA">
        <w:rPr>
          <w:shd w:val="clear" w:color="auto" w:fill="FFFFFF"/>
          <w:lang w:val="en-US"/>
        </w:rPr>
        <w:t xml:space="preserve"> C, a Natural Regulator of Plants Growth. </w:t>
      </w:r>
      <w:r w:rsidRPr="00CD52AA">
        <w:rPr>
          <w:i/>
          <w:iCs/>
          <w:shd w:val="clear" w:color="auto" w:fill="FFFFFF"/>
          <w:lang w:val="en-US"/>
        </w:rPr>
        <w:t>International Journal Molecular Science</w:t>
      </w:r>
      <w:r w:rsidRPr="00CD52AA">
        <w:rPr>
          <w:shd w:val="clear" w:color="auto" w:fill="FFFFFF"/>
          <w:lang w:val="en-US"/>
        </w:rPr>
        <w:t xml:space="preserve">, </w:t>
      </w:r>
      <w:r w:rsidRPr="00CD52AA">
        <w:rPr>
          <w:i/>
          <w:iCs/>
          <w:shd w:val="clear" w:color="auto" w:fill="FFFFFF"/>
          <w:lang w:val="en-US"/>
        </w:rPr>
        <w:t>23</w:t>
      </w:r>
      <w:r w:rsidRPr="00CD52AA">
        <w:rPr>
          <w:shd w:val="clear" w:color="auto" w:fill="FFFFFF"/>
          <w:lang w:val="en-US"/>
        </w:rPr>
        <w:t>(6)</w:t>
      </w:r>
      <w:r w:rsidR="00593067" w:rsidRPr="00CD52AA">
        <w:rPr>
          <w:shd w:val="clear" w:color="auto" w:fill="FFFFFF"/>
          <w:lang w:val="en-US"/>
        </w:rPr>
        <w:t xml:space="preserve">, </w:t>
      </w:r>
      <w:r w:rsidRPr="00CD52AA">
        <w:rPr>
          <w:shd w:val="clear" w:color="auto" w:fill="FFFFFF"/>
          <w:lang w:val="en-US"/>
        </w:rPr>
        <w:t xml:space="preserve">2990. </w:t>
      </w:r>
      <w:hyperlink r:id="rId26" w:tgtFrame="_blank" w:history="1">
        <w:r w:rsidR="00593067" w:rsidRPr="00CD52AA">
          <w:rPr>
            <w:rStyle w:val="Hipervnculo"/>
            <w:color w:val="auto"/>
            <w:shd w:val="clear" w:color="auto" w:fill="FFFFFF"/>
            <w:lang w:val="en-US"/>
          </w:rPr>
          <w:t>https://doi.org/10.3390/ijms23062990</w:t>
        </w:r>
      </w:hyperlink>
    </w:p>
    <w:p w14:paraId="33BCBA1D" w14:textId="44436BDA"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Garrido-</w:t>
      </w:r>
      <w:proofErr w:type="spellStart"/>
      <w:r w:rsidRPr="00CD52AA">
        <w:rPr>
          <w:shd w:val="clear" w:color="auto" w:fill="FFFFFF"/>
          <w:lang w:val="en-US"/>
        </w:rPr>
        <w:t>Auñón</w:t>
      </w:r>
      <w:proofErr w:type="spellEnd"/>
      <w:r w:rsidRPr="00CD52AA">
        <w:rPr>
          <w:shd w:val="clear" w:color="auto" w:fill="FFFFFF"/>
          <w:lang w:val="en-US"/>
        </w:rPr>
        <w:t>, F., Puente-Moreno, J., García-Pastor, M.</w:t>
      </w:r>
      <w:r w:rsidR="00593067" w:rsidRPr="00CD52AA">
        <w:rPr>
          <w:shd w:val="clear" w:color="auto" w:fill="FFFFFF"/>
          <w:lang w:val="en-US"/>
        </w:rPr>
        <w:t xml:space="preserve"> </w:t>
      </w:r>
      <w:r w:rsidRPr="00CD52AA">
        <w:rPr>
          <w:shd w:val="clear" w:color="auto" w:fill="FFFFFF"/>
          <w:lang w:val="en-US"/>
        </w:rPr>
        <w:t xml:space="preserve">E., Serrano, M. and Valero, D. (2024). </w:t>
      </w:r>
      <w:proofErr w:type="spellStart"/>
      <w:r w:rsidRPr="00CD52AA">
        <w:rPr>
          <w:shd w:val="clear" w:color="auto" w:fill="FFFFFF"/>
          <w:lang w:val="en-US"/>
        </w:rPr>
        <w:t>Brassinosteroids</w:t>
      </w:r>
      <w:proofErr w:type="spellEnd"/>
      <w:r w:rsidRPr="00CD52AA">
        <w:rPr>
          <w:shd w:val="clear" w:color="auto" w:fill="FFFFFF"/>
          <w:lang w:val="en-US"/>
        </w:rPr>
        <w:t xml:space="preserve">: An Innovative Compound Family That Could Affect the Growth, Ripening, Quality, and Postharvest Storage of Fleshy Fruits. </w:t>
      </w:r>
      <w:r w:rsidRPr="00CD52AA">
        <w:rPr>
          <w:i/>
          <w:iCs/>
          <w:shd w:val="clear" w:color="auto" w:fill="FFFFFF"/>
          <w:lang w:val="en-US"/>
        </w:rPr>
        <w:t>Plants (Basel)</w:t>
      </w:r>
      <w:r w:rsidRPr="00CD52AA">
        <w:rPr>
          <w:shd w:val="clear" w:color="auto" w:fill="FFFFFF"/>
          <w:lang w:val="en-US"/>
        </w:rPr>
        <w:t xml:space="preserve">. </w:t>
      </w:r>
      <w:r w:rsidRPr="00CD52AA">
        <w:rPr>
          <w:i/>
          <w:iCs/>
          <w:shd w:val="clear" w:color="auto" w:fill="FFFFFF"/>
          <w:lang w:val="en-US"/>
        </w:rPr>
        <w:t>13</w:t>
      </w:r>
      <w:r w:rsidRPr="00CD52AA">
        <w:rPr>
          <w:shd w:val="clear" w:color="auto" w:fill="FFFFFF"/>
          <w:lang w:val="en-US"/>
        </w:rPr>
        <w:t>(21)</w:t>
      </w:r>
      <w:r w:rsidR="00593067" w:rsidRPr="00CD52AA">
        <w:rPr>
          <w:shd w:val="clear" w:color="auto" w:fill="FFFFFF"/>
          <w:lang w:val="en-US"/>
        </w:rPr>
        <w:t>,</w:t>
      </w:r>
      <w:r w:rsidRPr="00CD52AA">
        <w:rPr>
          <w:shd w:val="clear" w:color="auto" w:fill="FFFFFF"/>
          <w:lang w:val="en-US"/>
        </w:rPr>
        <w:t xml:space="preserve">3082. </w:t>
      </w:r>
      <w:hyperlink r:id="rId27" w:tgtFrame="_blank" w:history="1">
        <w:r w:rsidR="00593067" w:rsidRPr="00CD52AA">
          <w:rPr>
            <w:rStyle w:val="Hipervnculo"/>
            <w:color w:val="auto"/>
            <w:shd w:val="clear" w:color="auto" w:fill="FFFFFF"/>
            <w:lang w:val="en-US"/>
          </w:rPr>
          <w:t>https://doi.org/10.3390/plants13213082</w:t>
        </w:r>
      </w:hyperlink>
    </w:p>
    <w:p w14:paraId="6A3CBC21" w14:textId="4ACC2631"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Glöckner</w:t>
      </w:r>
      <w:proofErr w:type="spellEnd"/>
      <w:r w:rsidRPr="00CD52AA">
        <w:rPr>
          <w:shd w:val="clear" w:color="auto" w:fill="FFFFFF"/>
          <w:lang w:val="en-US"/>
        </w:rPr>
        <w:t xml:space="preserve">, F.O., Yilmaz, P., Quast, C., </w:t>
      </w:r>
      <w:proofErr w:type="spellStart"/>
      <w:r w:rsidRPr="00CD52AA">
        <w:rPr>
          <w:shd w:val="clear" w:color="auto" w:fill="FFFFFF"/>
          <w:lang w:val="en-US"/>
        </w:rPr>
        <w:t>Gerken</w:t>
      </w:r>
      <w:proofErr w:type="spellEnd"/>
      <w:r w:rsidRPr="00CD52AA">
        <w:rPr>
          <w:shd w:val="clear" w:color="auto" w:fill="FFFFFF"/>
          <w:lang w:val="en-US"/>
        </w:rPr>
        <w:t xml:space="preserve">, J., </w:t>
      </w:r>
      <w:proofErr w:type="spellStart"/>
      <w:r w:rsidRPr="00CD52AA">
        <w:rPr>
          <w:shd w:val="clear" w:color="auto" w:fill="FFFFFF"/>
          <w:lang w:val="en-US"/>
        </w:rPr>
        <w:t>Beccati</w:t>
      </w:r>
      <w:proofErr w:type="spellEnd"/>
      <w:r w:rsidRPr="00CD52AA">
        <w:rPr>
          <w:shd w:val="clear" w:color="auto" w:fill="FFFFFF"/>
          <w:lang w:val="en-US"/>
        </w:rPr>
        <w:t xml:space="preserve">, A., </w:t>
      </w:r>
      <w:proofErr w:type="spellStart"/>
      <w:r w:rsidRPr="00CD52AA">
        <w:rPr>
          <w:shd w:val="clear" w:color="auto" w:fill="FFFFFF"/>
          <w:lang w:val="en-US"/>
        </w:rPr>
        <w:t>Ciuprina</w:t>
      </w:r>
      <w:proofErr w:type="spellEnd"/>
      <w:r w:rsidRPr="00CD52AA">
        <w:rPr>
          <w:shd w:val="clear" w:color="auto" w:fill="FFFFFF"/>
          <w:lang w:val="en-US"/>
        </w:rPr>
        <w:t xml:space="preserve">, A. and Ludwig, W. (2017). 25 years of serving the community with ribosomal RNA gene reference databases and tools. </w:t>
      </w:r>
      <w:r w:rsidRPr="00CD52AA">
        <w:rPr>
          <w:i/>
          <w:iCs/>
          <w:shd w:val="clear" w:color="auto" w:fill="FFFFFF"/>
          <w:lang w:val="en-US"/>
        </w:rPr>
        <w:t>Journal of Biotechnology</w:t>
      </w:r>
      <w:r w:rsidRPr="00CD52AA">
        <w:rPr>
          <w:shd w:val="clear" w:color="auto" w:fill="FFFFFF"/>
          <w:lang w:val="en-US"/>
        </w:rPr>
        <w:t xml:space="preserve">, </w:t>
      </w:r>
      <w:r w:rsidRPr="00CD52AA">
        <w:rPr>
          <w:i/>
          <w:iCs/>
          <w:shd w:val="clear" w:color="auto" w:fill="FFFFFF"/>
          <w:lang w:val="en-US"/>
        </w:rPr>
        <w:t>261</w:t>
      </w:r>
      <w:r w:rsidR="00593067" w:rsidRPr="00CD52AA">
        <w:rPr>
          <w:shd w:val="clear" w:color="auto" w:fill="FFFFFF"/>
          <w:lang w:val="en-US"/>
        </w:rPr>
        <w:t>,</w:t>
      </w:r>
      <w:r w:rsidRPr="00CD52AA">
        <w:rPr>
          <w:shd w:val="clear" w:color="auto" w:fill="FFFFFF"/>
          <w:lang w:val="en-US"/>
        </w:rPr>
        <w:t xml:space="preserve"> 169-176.</w:t>
      </w:r>
      <w:r w:rsidR="00593067" w:rsidRPr="00CD52AA">
        <w:rPr>
          <w:shd w:val="clear" w:color="auto" w:fill="FFFFFF"/>
          <w:lang w:val="en-US"/>
        </w:rPr>
        <w:t xml:space="preserve"> </w:t>
      </w:r>
      <w:hyperlink r:id="rId28" w:tgtFrame="_blank" w:history="1">
        <w:r w:rsidR="00593067" w:rsidRPr="00CD52AA">
          <w:rPr>
            <w:rStyle w:val="Hipervnculo"/>
            <w:color w:val="auto"/>
            <w:shd w:val="clear" w:color="auto" w:fill="FFFFFF"/>
            <w:lang w:val="en-US"/>
          </w:rPr>
          <w:t>https://doi.org/10.1016/j.jbiotec.2017.06.1198</w:t>
        </w:r>
      </w:hyperlink>
    </w:p>
    <w:p w14:paraId="370A36C6" w14:textId="66EEFFA0"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Guseva</w:t>
      </w:r>
      <w:proofErr w:type="spellEnd"/>
      <w:r w:rsidRPr="00CD52AA">
        <w:rPr>
          <w:shd w:val="clear" w:color="auto" w:fill="FFFFFF"/>
          <w:lang w:val="en-US"/>
        </w:rPr>
        <w:t xml:space="preserve">, K., Darcy, S., Simon, E., </w:t>
      </w:r>
      <w:proofErr w:type="spellStart"/>
      <w:r w:rsidRPr="00CD52AA">
        <w:rPr>
          <w:shd w:val="clear" w:color="auto" w:fill="FFFFFF"/>
          <w:lang w:val="en-US"/>
        </w:rPr>
        <w:t>Alteio</w:t>
      </w:r>
      <w:proofErr w:type="spellEnd"/>
      <w:r w:rsidRPr="00CD52AA">
        <w:rPr>
          <w:shd w:val="clear" w:color="auto" w:fill="FFFFFF"/>
          <w:lang w:val="en-US"/>
        </w:rPr>
        <w:t>, L.</w:t>
      </w:r>
      <w:r w:rsidR="00593067" w:rsidRPr="00CD52AA">
        <w:rPr>
          <w:shd w:val="clear" w:color="auto" w:fill="FFFFFF"/>
          <w:lang w:val="en-US"/>
        </w:rPr>
        <w:t xml:space="preserve"> </w:t>
      </w:r>
      <w:r w:rsidRPr="00CD52AA">
        <w:rPr>
          <w:shd w:val="clear" w:color="auto" w:fill="FFFFFF"/>
          <w:lang w:val="en-US"/>
        </w:rPr>
        <w:t xml:space="preserve">V., Montesinos-Navarro, A. and Kaiser C. (2022). From diversity to complexity: Microbial networks in soils. </w:t>
      </w:r>
      <w:r w:rsidRPr="00CD52AA">
        <w:rPr>
          <w:i/>
          <w:iCs/>
          <w:shd w:val="clear" w:color="auto" w:fill="FFFFFF"/>
          <w:lang w:val="en-US"/>
        </w:rPr>
        <w:t xml:space="preserve">Soil Biology </w:t>
      </w:r>
      <w:r w:rsidR="008A1E13" w:rsidRPr="00CD52AA">
        <w:rPr>
          <w:i/>
          <w:iCs/>
          <w:shd w:val="clear" w:color="auto" w:fill="FFFFFF"/>
          <w:lang w:val="en-US"/>
        </w:rPr>
        <w:t>Biochemistry</w:t>
      </w:r>
      <w:r w:rsidRPr="00CD52AA">
        <w:rPr>
          <w:shd w:val="clear" w:color="auto" w:fill="FFFFFF"/>
          <w:lang w:val="en-US"/>
        </w:rPr>
        <w:t xml:space="preserve">, </w:t>
      </w:r>
      <w:r w:rsidRPr="00CD52AA">
        <w:rPr>
          <w:i/>
          <w:iCs/>
          <w:shd w:val="clear" w:color="auto" w:fill="FFFFFF"/>
          <w:lang w:val="en-US"/>
        </w:rPr>
        <w:t>169</w:t>
      </w:r>
      <w:r w:rsidR="00D4360A" w:rsidRPr="00CD52AA">
        <w:rPr>
          <w:shd w:val="clear" w:color="auto" w:fill="FFFFFF"/>
          <w:lang w:val="en-US"/>
        </w:rPr>
        <w:t xml:space="preserve">, </w:t>
      </w:r>
      <w:r w:rsidRPr="00CD52AA">
        <w:rPr>
          <w:shd w:val="clear" w:color="auto" w:fill="FFFFFF"/>
          <w:lang w:val="en-US"/>
        </w:rPr>
        <w:t xml:space="preserve">108604. </w:t>
      </w:r>
    </w:p>
    <w:p w14:paraId="1DE41C47" w14:textId="77777777" w:rsidR="00CE14B3" w:rsidRPr="00CD52AA" w:rsidRDefault="00CE14B3" w:rsidP="00380689">
      <w:pPr>
        <w:pStyle w:val="c-bibliographic-informationcitation"/>
        <w:shd w:val="clear" w:color="auto" w:fill="FFFFFF"/>
        <w:spacing w:before="0" w:beforeAutospacing="0" w:after="240" w:afterAutospacing="0" w:line="480" w:lineRule="auto"/>
        <w:jc w:val="both"/>
        <w:rPr>
          <w:lang w:val="en-US"/>
        </w:rPr>
      </w:pPr>
      <w:r w:rsidRPr="00CD52AA">
        <w:rPr>
          <w:lang w:val="en-US"/>
        </w:rPr>
        <w:lastRenderedPageBreak/>
        <w:t xml:space="preserve">Jain, M. and Pandey, S. (2025). A Review of Sustainable Agriculture – A Way to Modify Food Systems. In: Awasthi, K.K., Srivastava, S., Rathore, S. (eds) The Green Revolution: Building Sustainable Solutions. RTESD 2023. Springer Proceedings in Earth and Environmental Sciences. Springer, Cham. </w:t>
      </w:r>
      <w:hyperlink r:id="rId29" w:history="1">
        <w:r w:rsidRPr="00CD52AA">
          <w:rPr>
            <w:rStyle w:val="Hipervnculo"/>
            <w:color w:val="auto"/>
            <w:lang w:val="en-US"/>
          </w:rPr>
          <w:t>https://doi.org/10.1007/978-3-031-93444-5_14</w:t>
        </w:r>
      </w:hyperlink>
    </w:p>
    <w:p w14:paraId="531D9B2C" w14:textId="043C6225"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Katoh</w:t>
      </w:r>
      <w:proofErr w:type="spellEnd"/>
      <w:r w:rsidRPr="00CD52AA">
        <w:rPr>
          <w:shd w:val="clear" w:color="auto" w:fill="FFFFFF"/>
          <w:lang w:val="en-US"/>
        </w:rPr>
        <w:t xml:space="preserve">, K. and </w:t>
      </w:r>
      <w:proofErr w:type="spellStart"/>
      <w:r w:rsidRPr="00CD52AA">
        <w:rPr>
          <w:shd w:val="clear" w:color="auto" w:fill="FFFFFF"/>
          <w:lang w:val="en-US"/>
        </w:rPr>
        <w:t>Toh</w:t>
      </w:r>
      <w:proofErr w:type="spellEnd"/>
      <w:r w:rsidRPr="00CD52AA">
        <w:rPr>
          <w:shd w:val="clear" w:color="auto" w:fill="FFFFFF"/>
          <w:lang w:val="en-US"/>
        </w:rPr>
        <w:t xml:space="preserve">, H. (2008). Recent developments in the MAFFT multiple sequence alignment program. </w:t>
      </w:r>
      <w:r w:rsidRPr="00CD52AA">
        <w:rPr>
          <w:i/>
          <w:iCs/>
          <w:shd w:val="clear" w:color="auto" w:fill="FFFFFF"/>
          <w:lang w:val="en-US"/>
        </w:rPr>
        <w:t>Brief Bioinformatics</w:t>
      </w:r>
      <w:r w:rsidRPr="00CD52AA">
        <w:rPr>
          <w:shd w:val="clear" w:color="auto" w:fill="FFFFFF"/>
          <w:lang w:val="en-US"/>
        </w:rPr>
        <w:t xml:space="preserve">, </w:t>
      </w:r>
      <w:r w:rsidRPr="00CD52AA">
        <w:rPr>
          <w:i/>
          <w:iCs/>
          <w:shd w:val="clear" w:color="auto" w:fill="FFFFFF"/>
          <w:lang w:val="en-US"/>
        </w:rPr>
        <w:t>9</w:t>
      </w:r>
      <w:r w:rsidRPr="00CD52AA">
        <w:rPr>
          <w:shd w:val="clear" w:color="auto" w:fill="FFFFFF"/>
          <w:lang w:val="en-US"/>
        </w:rPr>
        <w:t>(4)</w:t>
      </w:r>
      <w:r w:rsidR="00D4360A" w:rsidRPr="00CD52AA">
        <w:rPr>
          <w:shd w:val="clear" w:color="auto" w:fill="FFFFFF"/>
          <w:lang w:val="en-US"/>
        </w:rPr>
        <w:t>,</w:t>
      </w:r>
      <w:r w:rsidRPr="00CD52AA">
        <w:rPr>
          <w:shd w:val="clear" w:color="auto" w:fill="FFFFFF"/>
          <w:lang w:val="en-US"/>
        </w:rPr>
        <w:t xml:space="preserve"> 286-298.</w:t>
      </w:r>
      <w:r w:rsidR="00D4360A" w:rsidRPr="00CD52AA">
        <w:rPr>
          <w:shd w:val="clear" w:color="auto" w:fill="FFFFFF"/>
          <w:lang w:val="en-US"/>
        </w:rPr>
        <w:t xml:space="preserve"> </w:t>
      </w:r>
      <w:hyperlink r:id="rId30" w:tgtFrame="_blank" w:history="1">
        <w:r w:rsidR="00D4360A" w:rsidRPr="00CD52AA">
          <w:rPr>
            <w:rStyle w:val="Hipervnculo"/>
            <w:color w:val="auto"/>
            <w:shd w:val="clear" w:color="auto" w:fill="FFFFFF"/>
            <w:lang w:val="en-US"/>
          </w:rPr>
          <w:t>https://doi.org/10.1093/bib/bbn013</w:t>
        </w:r>
      </w:hyperlink>
    </w:p>
    <w:p w14:paraId="31D6B67C" w14:textId="0C1A94D1"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proofErr w:type="spellStart"/>
      <w:r w:rsidRPr="00CD52AA">
        <w:rPr>
          <w:shd w:val="clear" w:color="auto" w:fill="FFFFFF"/>
          <w:lang w:val="en-US"/>
        </w:rPr>
        <w:t>Klindworth</w:t>
      </w:r>
      <w:proofErr w:type="spellEnd"/>
      <w:r w:rsidRPr="00CD52AA">
        <w:rPr>
          <w:shd w:val="clear" w:color="auto" w:fill="FFFFFF"/>
          <w:lang w:val="en-US"/>
        </w:rPr>
        <w:t xml:space="preserve">, A., </w:t>
      </w:r>
      <w:proofErr w:type="spellStart"/>
      <w:r w:rsidRPr="00CD52AA">
        <w:rPr>
          <w:shd w:val="clear" w:color="auto" w:fill="FFFFFF"/>
          <w:lang w:val="en-US"/>
        </w:rPr>
        <w:t>Pruesse</w:t>
      </w:r>
      <w:proofErr w:type="spellEnd"/>
      <w:r w:rsidRPr="00CD52AA">
        <w:rPr>
          <w:shd w:val="clear" w:color="auto" w:fill="FFFFFF"/>
          <w:lang w:val="en-US"/>
        </w:rPr>
        <w:t xml:space="preserve">, E., </w:t>
      </w:r>
      <w:proofErr w:type="spellStart"/>
      <w:r w:rsidRPr="00CD52AA">
        <w:rPr>
          <w:shd w:val="clear" w:color="auto" w:fill="FFFFFF"/>
          <w:lang w:val="en-US"/>
        </w:rPr>
        <w:t>Schweer</w:t>
      </w:r>
      <w:proofErr w:type="spellEnd"/>
      <w:r w:rsidRPr="00CD52AA">
        <w:rPr>
          <w:shd w:val="clear" w:color="auto" w:fill="FFFFFF"/>
          <w:lang w:val="en-US"/>
        </w:rPr>
        <w:t xml:space="preserve">, T., </w:t>
      </w:r>
      <w:proofErr w:type="spellStart"/>
      <w:r w:rsidRPr="00CD52AA">
        <w:rPr>
          <w:shd w:val="clear" w:color="auto" w:fill="FFFFFF"/>
          <w:lang w:val="en-US"/>
        </w:rPr>
        <w:t>Peplies</w:t>
      </w:r>
      <w:proofErr w:type="spellEnd"/>
      <w:r w:rsidRPr="00CD52AA">
        <w:rPr>
          <w:shd w:val="clear" w:color="auto" w:fill="FFFFFF"/>
          <w:lang w:val="en-US"/>
        </w:rPr>
        <w:t xml:space="preserve">, J., Quast, C., Horn, M. and </w:t>
      </w:r>
      <w:proofErr w:type="spellStart"/>
      <w:r w:rsidRPr="00CD52AA">
        <w:rPr>
          <w:shd w:val="clear" w:color="auto" w:fill="FFFFFF"/>
          <w:lang w:val="en-US"/>
        </w:rPr>
        <w:t>Glöckner</w:t>
      </w:r>
      <w:proofErr w:type="spellEnd"/>
      <w:r w:rsidRPr="00CD52AA">
        <w:rPr>
          <w:shd w:val="clear" w:color="auto" w:fill="FFFFFF"/>
          <w:lang w:val="en-US"/>
        </w:rPr>
        <w:t>, F.</w:t>
      </w:r>
      <w:r w:rsidR="00D4360A" w:rsidRPr="00CD52AA">
        <w:rPr>
          <w:shd w:val="clear" w:color="auto" w:fill="FFFFFF"/>
          <w:lang w:val="en-US"/>
        </w:rPr>
        <w:t xml:space="preserve"> </w:t>
      </w:r>
      <w:r w:rsidRPr="00CD52AA">
        <w:rPr>
          <w:shd w:val="clear" w:color="auto" w:fill="FFFFFF"/>
          <w:lang w:val="en-US"/>
        </w:rPr>
        <w:t xml:space="preserve">O. (2013). Evaluation of general 16S ribosomal RNA gene PCR primers for classical and next-generation sequencing-based diversity studies. </w:t>
      </w:r>
      <w:r w:rsidRPr="00CD52AA">
        <w:rPr>
          <w:i/>
          <w:iCs/>
          <w:shd w:val="clear" w:color="auto" w:fill="FFFFFF"/>
        </w:rPr>
        <w:t>Nucleic Acids Research</w:t>
      </w:r>
      <w:r w:rsidRPr="00CD52AA">
        <w:rPr>
          <w:shd w:val="clear" w:color="auto" w:fill="FFFFFF"/>
        </w:rPr>
        <w:t xml:space="preserve">, </w:t>
      </w:r>
      <w:r w:rsidRPr="00CD52AA">
        <w:rPr>
          <w:i/>
          <w:iCs/>
          <w:shd w:val="clear" w:color="auto" w:fill="FFFFFF"/>
        </w:rPr>
        <w:t>41</w:t>
      </w:r>
      <w:r w:rsidRPr="00CD52AA">
        <w:rPr>
          <w:shd w:val="clear" w:color="auto" w:fill="FFFFFF"/>
        </w:rPr>
        <w:t>(1)</w:t>
      </w:r>
      <w:r w:rsidR="00D4360A" w:rsidRPr="00CD52AA">
        <w:rPr>
          <w:shd w:val="clear" w:color="auto" w:fill="FFFFFF"/>
        </w:rPr>
        <w:t xml:space="preserve">, </w:t>
      </w:r>
      <w:r w:rsidRPr="00CD52AA">
        <w:rPr>
          <w:shd w:val="clear" w:color="auto" w:fill="FFFFFF"/>
        </w:rPr>
        <w:t xml:space="preserve">e1. </w:t>
      </w:r>
      <w:hyperlink r:id="rId31" w:tgtFrame="_blank" w:history="1">
        <w:r w:rsidR="00D4360A" w:rsidRPr="00CD52AA">
          <w:rPr>
            <w:rStyle w:val="Hipervnculo"/>
            <w:color w:val="auto"/>
            <w:shd w:val="clear" w:color="auto" w:fill="FFFFFF"/>
          </w:rPr>
          <w:t>https://doi.org/10.1093/nar/gks808</w:t>
        </w:r>
      </w:hyperlink>
    </w:p>
    <w:p w14:paraId="1523822D" w14:textId="3B692000"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rPr>
        <w:t>López-Castillo, G.</w:t>
      </w:r>
      <w:r w:rsidR="00D4360A" w:rsidRPr="00CD52AA">
        <w:rPr>
          <w:shd w:val="clear" w:color="auto" w:fill="FFFFFF"/>
        </w:rPr>
        <w:t xml:space="preserve"> </w:t>
      </w:r>
      <w:r w:rsidRPr="00CD52AA">
        <w:rPr>
          <w:shd w:val="clear" w:color="auto" w:fill="FFFFFF"/>
        </w:rPr>
        <w:t>N., Wong-Villareal, A., Castellanos-Moguel, J., Correa, G.</w:t>
      </w:r>
      <w:r w:rsidR="00D4360A" w:rsidRPr="00CD52AA">
        <w:rPr>
          <w:shd w:val="clear" w:color="auto" w:fill="FFFFFF"/>
        </w:rPr>
        <w:t xml:space="preserve"> </w:t>
      </w:r>
      <w:r w:rsidRPr="00CD52AA">
        <w:rPr>
          <w:shd w:val="clear" w:color="auto" w:fill="FFFFFF"/>
        </w:rPr>
        <w:t>V., Cabrera-Hilerio, S.</w:t>
      </w:r>
      <w:r w:rsidR="00D4360A" w:rsidRPr="00CD52AA">
        <w:rPr>
          <w:shd w:val="clear" w:color="auto" w:fill="FFFFFF"/>
        </w:rPr>
        <w:t xml:space="preserve"> </w:t>
      </w:r>
      <w:r w:rsidRPr="00CD52AA">
        <w:rPr>
          <w:shd w:val="clear" w:color="auto" w:fill="FFFFFF"/>
        </w:rPr>
        <w:t>L., Miranda-Arámbula, M., Carrasco-Carballo, A.</w:t>
      </w:r>
      <w:r w:rsidR="00D4360A" w:rsidRPr="00CD52AA">
        <w:rPr>
          <w:shd w:val="clear" w:color="auto" w:fill="FFFFFF"/>
        </w:rPr>
        <w:t xml:space="preserve"> </w:t>
      </w:r>
      <w:r w:rsidRPr="00CD52AA">
        <w:rPr>
          <w:shd w:val="clear" w:color="auto" w:fill="FFFFFF"/>
        </w:rPr>
        <w:t xml:space="preserve">and Sandoval-Ramírez, J. (2024). </w:t>
      </w:r>
      <w:r w:rsidRPr="00CD52AA">
        <w:rPr>
          <w:shd w:val="clear" w:color="auto" w:fill="FFFFFF"/>
          <w:lang w:val="en-US"/>
        </w:rPr>
        <w:t xml:space="preserve">Evaluation of the Plant Growth Regulator SPGP4 in Agricultural Crops: A Case Study in Oaxaca, México. </w:t>
      </w:r>
      <w:r w:rsidRPr="00CD52AA">
        <w:rPr>
          <w:i/>
          <w:iCs/>
          <w:shd w:val="clear" w:color="auto" w:fill="FFFFFF"/>
          <w:lang w:val="en-US"/>
        </w:rPr>
        <w:t>Crops</w:t>
      </w:r>
      <w:r w:rsidRPr="00CD52AA">
        <w:rPr>
          <w:shd w:val="clear" w:color="auto" w:fill="FFFFFF"/>
          <w:lang w:val="en-US"/>
        </w:rPr>
        <w:t xml:space="preserve">, </w:t>
      </w:r>
      <w:r w:rsidRPr="00CD52AA">
        <w:rPr>
          <w:i/>
          <w:iCs/>
          <w:shd w:val="clear" w:color="auto" w:fill="FFFFFF"/>
          <w:lang w:val="en-US"/>
        </w:rPr>
        <w:t>4</w:t>
      </w:r>
      <w:r w:rsidR="00D4360A" w:rsidRPr="00CD52AA">
        <w:rPr>
          <w:shd w:val="clear" w:color="auto" w:fill="FFFFFF"/>
          <w:lang w:val="en-US"/>
        </w:rPr>
        <w:t>(2),</w:t>
      </w:r>
      <w:r w:rsidRPr="00CD52AA">
        <w:rPr>
          <w:shd w:val="clear" w:color="auto" w:fill="FFFFFF"/>
          <w:lang w:val="en-US"/>
        </w:rPr>
        <w:t xml:space="preserve">172-179. </w:t>
      </w:r>
      <w:hyperlink r:id="rId32" w:history="1">
        <w:r w:rsidR="00D4360A" w:rsidRPr="00CD52AA">
          <w:rPr>
            <w:rStyle w:val="Hipervnculo"/>
            <w:color w:val="auto"/>
            <w:shd w:val="clear" w:color="auto" w:fill="FFFFFF"/>
            <w:lang w:val="en-US"/>
          </w:rPr>
          <w:t>https://doi.org/10.3390/crops4020013</w:t>
        </w:r>
      </w:hyperlink>
      <w:r w:rsidR="00D4360A" w:rsidRPr="00CD52AA">
        <w:rPr>
          <w:shd w:val="clear" w:color="auto" w:fill="FFFFFF"/>
          <w:lang w:val="en-US"/>
        </w:rPr>
        <w:t xml:space="preserve"> </w:t>
      </w:r>
    </w:p>
    <w:p w14:paraId="0E45A4A2" w14:textId="77CD8299"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 xml:space="preserve">Love, M., Anders, S. and Huber, W. (2014). Differential analysis of count data-the DESeq2 package. Genome Biology, </w:t>
      </w:r>
      <w:r w:rsidRPr="00CD52AA">
        <w:rPr>
          <w:i/>
          <w:iCs/>
          <w:shd w:val="clear" w:color="auto" w:fill="FFFFFF"/>
          <w:lang w:val="en-US"/>
        </w:rPr>
        <w:t>15</w:t>
      </w:r>
      <w:r w:rsidRPr="00CD52AA">
        <w:rPr>
          <w:shd w:val="clear" w:color="auto" w:fill="FFFFFF"/>
          <w:lang w:val="en-US"/>
        </w:rPr>
        <w:t>(550)</w:t>
      </w:r>
      <w:r w:rsidR="00D4360A" w:rsidRPr="00CD52AA">
        <w:rPr>
          <w:shd w:val="clear" w:color="auto" w:fill="FFFFFF"/>
          <w:lang w:val="en-US"/>
        </w:rPr>
        <w:t>,</w:t>
      </w:r>
      <w:r w:rsidRPr="00CD52AA">
        <w:rPr>
          <w:shd w:val="clear" w:color="auto" w:fill="FFFFFF"/>
          <w:lang w:val="en-US"/>
        </w:rPr>
        <w:t xml:space="preserve"> 10-1186.</w:t>
      </w:r>
      <w:r w:rsidR="00D4360A" w:rsidRPr="00CD52AA">
        <w:rPr>
          <w:shd w:val="clear" w:color="auto" w:fill="FFFFFF"/>
          <w:lang w:val="en-US"/>
        </w:rPr>
        <w:t xml:space="preserve"> </w:t>
      </w:r>
      <w:hyperlink r:id="rId33" w:tgtFrame="_blank" w:history="1">
        <w:r w:rsidR="00D4360A" w:rsidRPr="00CD52AA">
          <w:rPr>
            <w:rStyle w:val="Hipervnculo"/>
            <w:color w:val="auto"/>
            <w:shd w:val="clear" w:color="auto" w:fill="FFFFFF"/>
            <w:lang w:val="en-US"/>
          </w:rPr>
          <w:t>https://doi.org/10.1186/s13059-014-0550-8</w:t>
        </w:r>
      </w:hyperlink>
    </w:p>
    <w:p w14:paraId="20C99BBE" w14:textId="0AA381E6"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lastRenderedPageBreak/>
        <w:t xml:space="preserve">Ma, Y., Wang, J., Liu, Y., Wang, X., Zhang, B., Zhang, W., Chen, T., Liu, G., </w:t>
      </w:r>
      <w:proofErr w:type="spellStart"/>
      <w:r w:rsidRPr="00CD52AA">
        <w:rPr>
          <w:shd w:val="clear" w:color="auto" w:fill="FFFFFF"/>
          <w:lang w:val="en-US"/>
        </w:rPr>
        <w:t>Xue</w:t>
      </w:r>
      <w:proofErr w:type="spellEnd"/>
      <w:r w:rsidRPr="00CD52AA">
        <w:rPr>
          <w:shd w:val="clear" w:color="auto" w:fill="FFFFFF"/>
          <w:lang w:val="en-US"/>
        </w:rPr>
        <w:t>, L. and Cui, X. (2023). </w:t>
      </w:r>
      <w:proofErr w:type="spellStart"/>
      <w:r w:rsidRPr="00CD52AA">
        <w:rPr>
          <w:i/>
          <w:iCs/>
          <w:shd w:val="clear" w:color="auto" w:fill="FFFFFF"/>
          <w:lang w:val="en-US"/>
        </w:rPr>
        <w:t>Nocardioides</w:t>
      </w:r>
      <w:proofErr w:type="spellEnd"/>
      <w:r w:rsidRPr="00CD52AA">
        <w:rPr>
          <w:shd w:val="clear" w:color="auto" w:fill="FFFFFF"/>
          <w:lang w:val="en-US"/>
        </w:rPr>
        <w:t xml:space="preserve">: "Specialists" for Hard-to-Degrade Pollutants in the Environment. </w:t>
      </w:r>
      <w:r w:rsidRPr="00CD52AA">
        <w:rPr>
          <w:i/>
          <w:iCs/>
          <w:shd w:val="clear" w:color="auto" w:fill="FFFFFF"/>
          <w:lang w:val="en-US"/>
        </w:rPr>
        <w:t>Molecules</w:t>
      </w:r>
      <w:r w:rsidR="00EB2079" w:rsidRPr="00CD52AA">
        <w:rPr>
          <w:i/>
          <w:iCs/>
          <w:shd w:val="clear" w:color="auto" w:fill="FFFFFF"/>
          <w:lang w:val="en-US"/>
        </w:rPr>
        <w:t>,</w:t>
      </w:r>
      <w:r w:rsidRPr="00CD52AA">
        <w:rPr>
          <w:shd w:val="clear" w:color="auto" w:fill="FFFFFF"/>
          <w:lang w:val="en-US"/>
        </w:rPr>
        <w:t xml:space="preserve"> </w:t>
      </w:r>
      <w:r w:rsidRPr="00CD52AA">
        <w:rPr>
          <w:i/>
          <w:iCs/>
          <w:shd w:val="clear" w:color="auto" w:fill="FFFFFF"/>
          <w:lang w:val="en-US"/>
        </w:rPr>
        <w:t>28</w:t>
      </w:r>
      <w:r w:rsidRPr="00CD52AA">
        <w:rPr>
          <w:shd w:val="clear" w:color="auto" w:fill="FFFFFF"/>
          <w:lang w:val="en-US"/>
        </w:rPr>
        <w:t>(21)</w:t>
      </w:r>
      <w:r w:rsidR="008E0EC8" w:rsidRPr="00CD52AA">
        <w:rPr>
          <w:shd w:val="clear" w:color="auto" w:fill="FFFFFF"/>
          <w:lang w:val="en-US"/>
        </w:rPr>
        <w:t xml:space="preserve">, </w:t>
      </w:r>
      <w:r w:rsidRPr="00CD52AA">
        <w:rPr>
          <w:shd w:val="clear" w:color="auto" w:fill="FFFFFF"/>
          <w:lang w:val="en-US"/>
        </w:rPr>
        <w:t xml:space="preserve">7433. </w:t>
      </w:r>
      <w:r w:rsidR="008E0EC8" w:rsidRPr="00CD52AA">
        <w:rPr>
          <w:lang w:val="en-US"/>
        </w:rPr>
        <w:t xml:space="preserve"> </w:t>
      </w:r>
      <w:hyperlink r:id="rId34" w:tgtFrame="_blank" w:history="1">
        <w:r w:rsidR="008E0EC8" w:rsidRPr="00CD52AA">
          <w:rPr>
            <w:rStyle w:val="Hipervnculo"/>
            <w:color w:val="auto"/>
            <w:shd w:val="clear" w:color="auto" w:fill="FFFFFF"/>
            <w:lang w:val="en-US"/>
          </w:rPr>
          <w:t>https://doi.org/10.3390/molecules28217433</w:t>
        </w:r>
      </w:hyperlink>
      <w:r w:rsidR="008E0EC8" w:rsidRPr="00CD52AA">
        <w:rPr>
          <w:shd w:val="clear" w:color="auto" w:fill="FFFFFF"/>
          <w:lang w:val="en-US"/>
        </w:rPr>
        <w:t xml:space="preserve"> </w:t>
      </w:r>
    </w:p>
    <w:p w14:paraId="71688709" w14:textId="77777777"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McMurdie</w:t>
      </w:r>
      <w:proofErr w:type="spellEnd"/>
      <w:r w:rsidRPr="00CD52AA">
        <w:rPr>
          <w:shd w:val="clear" w:color="auto" w:fill="FFFFFF"/>
          <w:lang w:val="en-US"/>
        </w:rPr>
        <w:t xml:space="preserve">, P.J. and Holmes, S. (2012). </w:t>
      </w:r>
      <w:proofErr w:type="spellStart"/>
      <w:r w:rsidRPr="00CD52AA">
        <w:rPr>
          <w:shd w:val="clear" w:color="auto" w:fill="FFFFFF"/>
          <w:lang w:val="en-US"/>
        </w:rPr>
        <w:t>Phyloseq</w:t>
      </w:r>
      <w:proofErr w:type="spellEnd"/>
      <w:r w:rsidRPr="00CD52AA">
        <w:rPr>
          <w:shd w:val="clear" w:color="auto" w:fill="FFFFFF"/>
          <w:lang w:val="en-US"/>
        </w:rPr>
        <w:t xml:space="preserve">: a </w:t>
      </w:r>
      <w:proofErr w:type="spellStart"/>
      <w:r w:rsidRPr="00CD52AA">
        <w:rPr>
          <w:shd w:val="clear" w:color="auto" w:fill="FFFFFF"/>
          <w:lang w:val="en-US"/>
        </w:rPr>
        <w:t>bioconductor</w:t>
      </w:r>
      <w:proofErr w:type="spellEnd"/>
      <w:r w:rsidRPr="00CD52AA">
        <w:rPr>
          <w:shd w:val="clear" w:color="auto" w:fill="FFFFFF"/>
          <w:lang w:val="en-US"/>
        </w:rPr>
        <w:t xml:space="preserve"> package for handling and analysis of high-throughput phylogenetic sequence data. </w:t>
      </w:r>
      <w:r w:rsidRPr="00CD52AA">
        <w:rPr>
          <w:i/>
          <w:iCs/>
          <w:shd w:val="clear" w:color="auto" w:fill="FFFFFF"/>
          <w:lang w:val="en-US"/>
        </w:rPr>
        <w:t>Pacific Symposium on Biocomputing</w:t>
      </w:r>
      <w:r w:rsidRPr="00CD52AA">
        <w:rPr>
          <w:shd w:val="clear" w:color="auto" w:fill="FFFFFF"/>
          <w:lang w:val="en-US"/>
        </w:rPr>
        <w:t>, 235-46.</w:t>
      </w:r>
      <w:r w:rsidR="008E0EC8" w:rsidRPr="00CD52AA">
        <w:rPr>
          <w:shd w:val="clear" w:color="auto" w:fill="FFFFFF"/>
          <w:lang w:val="en-US"/>
        </w:rPr>
        <w:t xml:space="preserve"> </w:t>
      </w:r>
    </w:p>
    <w:p w14:paraId="52115B41" w14:textId="1C107AB5"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Nilsson, R.</w:t>
      </w:r>
      <w:r w:rsidR="008E0EC8" w:rsidRPr="00CD52AA">
        <w:rPr>
          <w:shd w:val="clear" w:color="auto" w:fill="FFFFFF"/>
          <w:lang w:val="en-US"/>
        </w:rPr>
        <w:t xml:space="preserve"> </w:t>
      </w:r>
      <w:r w:rsidRPr="00CD52AA">
        <w:rPr>
          <w:shd w:val="clear" w:color="auto" w:fill="FFFFFF"/>
          <w:lang w:val="en-US"/>
        </w:rPr>
        <w:t>H., Larsson, K.</w:t>
      </w:r>
      <w:r w:rsidR="008E0EC8" w:rsidRPr="00CD52AA">
        <w:rPr>
          <w:shd w:val="clear" w:color="auto" w:fill="FFFFFF"/>
          <w:lang w:val="en-US"/>
        </w:rPr>
        <w:t xml:space="preserve"> </w:t>
      </w:r>
      <w:r w:rsidRPr="00CD52AA">
        <w:rPr>
          <w:shd w:val="clear" w:color="auto" w:fill="FFFFFF"/>
          <w:lang w:val="en-US"/>
        </w:rPr>
        <w:t>H., Taylor, A.</w:t>
      </w:r>
      <w:r w:rsidR="008E0EC8" w:rsidRPr="00CD52AA">
        <w:rPr>
          <w:shd w:val="clear" w:color="auto" w:fill="FFFFFF"/>
          <w:lang w:val="en-US"/>
        </w:rPr>
        <w:t xml:space="preserve"> </w:t>
      </w:r>
      <w:r w:rsidRPr="00CD52AA">
        <w:rPr>
          <w:shd w:val="clear" w:color="auto" w:fill="FFFFFF"/>
          <w:lang w:val="en-US"/>
        </w:rPr>
        <w:t>F.</w:t>
      </w:r>
      <w:r w:rsidR="008E0EC8" w:rsidRPr="00CD52AA">
        <w:rPr>
          <w:shd w:val="clear" w:color="auto" w:fill="FFFFFF"/>
          <w:lang w:val="en-US"/>
        </w:rPr>
        <w:t xml:space="preserve"> </w:t>
      </w:r>
      <w:r w:rsidRPr="00CD52AA">
        <w:rPr>
          <w:shd w:val="clear" w:color="auto" w:fill="FFFFFF"/>
          <w:lang w:val="en-US"/>
        </w:rPr>
        <w:t>S., Bengtsson-Palme, J., Jeppesen, T.</w:t>
      </w:r>
      <w:r w:rsidR="008E0EC8" w:rsidRPr="00CD52AA">
        <w:rPr>
          <w:shd w:val="clear" w:color="auto" w:fill="FFFFFF"/>
          <w:lang w:val="en-US"/>
        </w:rPr>
        <w:t xml:space="preserve"> </w:t>
      </w:r>
      <w:r w:rsidRPr="00CD52AA">
        <w:rPr>
          <w:shd w:val="clear" w:color="auto" w:fill="FFFFFF"/>
          <w:lang w:val="en-US"/>
        </w:rPr>
        <w:t xml:space="preserve">S., </w:t>
      </w:r>
      <w:proofErr w:type="spellStart"/>
      <w:r w:rsidRPr="00CD52AA">
        <w:rPr>
          <w:shd w:val="clear" w:color="auto" w:fill="FFFFFF"/>
          <w:lang w:val="en-US"/>
        </w:rPr>
        <w:t>Schigel</w:t>
      </w:r>
      <w:proofErr w:type="spellEnd"/>
      <w:r w:rsidRPr="00CD52AA">
        <w:rPr>
          <w:shd w:val="clear" w:color="auto" w:fill="FFFFFF"/>
          <w:lang w:val="en-US"/>
        </w:rPr>
        <w:t xml:space="preserve">, D. and </w:t>
      </w:r>
      <w:proofErr w:type="spellStart"/>
      <w:r w:rsidRPr="00CD52AA">
        <w:rPr>
          <w:shd w:val="clear" w:color="auto" w:fill="FFFFFF"/>
          <w:lang w:val="en-US"/>
        </w:rPr>
        <w:t>Abarenkov</w:t>
      </w:r>
      <w:proofErr w:type="spellEnd"/>
      <w:r w:rsidRPr="00CD52AA">
        <w:rPr>
          <w:shd w:val="clear" w:color="auto" w:fill="FFFFFF"/>
          <w:lang w:val="en-US"/>
        </w:rPr>
        <w:t xml:space="preserve">, K. (2019). The UNITE database for molecular identification of fungi: handling dark taxa and parallel taxonomic classifications. </w:t>
      </w:r>
      <w:r w:rsidRPr="00CD52AA">
        <w:rPr>
          <w:i/>
          <w:iCs/>
          <w:shd w:val="clear" w:color="auto" w:fill="FFFFFF"/>
          <w:lang w:val="en-US"/>
        </w:rPr>
        <w:t>Nucleic Acids Research</w:t>
      </w:r>
      <w:r w:rsidRPr="00CD52AA">
        <w:rPr>
          <w:shd w:val="clear" w:color="auto" w:fill="FFFFFF"/>
          <w:lang w:val="en-US"/>
        </w:rPr>
        <w:t xml:space="preserve">, </w:t>
      </w:r>
      <w:r w:rsidRPr="00CD52AA">
        <w:rPr>
          <w:i/>
          <w:iCs/>
          <w:shd w:val="clear" w:color="auto" w:fill="FFFFFF"/>
          <w:lang w:val="en-US"/>
        </w:rPr>
        <w:t>47</w:t>
      </w:r>
      <w:r w:rsidR="008E0EC8" w:rsidRPr="00CD52AA">
        <w:rPr>
          <w:shd w:val="clear" w:color="auto" w:fill="FFFFFF"/>
          <w:lang w:val="en-US"/>
        </w:rPr>
        <w:t>(1),</w:t>
      </w:r>
      <w:r w:rsidRPr="00CD52AA">
        <w:rPr>
          <w:shd w:val="clear" w:color="auto" w:fill="FFFFFF"/>
          <w:lang w:val="en-US"/>
        </w:rPr>
        <w:t>259-264.</w:t>
      </w:r>
      <w:r w:rsidR="008E0EC8" w:rsidRPr="00CD52AA">
        <w:rPr>
          <w:shd w:val="clear" w:color="auto" w:fill="FFFFFF"/>
          <w:lang w:val="en-US"/>
        </w:rPr>
        <w:t xml:space="preserve"> </w:t>
      </w:r>
      <w:hyperlink r:id="rId35" w:tgtFrame="_blank" w:history="1">
        <w:r w:rsidR="008E0EC8" w:rsidRPr="00CD52AA">
          <w:rPr>
            <w:rStyle w:val="Hipervnculo"/>
            <w:color w:val="auto"/>
            <w:shd w:val="clear" w:color="auto" w:fill="FFFFFF"/>
            <w:lang w:val="en-US"/>
          </w:rPr>
          <w:t>https://doi.org/10.1093/nar/gky1022</w:t>
        </w:r>
      </w:hyperlink>
    </w:p>
    <w:p w14:paraId="7EE6B788" w14:textId="1B310355"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lang w:val="en-US"/>
        </w:rPr>
        <w:t>Price, M.</w:t>
      </w:r>
      <w:r w:rsidR="008E0EC8" w:rsidRPr="00CD52AA">
        <w:rPr>
          <w:shd w:val="clear" w:color="auto" w:fill="FFFFFF"/>
          <w:lang w:val="en-US"/>
        </w:rPr>
        <w:t xml:space="preserve"> </w:t>
      </w:r>
      <w:r w:rsidRPr="00CD52AA">
        <w:rPr>
          <w:shd w:val="clear" w:color="auto" w:fill="FFFFFF"/>
          <w:lang w:val="en-US"/>
        </w:rPr>
        <w:t>N., Dehal, P.</w:t>
      </w:r>
      <w:r w:rsidR="008E0EC8" w:rsidRPr="00CD52AA">
        <w:rPr>
          <w:shd w:val="clear" w:color="auto" w:fill="FFFFFF"/>
          <w:lang w:val="en-US"/>
        </w:rPr>
        <w:t xml:space="preserve"> </w:t>
      </w:r>
      <w:r w:rsidRPr="00CD52AA">
        <w:rPr>
          <w:shd w:val="clear" w:color="auto" w:fill="FFFFFF"/>
          <w:lang w:val="en-US"/>
        </w:rPr>
        <w:t>S. and Arkin, A.</w:t>
      </w:r>
      <w:r w:rsidR="008E0EC8" w:rsidRPr="00CD52AA">
        <w:rPr>
          <w:shd w:val="clear" w:color="auto" w:fill="FFFFFF"/>
          <w:lang w:val="en-US"/>
        </w:rPr>
        <w:t xml:space="preserve"> </w:t>
      </w:r>
      <w:r w:rsidRPr="00CD52AA">
        <w:rPr>
          <w:shd w:val="clear" w:color="auto" w:fill="FFFFFF"/>
          <w:lang w:val="en-US"/>
        </w:rPr>
        <w:t xml:space="preserve">P. (2010). </w:t>
      </w:r>
      <w:proofErr w:type="spellStart"/>
      <w:r w:rsidRPr="00CD52AA">
        <w:rPr>
          <w:shd w:val="clear" w:color="auto" w:fill="FFFFFF"/>
          <w:lang w:val="en-US"/>
        </w:rPr>
        <w:t>FastTree</w:t>
      </w:r>
      <w:proofErr w:type="spellEnd"/>
      <w:r w:rsidRPr="00CD52AA">
        <w:rPr>
          <w:shd w:val="clear" w:color="auto" w:fill="FFFFFF"/>
          <w:lang w:val="en-US"/>
        </w:rPr>
        <w:t xml:space="preserve"> 2-approximately maximum-likelihood trees for large alignments. </w:t>
      </w:r>
      <w:r w:rsidRPr="00CD52AA">
        <w:rPr>
          <w:i/>
          <w:iCs/>
          <w:shd w:val="clear" w:color="auto" w:fill="FFFFFF"/>
        </w:rPr>
        <w:t>PLoS One</w:t>
      </w:r>
      <w:r w:rsidRPr="00CD52AA">
        <w:rPr>
          <w:shd w:val="clear" w:color="auto" w:fill="FFFFFF"/>
        </w:rPr>
        <w:t xml:space="preserve">, </w:t>
      </w:r>
      <w:r w:rsidRPr="00CD52AA">
        <w:rPr>
          <w:i/>
          <w:iCs/>
          <w:shd w:val="clear" w:color="auto" w:fill="FFFFFF"/>
        </w:rPr>
        <w:t>5</w:t>
      </w:r>
      <w:r w:rsidRPr="00CD52AA">
        <w:rPr>
          <w:shd w:val="clear" w:color="auto" w:fill="FFFFFF"/>
        </w:rPr>
        <w:t>(3)</w:t>
      </w:r>
      <w:r w:rsidR="008E0EC8" w:rsidRPr="00CD52AA">
        <w:rPr>
          <w:shd w:val="clear" w:color="auto" w:fill="FFFFFF"/>
        </w:rPr>
        <w:t>,</w:t>
      </w:r>
      <w:r w:rsidRPr="00CD52AA">
        <w:rPr>
          <w:shd w:val="clear" w:color="auto" w:fill="FFFFFF"/>
        </w:rPr>
        <w:t xml:space="preserve"> e9490.</w:t>
      </w:r>
      <w:r w:rsidR="008E0EC8" w:rsidRPr="00CD52AA">
        <w:rPr>
          <w:shd w:val="clear" w:color="auto" w:fill="FFFFFF"/>
        </w:rPr>
        <w:t xml:space="preserve"> </w:t>
      </w:r>
      <w:hyperlink r:id="rId36" w:tgtFrame="_blank" w:history="1">
        <w:r w:rsidR="008E0EC8" w:rsidRPr="00CD52AA">
          <w:rPr>
            <w:rStyle w:val="Hipervnculo"/>
            <w:color w:val="auto"/>
            <w:shd w:val="clear" w:color="auto" w:fill="FFFFFF"/>
          </w:rPr>
          <w:t>https://doi.org/10.1371/journal.pone.0009490</w:t>
        </w:r>
      </w:hyperlink>
      <w:r w:rsidR="008E0EC8" w:rsidRPr="00CD52AA">
        <w:rPr>
          <w:shd w:val="clear" w:color="auto" w:fill="FFFFFF"/>
        </w:rPr>
        <w:t xml:space="preserve"> </w:t>
      </w:r>
    </w:p>
    <w:p w14:paraId="741BE453" w14:textId="559B0F2B"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rPr>
        <w:t>Qu, Z.</w:t>
      </w:r>
      <w:r w:rsidR="008E0EC8" w:rsidRPr="00CD52AA">
        <w:rPr>
          <w:shd w:val="clear" w:color="auto" w:fill="FFFFFF"/>
        </w:rPr>
        <w:t xml:space="preserve"> </w:t>
      </w:r>
      <w:r w:rsidRPr="00CD52AA">
        <w:rPr>
          <w:shd w:val="clear" w:color="auto" w:fill="FFFFFF"/>
        </w:rPr>
        <w:t xml:space="preserve">L., Braima, A., Liu, B., Ma, Y.  </w:t>
      </w:r>
      <w:r w:rsidRPr="00CD52AA">
        <w:rPr>
          <w:shd w:val="clear" w:color="auto" w:fill="FFFFFF"/>
          <w:lang w:val="en-US"/>
        </w:rPr>
        <w:t xml:space="preserve">and Sun, H. (2022). Soil Fungal Community Structure and Function Shift during a Disease-Driven Forest Succession. </w:t>
      </w:r>
      <w:r w:rsidRPr="00CD52AA">
        <w:rPr>
          <w:i/>
          <w:iCs/>
          <w:shd w:val="clear" w:color="auto" w:fill="FFFFFF"/>
          <w:lang w:val="en-US"/>
        </w:rPr>
        <w:t>Microbiology Spectrum</w:t>
      </w:r>
      <w:r w:rsidRPr="00CD52AA">
        <w:rPr>
          <w:shd w:val="clear" w:color="auto" w:fill="FFFFFF"/>
          <w:lang w:val="en-US"/>
        </w:rPr>
        <w:t xml:space="preserve">, </w:t>
      </w:r>
      <w:r w:rsidRPr="00CD52AA">
        <w:rPr>
          <w:i/>
          <w:iCs/>
          <w:shd w:val="clear" w:color="auto" w:fill="FFFFFF"/>
          <w:lang w:val="en-US"/>
        </w:rPr>
        <w:t>10</w:t>
      </w:r>
      <w:r w:rsidRPr="00CD52AA">
        <w:rPr>
          <w:shd w:val="clear" w:color="auto" w:fill="FFFFFF"/>
          <w:lang w:val="en-US"/>
        </w:rPr>
        <w:t>(5)</w:t>
      </w:r>
      <w:r w:rsidR="008E0EC8" w:rsidRPr="00CD52AA">
        <w:rPr>
          <w:shd w:val="clear" w:color="auto" w:fill="FFFFFF"/>
          <w:lang w:val="en-US"/>
        </w:rPr>
        <w:t xml:space="preserve">, </w:t>
      </w:r>
      <w:r w:rsidRPr="00CD52AA">
        <w:rPr>
          <w:shd w:val="clear" w:color="auto" w:fill="FFFFFF"/>
          <w:lang w:val="en-US"/>
        </w:rPr>
        <w:t xml:space="preserve">e0079522. </w:t>
      </w:r>
      <w:hyperlink r:id="rId37" w:tgtFrame="_blank" w:history="1">
        <w:r w:rsidR="008E0EC8" w:rsidRPr="00CD52AA">
          <w:rPr>
            <w:rStyle w:val="Hipervnculo"/>
            <w:color w:val="auto"/>
            <w:shd w:val="clear" w:color="auto" w:fill="FFFFFF"/>
            <w:lang w:val="en-US"/>
          </w:rPr>
          <w:t>https://doi.org/10.1128/spectrum.00795-22</w:t>
        </w:r>
      </w:hyperlink>
    </w:p>
    <w:p w14:paraId="6D13312C" w14:textId="60056434"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Ragasruthi</w:t>
      </w:r>
      <w:proofErr w:type="spellEnd"/>
      <w:r w:rsidRPr="00CD52AA">
        <w:rPr>
          <w:shd w:val="clear" w:color="auto" w:fill="FFFFFF"/>
          <w:lang w:val="en-US"/>
        </w:rPr>
        <w:t xml:space="preserve">, M., Balakrishnan, N., </w:t>
      </w:r>
      <w:proofErr w:type="spellStart"/>
      <w:r w:rsidRPr="00CD52AA">
        <w:rPr>
          <w:shd w:val="clear" w:color="auto" w:fill="FFFFFF"/>
          <w:lang w:val="en-US"/>
        </w:rPr>
        <w:t>Murugan</w:t>
      </w:r>
      <w:proofErr w:type="spellEnd"/>
      <w:r w:rsidRPr="00CD52AA">
        <w:rPr>
          <w:shd w:val="clear" w:color="auto" w:fill="FFFFFF"/>
          <w:lang w:val="en-US"/>
        </w:rPr>
        <w:t xml:space="preserve">, M., </w:t>
      </w:r>
      <w:proofErr w:type="spellStart"/>
      <w:r w:rsidRPr="00CD52AA">
        <w:rPr>
          <w:shd w:val="clear" w:color="auto" w:fill="FFFFFF"/>
          <w:lang w:val="en-US"/>
        </w:rPr>
        <w:t>Swarnakumari</w:t>
      </w:r>
      <w:proofErr w:type="spellEnd"/>
      <w:r w:rsidRPr="00CD52AA">
        <w:rPr>
          <w:shd w:val="clear" w:color="auto" w:fill="FFFFFF"/>
          <w:lang w:val="en-US"/>
        </w:rPr>
        <w:t>, N., Harish, S. and Sharmila, D.</w:t>
      </w:r>
      <w:r w:rsidR="008E0EC8" w:rsidRPr="00CD52AA">
        <w:rPr>
          <w:shd w:val="clear" w:color="auto" w:fill="FFFFFF"/>
          <w:lang w:val="en-US"/>
        </w:rPr>
        <w:t xml:space="preserve"> </w:t>
      </w:r>
      <w:r w:rsidRPr="00CD52AA">
        <w:rPr>
          <w:shd w:val="clear" w:color="auto" w:fill="FFFFFF"/>
          <w:lang w:val="en-US"/>
        </w:rPr>
        <w:t>J.</w:t>
      </w:r>
      <w:r w:rsidR="008E0EC8" w:rsidRPr="00CD52AA">
        <w:rPr>
          <w:shd w:val="clear" w:color="auto" w:fill="FFFFFF"/>
          <w:lang w:val="en-US"/>
        </w:rPr>
        <w:t xml:space="preserve"> </w:t>
      </w:r>
      <w:r w:rsidRPr="00CD52AA">
        <w:rPr>
          <w:shd w:val="clear" w:color="auto" w:fill="FFFFFF"/>
          <w:lang w:val="en-US"/>
        </w:rPr>
        <w:t>S. (2024). Bacillus thuringiensis (</w:t>
      </w:r>
      <w:proofErr w:type="spellStart"/>
      <w:r w:rsidRPr="00CD52AA">
        <w:rPr>
          <w:shd w:val="clear" w:color="auto" w:fill="FFFFFF"/>
          <w:lang w:val="en-US"/>
        </w:rPr>
        <w:t>Bt</w:t>
      </w:r>
      <w:proofErr w:type="spellEnd"/>
      <w:r w:rsidRPr="00CD52AA">
        <w:rPr>
          <w:shd w:val="clear" w:color="auto" w:fill="FFFFFF"/>
          <w:lang w:val="en-US"/>
        </w:rPr>
        <w:t xml:space="preserve">)-based biopesticide: Navigating success, challenges, and future horizons in sustainable pest control. </w:t>
      </w:r>
      <w:r w:rsidRPr="00CD52AA">
        <w:rPr>
          <w:i/>
          <w:iCs/>
          <w:shd w:val="clear" w:color="auto" w:fill="FFFFFF"/>
          <w:lang w:val="en-US"/>
        </w:rPr>
        <w:t>Science Total Environment</w:t>
      </w:r>
      <w:r w:rsidRPr="00CD52AA">
        <w:rPr>
          <w:shd w:val="clear" w:color="auto" w:fill="FFFFFF"/>
          <w:lang w:val="en-US"/>
        </w:rPr>
        <w:t xml:space="preserve">, </w:t>
      </w:r>
      <w:r w:rsidRPr="00CD52AA">
        <w:rPr>
          <w:i/>
          <w:iCs/>
          <w:shd w:val="clear" w:color="auto" w:fill="FFFFFF"/>
          <w:lang w:val="en-US"/>
        </w:rPr>
        <w:t>954</w:t>
      </w:r>
      <w:r w:rsidR="008E0EC8" w:rsidRPr="00CD52AA">
        <w:rPr>
          <w:shd w:val="clear" w:color="auto" w:fill="FFFFFF"/>
          <w:lang w:val="en-US"/>
        </w:rPr>
        <w:t>,</w:t>
      </w:r>
      <w:r w:rsidRPr="00CD52AA">
        <w:rPr>
          <w:shd w:val="clear" w:color="auto" w:fill="FFFFFF"/>
          <w:lang w:val="en-US"/>
        </w:rPr>
        <w:t xml:space="preserve">176594. </w:t>
      </w:r>
      <w:hyperlink r:id="rId38" w:tgtFrame="_blank" w:history="1">
        <w:r w:rsidR="008E0EC8" w:rsidRPr="00CD52AA">
          <w:rPr>
            <w:rStyle w:val="Hipervnculo"/>
            <w:color w:val="auto"/>
            <w:shd w:val="clear" w:color="auto" w:fill="FFFFFF"/>
            <w:lang w:val="en-US"/>
          </w:rPr>
          <w:t>https://doi.org/10.1016/j.scitotenv.2024.176594</w:t>
        </w:r>
      </w:hyperlink>
    </w:p>
    <w:p w14:paraId="145249EA" w14:textId="275E34F2"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lang w:val="en-US"/>
        </w:rPr>
        <w:lastRenderedPageBreak/>
        <w:t xml:space="preserve">Ren, Y., Che, X., Liang, J., Wang, S., Han, L., Liu, Z., Chen, H. and Tang, M. (2021). </w:t>
      </w:r>
      <w:proofErr w:type="spellStart"/>
      <w:r w:rsidRPr="00CD52AA">
        <w:rPr>
          <w:shd w:val="clear" w:color="auto" w:fill="FFFFFF"/>
          <w:lang w:val="en-US"/>
        </w:rPr>
        <w:t>Brassinosteroids</w:t>
      </w:r>
      <w:proofErr w:type="spellEnd"/>
      <w:r w:rsidRPr="00CD52AA">
        <w:rPr>
          <w:shd w:val="clear" w:color="auto" w:fill="FFFFFF"/>
          <w:lang w:val="en-US"/>
        </w:rPr>
        <w:t xml:space="preserve"> Benefit Plants Performance by Augmenting Arbuscular Mycorrhizal Symbiosis. </w:t>
      </w:r>
      <w:r w:rsidRPr="00CD52AA">
        <w:rPr>
          <w:i/>
          <w:iCs/>
          <w:shd w:val="clear" w:color="auto" w:fill="FFFFFF"/>
          <w:lang w:val="en-US"/>
        </w:rPr>
        <w:t>Microbiology Spectrum</w:t>
      </w:r>
      <w:r w:rsidR="00DE645A" w:rsidRPr="00CD52AA">
        <w:rPr>
          <w:shd w:val="clear" w:color="auto" w:fill="FFFFFF"/>
          <w:lang w:val="en-US"/>
        </w:rPr>
        <w:t>,</w:t>
      </w:r>
      <w:r w:rsidRPr="00CD52AA">
        <w:rPr>
          <w:shd w:val="clear" w:color="auto" w:fill="FFFFFF"/>
          <w:lang w:val="en-US"/>
        </w:rPr>
        <w:t xml:space="preserve"> </w:t>
      </w:r>
      <w:r w:rsidRPr="00FB5C0E">
        <w:rPr>
          <w:i/>
          <w:iCs/>
          <w:shd w:val="clear" w:color="auto" w:fill="FFFFFF"/>
          <w:lang w:val="en-US"/>
        </w:rPr>
        <w:t>9</w:t>
      </w:r>
      <w:r w:rsidRPr="00FB5C0E">
        <w:rPr>
          <w:shd w:val="clear" w:color="auto" w:fill="FFFFFF"/>
          <w:lang w:val="en-US"/>
        </w:rPr>
        <w:t>(3)</w:t>
      </w:r>
      <w:r w:rsidR="008E0EC8" w:rsidRPr="00FB5C0E">
        <w:rPr>
          <w:shd w:val="clear" w:color="auto" w:fill="FFFFFF"/>
          <w:lang w:val="en-US"/>
        </w:rPr>
        <w:t xml:space="preserve">, </w:t>
      </w:r>
      <w:r w:rsidRPr="00FB5C0E">
        <w:rPr>
          <w:shd w:val="clear" w:color="auto" w:fill="FFFFFF"/>
          <w:lang w:val="en-US"/>
        </w:rPr>
        <w:t xml:space="preserve">e0164521. </w:t>
      </w:r>
      <w:hyperlink r:id="rId39" w:tgtFrame="_blank" w:history="1">
        <w:r w:rsidR="008E0EC8" w:rsidRPr="00CD52AA">
          <w:rPr>
            <w:rStyle w:val="Hipervnculo"/>
            <w:color w:val="auto"/>
            <w:shd w:val="clear" w:color="auto" w:fill="FFFFFF"/>
          </w:rPr>
          <w:t>https://doi.org/10.1128/spectrum.01645-21</w:t>
        </w:r>
      </w:hyperlink>
    </w:p>
    <w:p w14:paraId="33EA6343" w14:textId="1F7821B3"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rPr>
        <w:t>Rocandio-Rodríguez, M., Santacruz-Varela, A., Córdova-Téllez, L., López-Sánchez, H., Hernández-Bautista, A., Castillo-González, F., Lobato-Ortiz, R., García-Zavala, J.</w:t>
      </w:r>
      <w:r w:rsidR="008E0EC8" w:rsidRPr="00CD52AA">
        <w:rPr>
          <w:shd w:val="clear" w:color="auto" w:fill="FFFFFF"/>
        </w:rPr>
        <w:t xml:space="preserve"> </w:t>
      </w:r>
      <w:r w:rsidRPr="00CD52AA">
        <w:rPr>
          <w:shd w:val="clear" w:color="auto" w:fill="FFFFFF"/>
        </w:rPr>
        <w:t xml:space="preserve">J. and Antonio-López, P. (2020). </w:t>
      </w:r>
      <w:r w:rsidRPr="00CD52AA">
        <w:rPr>
          <w:shd w:val="clear" w:color="auto" w:fill="FFFFFF"/>
          <w:lang w:val="en-US"/>
        </w:rPr>
        <w:t xml:space="preserve">Estimation of Genetic Diversity in Seven Races of Native Maize from the Highlands of Mexico. </w:t>
      </w:r>
      <w:r w:rsidRPr="00CD52AA">
        <w:rPr>
          <w:i/>
          <w:iCs/>
          <w:shd w:val="clear" w:color="auto" w:fill="FFFFFF"/>
        </w:rPr>
        <w:t>Agronomy</w:t>
      </w:r>
      <w:r w:rsidRPr="00CD52AA">
        <w:rPr>
          <w:shd w:val="clear" w:color="auto" w:fill="FFFFFF"/>
        </w:rPr>
        <w:t xml:space="preserve">, </w:t>
      </w:r>
      <w:r w:rsidRPr="00CD52AA">
        <w:rPr>
          <w:i/>
          <w:iCs/>
          <w:shd w:val="clear" w:color="auto" w:fill="FFFFFF"/>
        </w:rPr>
        <w:t>10</w:t>
      </w:r>
      <w:r w:rsidR="008E0EC8" w:rsidRPr="00CD52AA">
        <w:rPr>
          <w:shd w:val="clear" w:color="auto" w:fill="FFFFFF"/>
        </w:rPr>
        <w:t>(2),</w:t>
      </w:r>
      <w:r w:rsidRPr="00CD52AA">
        <w:rPr>
          <w:shd w:val="clear" w:color="auto" w:fill="FFFFFF"/>
        </w:rPr>
        <w:t xml:space="preserve"> 309. </w:t>
      </w:r>
      <w:hyperlink r:id="rId40" w:history="1">
        <w:r w:rsidRPr="00CD52AA">
          <w:rPr>
            <w:rStyle w:val="Hipervnculo"/>
            <w:color w:val="auto"/>
            <w:shd w:val="clear" w:color="auto" w:fill="FFFFFF"/>
          </w:rPr>
          <w:t>https://doi.org/10.3390/agronomy10020309</w:t>
        </w:r>
      </w:hyperlink>
    </w:p>
    <w:p w14:paraId="41EEBF3B" w14:textId="6265EF86"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rPr>
        <w:t>Rocandio-Rodríguez, M., Torres-Castillo, J.</w:t>
      </w:r>
      <w:r w:rsidR="008E0EC8" w:rsidRPr="00CD52AA">
        <w:rPr>
          <w:shd w:val="clear" w:color="auto" w:fill="FFFFFF"/>
        </w:rPr>
        <w:t xml:space="preserve"> </w:t>
      </w:r>
      <w:r w:rsidRPr="00CD52AA">
        <w:rPr>
          <w:shd w:val="clear" w:color="auto" w:fill="FFFFFF"/>
        </w:rPr>
        <w:t>A., Juárez-Aragón, M.</w:t>
      </w:r>
      <w:r w:rsidR="008E0EC8" w:rsidRPr="00CD52AA">
        <w:rPr>
          <w:shd w:val="clear" w:color="auto" w:fill="FFFFFF"/>
        </w:rPr>
        <w:t xml:space="preserve"> </w:t>
      </w:r>
      <w:r w:rsidRPr="00CD52AA">
        <w:rPr>
          <w:shd w:val="clear" w:color="auto" w:fill="FFFFFF"/>
        </w:rPr>
        <w:t>C., Chacón-Hernández, J.</w:t>
      </w:r>
      <w:r w:rsidR="008E0EC8" w:rsidRPr="00CD52AA">
        <w:rPr>
          <w:shd w:val="clear" w:color="auto" w:fill="FFFFFF"/>
        </w:rPr>
        <w:t xml:space="preserve"> </w:t>
      </w:r>
      <w:r w:rsidRPr="00CD52AA">
        <w:rPr>
          <w:shd w:val="clear" w:color="auto" w:fill="FFFFFF"/>
        </w:rPr>
        <w:t>C., Moreno-Ramírez, Y.</w:t>
      </w:r>
      <w:r w:rsidR="008E0EC8" w:rsidRPr="00CD52AA">
        <w:rPr>
          <w:shd w:val="clear" w:color="auto" w:fill="FFFFFF"/>
        </w:rPr>
        <w:t xml:space="preserve"> </w:t>
      </w:r>
      <w:r w:rsidRPr="00CD52AA">
        <w:rPr>
          <w:shd w:val="clear" w:color="auto" w:fill="FFFFFF"/>
        </w:rPr>
        <w:t>D.</w:t>
      </w:r>
      <w:r w:rsidR="008E0EC8" w:rsidRPr="00CD52AA">
        <w:rPr>
          <w:shd w:val="clear" w:color="auto" w:fill="FFFFFF"/>
        </w:rPr>
        <w:t xml:space="preserve"> </w:t>
      </w:r>
      <w:r w:rsidRPr="00CD52AA">
        <w:rPr>
          <w:shd w:val="clear" w:color="auto" w:fill="FFFFFF"/>
        </w:rPr>
        <w:t>R., Mora-Ravelo, S.</w:t>
      </w:r>
      <w:r w:rsidR="008E0EC8" w:rsidRPr="00CD52AA">
        <w:rPr>
          <w:shd w:val="clear" w:color="auto" w:fill="FFFFFF"/>
        </w:rPr>
        <w:t xml:space="preserve"> </w:t>
      </w:r>
      <w:r w:rsidRPr="00CD52AA">
        <w:rPr>
          <w:shd w:val="clear" w:color="auto" w:fill="FFFFFF"/>
        </w:rPr>
        <w:t>G., Delgado-Martínez, R., Hernández-Juárez, A., Heinz-Castro, R.</w:t>
      </w:r>
      <w:r w:rsidR="008E0EC8" w:rsidRPr="00CD52AA">
        <w:rPr>
          <w:shd w:val="clear" w:color="auto" w:fill="FFFFFF"/>
        </w:rPr>
        <w:t xml:space="preserve"> </w:t>
      </w:r>
      <w:r w:rsidRPr="00CD52AA">
        <w:rPr>
          <w:shd w:val="clear" w:color="auto" w:fill="FFFFFF"/>
        </w:rPr>
        <w:t>T.</w:t>
      </w:r>
      <w:r w:rsidR="008E0EC8" w:rsidRPr="00CD52AA">
        <w:rPr>
          <w:shd w:val="clear" w:color="auto" w:fill="FFFFFF"/>
        </w:rPr>
        <w:t xml:space="preserve"> </w:t>
      </w:r>
      <w:r w:rsidRPr="00CD52AA">
        <w:rPr>
          <w:shd w:val="clear" w:color="auto" w:fill="FFFFFF"/>
        </w:rPr>
        <w:t xml:space="preserve">Q. and Reyes-Zepeda, F. (2022). </w:t>
      </w:r>
      <w:r w:rsidRPr="00CD52AA">
        <w:rPr>
          <w:shd w:val="clear" w:color="auto" w:fill="FFFFFF"/>
          <w:lang w:val="en-US"/>
        </w:rPr>
        <w:t>Evaluation of Resistance of Eleven Maize Races (</w:t>
      </w:r>
      <w:proofErr w:type="spellStart"/>
      <w:r w:rsidRPr="00CD52AA">
        <w:rPr>
          <w:i/>
          <w:iCs/>
          <w:shd w:val="clear" w:color="auto" w:fill="FFFFFF"/>
          <w:lang w:val="en-US"/>
        </w:rPr>
        <w:t>Zea</w:t>
      </w:r>
      <w:proofErr w:type="spellEnd"/>
      <w:r w:rsidRPr="00CD52AA">
        <w:rPr>
          <w:i/>
          <w:iCs/>
          <w:shd w:val="clear" w:color="auto" w:fill="FFFFFF"/>
          <w:lang w:val="en-US"/>
        </w:rPr>
        <w:t xml:space="preserve"> mays</w:t>
      </w:r>
      <w:r w:rsidRPr="00CD52AA">
        <w:rPr>
          <w:shd w:val="clear" w:color="auto" w:fill="FFFFFF"/>
          <w:lang w:val="en-US"/>
        </w:rPr>
        <w:t> L.) to the Red Spider Mite (</w:t>
      </w:r>
      <w:proofErr w:type="spellStart"/>
      <w:r w:rsidRPr="00CD52AA">
        <w:rPr>
          <w:i/>
          <w:iCs/>
          <w:shd w:val="clear" w:color="auto" w:fill="FFFFFF"/>
          <w:lang w:val="en-US"/>
        </w:rPr>
        <w:t>Tetranychus</w:t>
      </w:r>
      <w:proofErr w:type="spellEnd"/>
      <w:r w:rsidRPr="00CD52AA">
        <w:rPr>
          <w:i/>
          <w:iCs/>
          <w:shd w:val="clear" w:color="auto" w:fill="FFFFFF"/>
          <w:lang w:val="en-US"/>
        </w:rPr>
        <w:t xml:space="preserve"> merganser</w:t>
      </w:r>
      <w:r w:rsidRPr="00CD52AA">
        <w:rPr>
          <w:shd w:val="clear" w:color="auto" w:fill="FFFFFF"/>
          <w:lang w:val="en-US"/>
        </w:rPr>
        <w:t xml:space="preserve">, Boudreaux). </w:t>
      </w:r>
      <w:r w:rsidRPr="00CD52AA">
        <w:rPr>
          <w:i/>
          <w:iCs/>
          <w:shd w:val="clear" w:color="auto" w:fill="FFFFFF"/>
          <w:lang w:val="en-US"/>
        </w:rPr>
        <w:t>Plants (Basel)</w:t>
      </w:r>
      <w:r w:rsidRPr="00CD52AA">
        <w:rPr>
          <w:shd w:val="clear" w:color="auto" w:fill="FFFFFF"/>
          <w:lang w:val="en-US"/>
        </w:rPr>
        <w:t xml:space="preserve">, </w:t>
      </w:r>
      <w:r w:rsidRPr="00CD52AA">
        <w:rPr>
          <w:i/>
          <w:iCs/>
          <w:shd w:val="clear" w:color="auto" w:fill="FFFFFF"/>
          <w:lang w:val="en-US"/>
        </w:rPr>
        <w:t>11</w:t>
      </w:r>
      <w:r w:rsidRPr="00CD52AA">
        <w:rPr>
          <w:shd w:val="clear" w:color="auto" w:fill="FFFFFF"/>
          <w:lang w:val="en-US"/>
        </w:rPr>
        <w:t>(11)</w:t>
      </w:r>
      <w:r w:rsidR="008E0EC8" w:rsidRPr="00CD52AA">
        <w:rPr>
          <w:shd w:val="clear" w:color="auto" w:fill="FFFFFF"/>
          <w:lang w:val="en-US"/>
        </w:rPr>
        <w:t xml:space="preserve">, </w:t>
      </w:r>
      <w:r w:rsidRPr="00CD52AA">
        <w:rPr>
          <w:shd w:val="clear" w:color="auto" w:fill="FFFFFF"/>
          <w:lang w:val="en-US"/>
        </w:rPr>
        <w:t xml:space="preserve">1414. </w:t>
      </w:r>
      <w:r w:rsidR="008E0EC8" w:rsidRPr="00CD52AA">
        <w:rPr>
          <w:lang w:val="en-US"/>
        </w:rPr>
        <w:t xml:space="preserve"> </w:t>
      </w:r>
      <w:hyperlink r:id="rId41" w:tgtFrame="_blank" w:history="1">
        <w:r w:rsidR="008E0EC8" w:rsidRPr="00CD52AA">
          <w:rPr>
            <w:rStyle w:val="Hipervnculo"/>
            <w:color w:val="auto"/>
            <w:shd w:val="clear" w:color="auto" w:fill="FFFFFF"/>
            <w:lang w:val="en-US"/>
          </w:rPr>
          <w:t>https://doi.org/10.3390/plants11111414</w:t>
        </w:r>
      </w:hyperlink>
    </w:p>
    <w:p w14:paraId="7F2B159E" w14:textId="61714DDE"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proofErr w:type="spellStart"/>
      <w:r w:rsidRPr="00CD52AA">
        <w:rPr>
          <w:shd w:val="clear" w:color="auto" w:fill="FFFFFF"/>
          <w:lang w:val="en-US"/>
        </w:rPr>
        <w:t>Rognes</w:t>
      </w:r>
      <w:proofErr w:type="spellEnd"/>
      <w:r w:rsidRPr="00CD52AA">
        <w:rPr>
          <w:shd w:val="clear" w:color="auto" w:fill="FFFFFF"/>
          <w:lang w:val="en-US"/>
        </w:rPr>
        <w:t xml:space="preserve">, T., </w:t>
      </w:r>
      <w:proofErr w:type="spellStart"/>
      <w:r w:rsidRPr="00CD52AA">
        <w:rPr>
          <w:shd w:val="clear" w:color="auto" w:fill="FFFFFF"/>
          <w:lang w:val="en-US"/>
        </w:rPr>
        <w:t>Flouri</w:t>
      </w:r>
      <w:proofErr w:type="spellEnd"/>
      <w:r w:rsidRPr="00CD52AA">
        <w:rPr>
          <w:shd w:val="clear" w:color="auto" w:fill="FFFFFF"/>
          <w:lang w:val="en-US"/>
        </w:rPr>
        <w:t xml:space="preserve">, T., Nichols, B., Quince, C. and </w:t>
      </w:r>
      <w:proofErr w:type="spellStart"/>
      <w:r w:rsidRPr="00CD52AA">
        <w:rPr>
          <w:shd w:val="clear" w:color="auto" w:fill="FFFFFF"/>
          <w:lang w:val="en-US"/>
        </w:rPr>
        <w:t>Mahé</w:t>
      </w:r>
      <w:proofErr w:type="spellEnd"/>
      <w:r w:rsidRPr="00CD52AA">
        <w:rPr>
          <w:shd w:val="clear" w:color="auto" w:fill="FFFFFF"/>
          <w:lang w:val="en-US"/>
        </w:rPr>
        <w:t>, F. (2016). VSEARCH: a versatile open</w:t>
      </w:r>
      <w:r w:rsidR="006F23D2">
        <w:rPr>
          <w:shd w:val="clear" w:color="auto" w:fill="FFFFFF"/>
          <w:lang w:val="en-US"/>
        </w:rPr>
        <w:t xml:space="preserve"> </w:t>
      </w:r>
      <w:r w:rsidRPr="00CD52AA">
        <w:rPr>
          <w:shd w:val="clear" w:color="auto" w:fill="FFFFFF"/>
          <w:lang w:val="en-US"/>
        </w:rPr>
        <w:t xml:space="preserve">source tool for metagenomics. </w:t>
      </w:r>
      <w:proofErr w:type="spellStart"/>
      <w:r w:rsidRPr="00CD52AA">
        <w:rPr>
          <w:i/>
          <w:iCs/>
          <w:shd w:val="clear" w:color="auto" w:fill="FFFFFF"/>
          <w:lang w:val="en-US"/>
        </w:rPr>
        <w:t>PeerJ</w:t>
      </w:r>
      <w:proofErr w:type="spellEnd"/>
      <w:r w:rsidRPr="00CD52AA">
        <w:rPr>
          <w:shd w:val="clear" w:color="auto" w:fill="FFFFFF"/>
          <w:lang w:val="en-US"/>
        </w:rPr>
        <w:t xml:space="preserve"> </w:t>
      </w:r>
      <w:r w:rsidRPr="00CD52AA">
        <w:rPr>
          <w:i/>
          <w:iCs/>
          <w:shd w:val="clear" w:color="auto" w:fill="FFFFFF"/>
          <w:lang w:val="en-US"/>
        </w:rPr>
        <w:t>4</w:t>
      </w:r>
      <w:r w:rsidR="00AF6A7B" w:rsidRPr="00CD52AA">
        <w:rPr>
          <w:shd w:val="clear" w:color="auto" w:fill="FFFFFF"/>
          <w:lang w:val="en-US"/>
        </w:rPr>
        <w:t>,</w:t>
      </w:r>
      <w:r w:rsidRPr="00CD52AA">
        <w:rPr>
          <w:shd w:val="clear" w:color="auto" w:fill="FFFFFF"/>
          <w:lang w:val="en-US"/>
        </w:rPr>
        <w:t xml:space="preserve"> e2584.</w:t>
      </w:r>
      <w:r w:rsidR="00AF6A7B" w:rsidRPr="00CD52AA">
        <w:rPr>
          <w:shd w:val="clear" w:color="auto" w:fill="FFFFFF"/>
          <w:lang w:val="en-US"/>
        </w:rPr>
        <w:t xml:space="preserve"> </w:t>
      </w:r>
      <w:hyperlink r:id="rId42" w:tgtFrame="_blank" w:history="1">
        <w:r w:rsidR="00AF6A7B" w:rsidRPr="00CD52AA">
          <w:rPr>
            <w:rStyle w:val="Hipervnculo"/>
            <w:color w:val="auto"/>
            <w:shd w:val="clear" w:color="auto" w:fill="FFFFFF"/>
            <w:lang w:val="en-US"/>
          </w:rPr>
          <w:t>https://doi.org/10.7717/peerj.2584</w:t>
        </w:r>
      </w:hyperlink>
    </w:p>
    <w:p w14:paraId="32E950C6" w14:textId="2B7AD456"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 xml:space="preserve"> Singha, L.P. and Pandey, P. (2021). Rhizosphere assisted bioengineering approaches for the mitigation of petroleum hydrocarbons contamination in soil. </w:t>
      </w:r>
      <w:r w:rsidRPr="00CD52AA">
        <w:rPr>
          <w:i/>
          <w:iCs/>
          <w:shd w:val="clear" w:color="auto" w:fill="FFFFFF"/>
          <w:lang w:val="en-US"/>
        </w:rPr>
        <w:t>Critical Review Biotechnology</w:t>
      </w:r>
      <w:r w:rsidRPr="00CD52AA">
        <w:rPr>
          <w:shd w:val="clear" w:color="auto" w:fill="FFFFFF"/>
          <w:lang w:val="en-US"/>
        </w:rPr>
        <w:t xml:space="preserve">, </w:t>
      </w:r>
      <w:r w:rsidRPr="00CD52AA">
        <w:rPr>
          <w:i/>
          <w:iCs/>
          <w:shd w:val="clear" w:color="auto" w:fill="FFFFFF"/>
          <w:lang w:val="en-US"/>
        </w:rPr>
        <w:t>41</w:t>
      </w:r>
      <w:r w:rsidRPr="00CD52AA">
        <w:rPr>
          <w:shd w:val="clear" w:color="auto" w:fill="FFFFFF"/>
          <w:lang w:val="en-US"/>
        </w:rPr>
        <w:t>(5)</w:t>
      </w:r>
      <w:r w:rsidR="00AF6A7B" w:rsidRPr="00CD52AA">
        <w:rPr>
          <w:shd w:val="clear" w:color="auto" w:fill="FFFFFF"/>
          <w:lang w:val="en-US"/>
        </w:rPr>
        <w:t xml:space="preserve">, </w:t>
      </w:r>
      <w:r w:rsidRPr="00CD52AA">
        <w:rPr>
          <w:shd w:val="clear" w:color="auto" w:fill="FFFFFF"/>
          <w:lang w:val="en-US"/>
        </w:rPr>
        <w:t xml:space="preserve">749-766. </w:t>
      </w:r>
      <w:r w:rsidR="00AF6A7B" w:rsidRPr="00CD52AA">
        <w:rPr>
          <w:lang w:val="en-US"/>
        </w:rPr>
        <w:t xml:space="preserve"> </w:t>
      </w:r>
      <w:hyperlink r:id="rId43" w:tgtFrame="_blank" w:history="1">
        <w:r w:rsidR="00AF6A7B" w:rsidRPr="00CD52AA">
          <w:rPr>
            <w:rStyle w:val="Hipervnculo"/>
            <w:color w:val="auto"/>
            <w:shd w:val="clear" w:color="auto" w:fill="FFFFFF"/>
            <w:lang w:val="en-US"/>
          </w:rPr>
          <w:t>https://doi.org/10.1080/07388551.2021.1888066</w:t>
        </w:r>
      </w:hyperlink>
    </w:p>
    <w:p w14:paraId="3BCC97DE" w14:textId="4D040B01"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lang w:val="en-US"/>
        </w:rPr>
        <w:lastRenderedPageBreak/>
        <w:t xml:space="preserve">Wang, M., Wang, C., Yu, Z., Wang, H., Wu, C., </w:t>
      </w:r>
      <w:proofErr w:type="spellStart"/>
      <w:r w:rsidRPr="00CD52AA">
        <w:rPr>
          <w:shd w:val="clear" w:color="auto" w:fill="FFFFFF"/>
          <w:lang w:val="en-US"/>
        </w:rPr>
        <w:t>Masoudi</w:t>
      </w:r>
      <w:proofErr w:type="spellEnd"/>
      <w:r w:rsidRPr="00CD52AA">
        <w:rPr>
          <w:shd w:val="clear" w:color="auto" w:fill="FFFFFF"/>
          <w:lang w:val="en-US"/>
        </w:rPr>
        <w:t xml:space="preserve">, A. and Liu J. (2023). Fungal diversities and community assembly processes show different biogeographical patterns in forest and grassland soil ecosystems. </w:t>
      </w:r>
      <w:r w:rsidRPr="00CD52AA">
        <w:rPr>
          <w:i/>
          <w:iCs/>
          <w:shd w:val="clear" w:color="auto" w:fill="FFFFFF"/>
        </w:rPr>
        <w:t>Front Microbiology</w:t>
      </w:r>
      <w:r w:rsidRPr="00CD52AA">
        <w:rPr>
          <w:shd w:val="clear" w:color="auto" w:fill="FFFFFF"/>
        </w:rPr>
        <w:t xml:space="preserve">,  </w:t>
      </w:r>
      <w:r w:rsidRPr="00CD52AA">
        <w:rPr>
          <w:i/>
          <w:iCs/>
          <w:shd w:val="clear" w:color="auto" w:fill="FFFFFF"/>
        </w:rPr>
        <w:t>14</w:t>
      </w:r>
      <w:r w:rsidR="00AF6A7B" w:rsidRPr="00CD52AA">
        <w:rPr>
          <w:shd w:val="clear" w:color="auto" w:fill="FFFFFF"/>
        </w:rPr>
        <w:t xml:space="preserve">, </w:t>
      </w:r>
      <w:r w:rsidRPr="00CD52AA">
        <w:rPr>
          <w:shd w:val="clear" w:color="auto" w:fill="FFFFFF"/>
        </w:rPr>
        <w:t xml:space="preserve">1036905. </w:t>
      </w:r>
      <w:r w:rsidR="00AF6A7B" w:rsidRPr="00CD52AA">
        <w:t xml:space="preserve"> </w:t>
      </w:r>
      <w:hyperlink r:id="rId44" w:tgtFrame="_blank" w:history="1">
        <w:r w:rsidR="00AF6A7B" w:rsidRPr="00CD52AA">
          <w:rPr>
            <w:rStyle w:val="Hipervnculo"/>
            <w:color w:val="auto"/>
            <w:shd w:val="clear" w:color="auto" w:fill="FFFFFF"/>
          </w:rPr>
          <w:t>https://doi.org/10.3389/fmicb.2023.1036905</w:t>
        </w:r>
      </w:hyperlink>
    </w:p>
    <w:p w14:paraId="32EAF49E" w14:textId="379C6EA3"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rPr>
      </w:pPr>
      <w:r w:rsidRPr="00CD52AA">
        <w:rPr>
          <w:shd w:val="clear" w:color="auto" w:fill="FFFFFF"/>
        </w:rPr>
        <w:t>Zeferino-D</w:t>
      </w:r>
      <w:r w:rsidR="00AF6A7B" w:rsidRPr="00CD52AA">
        <w:rPr>
          <w:shd w:val="clear" w:color="auto" w:fill="FFFFFF"/>
        </w:rPr>
        <w:t>í</w:t>
      </w:r>
      <w:r w:rsidRPr="00CD52AA">
        <w:rPr>
          <w:shd w:val="clear" w:color="auto" w:fill="FFFFFF"/>
        </w:rPr>
        <w:t>az, R., Hilario-Mart</w:t>
      </w:r>
      <w:r w:rsidR="00AF6A7B" w:rsidRPr="00CD52AA">
        <w:rPr>
          <w:shd w:val="clear" w:color="auto" w:fill="FFFFFF"/>
        </w:rPr>
        <w:t>í</w:t>
      </w:r>
      <w:r w:rsidRPr="00CD52AA">
        <w:rPr>
          <w:shd w:val="clear" w:color="auto" w:fill="FFFFFF"/>
        </w:rPr>
        <w:t>nez, J.</w:t>
      </w:r>
      <w:r w:rsidR="00AF6A7B" w:rsidRPr="00CD52AA">
        <w:rPr>
          <w:shd w:val="clear" w:color="auto" w:fill="FFFFFF"/>
        </w:rPr>
        <w:t xml:space="preserve"> </w:t>
      </w:r>
      <w:r w:rsidRPr="00CD52AA">
        <w:rPr>
          <w:shd w:val="clear" w:color="auto" w:fill="FFFFFF"/>
        </w:rPr>
        <w:t>C., Rodr</w:t>
      </w:r>
      <w:r w:rsidR="00AF6A7B" w:rsidRPr="00CD52AA">
        <w:rPr>
          <w:shd w:val="clear" w:color="auto" w:fill="FFFFFF"/>
        </w:rPr>
        <w:t>í</w:t>
      </w:r>
      <w:r w:rsidRPr="00CD52AA">
        <w:rPr>
          <w:shd w:val="clear" w:color="auto" w:fill="FFFFFF"/>
        </w:rPr>
        <w:t>guez-Acosta, M., Carrasco-Carballo, A., Hern</w:t>
      </w:r>
      <w:r w:rsidR="00AF6A7B" w:rsidRPr="00CD52AA">
        <w:rPr>
          <w:shd w:val="clear" w:color="auto" w:fill="FFFFFF"/>
        </w:rPr>
        <w:t>á</w:t>
      </w:r>
      <w:r w:rsidRPr="00CD52AA">
        <w:rPr>
          <w:shd w:val="clear" w:color="auto" w:fill="FFFFFF"/>
        </w:rPr>
        <w:t>ndez-Linares, M.</w:t>
      </w:r>
      <w:r w:rsidR="00AF6A7B" w:rsidRPr="00CD52AA">
        <w:rPr>
          <w:shd w:val="clear" w:color="auto" w:fill="FFFFFF"/>
        </w:rPr>
        <w:t xml:space="preserve"> </w:t>
      </w:r>
      <w:r w:rsidRPr="00CD52AA">
        <w:rPr>
          <w:shd w:val="clear" w:color="auto" w:fill="FFFFFF"/>
        </w:rPr>
        <w:t>G., Sandoval-Ram</w:t>
      </w:r>
      <w:r w:rsidR="00AF6A7B" w:rsidRPr="00CD52AA">
        <w:rPr>
          <w:shd w:val="clear" w:color="auto" w:fill="FFFFFF"/>
        </w:rPr>
        <w:t>í</w:t>
      </w:r>
      <w:r w:rsidRPr="00CD52AA">
        <w:rPr>
          <w:shd w:val="clear" w:color="auto" w:fill="FFFFFF"/>
        </w:rPr>
        <w:t>rez, J. and Fern</w:t>
      </w:r>
      <w:r w:rsidR="00AF6A7B" w:rsidRPr="00CD52AA">
        <w:rPr>
          <w:shd w:val="clear" w:color="auto" w:fill="FFFFFF"/>
        </w:rPr>
        <w:t>á</w:t>
      </w:r>
      <w:r w:rsidRPr="00CD52AA">
        <w:rPr>
          <w:shd w:val="clear" w:color="auto" w:fill="FFFFFF"/>
        </w:rPr>
        <w:t>ndez-Herrera, M.</w:t>
      </w:r>
      <w:r w:rsidR="00AF6A7B" w:rsidRPr="00CD52AA">
        <w:rPr>
          <w:shd w:val="clear" w:color="auto" w:fill="FFFFFF"/>
        </w:rPr>
        <w:t xml:space="preserve"> </w:t>
      </w:r>
      <w:r w:rsidRPr="00CD52AA">
        <w:rPr>
          <w:shd w:val="clear" w:color="auto" w:fill="FFFFFF"/>
        </w:rPr>
        <w:t xml:space="preserve">A. (2017). </w:t>
      </w:r>
      <w:r w:rsidRPr="00CD52AA">
        <w:rPr>
          <w:shd w:val="clear" w:color="auto" w:fill="FFFFFF"/>
          <w:lang w:val="en-US"/>
        </w:rPr>
        <w:t xml:space="preserve">Mimicking natural phytohormones. 26-Hydroxycholestan-22-one derivatives as plant growth promoters. </w:t>
      </w:r>
      <w:r w:rsidRPr="00CD52AA">
        <w:rPr>
          <w:i/>
          <w:iCs/>
          <w:shd w:val="clear" w:color="auto" w:fill="FFFFFF"/>
        </w:rPr>
        <w:t>Steroids</w:t>
      </w:r>
      <w:r w:rsidRPr="00CD52AA">
        <w:rPr>
          <w:shd w:val="clear" w:color="auto" w:fill="FFFFFF"/>
        </w:rPr>
        <w:t xml:space="preserve">, </w:t>
      </w:r>
      <w:r w:rsidRPr="00CD52AA">
        <w:rPr>
          <w:i/>
          <w:iCs/>
          <w:shd w:val="clear" w:color="auto" w:fill="FFFFFF"/>
        </w:rPr>
        <w:t>125</w:t>
      </w:r>
      <w:r w:rsidR="00AF6A7B" w:rsidRPr="00CD52AA">
        <w:rPr>
          <w:shd w:val="clear" w:color="auto" w:fill="FFFFFF"/>
        </w:rPr>
        <w:t>,</w:t>
      </w:r>
      <w:r w:rsidRPr="00CD52AA">
        <w:rPr>
          <w:shd w:val="clear" w:color="auto" w:fill="FFFFFF"/>
        </w:rPr>
        <w:t xml:space="preserve"> 20-26. </w:t>
      </w:r>
      <w:hyperlink r:id="rId45" w:tgtFrame="_blank" w:history="1">
        <w:r w:rsidR="00AF6A7B" w:rsidRPr="00CD52AA">
          <w:rPr>
            <w:rStyle w:val="Hipervnculo"/>
            <w:color w:val="auto"/>
            <w:shd w:val="clear" w:color="auto" w:fill="FFFFFF"/>
          </w:rPr>
          <w:t>https://doi.org/10.1016/j.steroids.2017.06.004</w:t>
        </w:r>
      </w:hyperlink>
    </w:p>
    <w:p w14:paraId="7AB72A7C" w14:textId="5DACC0BF"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rPr>
        <w:t xml:space="preserve"> Zeferino-D</w:t>
      </w:r>
      <w:r w:rsidR="00AF6A7B" w:rsidRPr="00CD52AA">
        <w:rPr>
          <w:shd w:val="clear" w:color="auto" w:fill="FFFFFF"/>
        </w:rPr>
        <w:t>í</w:t>
      </w:r>
      <w:r w:rsidRPr="00CD52AA">
        <w:rPr>
          <w:shd w:val="clear" w:color="auto" w:fill="FFFFFF"/>
        </w:rPr>
        <w:t>az, R., Hilario-Mart</w:t>
      </w:r>
      <w:r w:rsidR="00AF6A7B" w:rsidRPr="00CD52AA">
        <w:rPr>
          <w:shd w:val="clear" w:color="auto" w:fill="FFFFFF"/>
        </w:rPr>
        <w:t>í</w:t>
      </w:r>
      <w:r w:rsidRPr="00CD52AA">
        <w:rPr>
          <w:shd w:val="clear" w:color="auto" w:fill="FFFFFF"/>
        </w:rPr>
        <w:t>nez, J.C., Rodr</w:t>
      </w:r>
      <w:r w:rsidR="00AF6A7B" w:rsidRPr="00CD52AA">
        <w:rPr>
          <w:shd w:val="clear" w:color="auto" w:fill="FFFFFF"/>
        </w:rPr>
        <w:t>í</w:t>
      </w:r>
      <w:r w:rsidRPr="00CD52AA">
        <w:rPr>
          <w:shd w:val="clear" w:color="auto" w:fill="FFFFFF"/>
        </w:rPr>
        <w:t>guez-Acosta, M., Sandoval-Ram</w:t>
      </w:r>
      <w:r w:rsidR="00AF6A7B" w:rsidRPr="00CD52AA">
        <w:rPr>
          <w:shd w:val="clear" w:color="auto" w:fill="FFFFFF"/>
        </w:rPr>
        <w:t>í</w:t>
      </w:r>
      <w:r w:rsidRPr="00CD52AA">
        <w:rPr>
          <w:shd w:val="clear" w:color="auto" w:fill="FFFFFF"/>
        </w:rPr>
        <w:t>rez, J. and  Fern</w:t>
      </w:r>
      <w:r w:rsidR="00AF6A7B" w:rsidRPr="00CD52AA">
        <w:rPr>
          <w:shd w:val="clear" w:color="auto" w:fill="FFFFFF"/>
        </w:rPr>
        <w:t>á</w:t>
      </w:r>
      <w:r w:rsidRPr="00CD52AA">
        <w:rPr>
          <w:shd w:val="clear" w:color="auto" w:fill="FFFFFF"/>
        </w:rPr>
        <w:t xml:space="preserve">ndez-Herrera, M.A. (2015). </w:t>
      </w:r>
      <w:r w:rsidRPr="00CD52AA">
        <w:rPr>
          <w:shd w:val="clear" w:color="auto" w:fill="FFFFFF"/>
          <w:lang w:val="en-US"/>
        </w:rPr>
        <w:t xml:space="preserve">22-Oxocholestanes as plant growth promoters. Steroids </w:t>
      </w:r>
      <w:r w:rsidRPr="00CD52AA">
        <w:rPr>
          <w:i/>
          <w:iCs/>
          <w:shd w:val="clear" w:color="auto" w:fill="FFFFFF"/>
          <w:lang w:val="en-US"/>
        </w:rPr>
        <w:t>98</w:t>
      </w:r>
      <w:r w:rsidR="00AF6A7B" w:rsidRPr="00CD52AA">
        <w:rPr>
          <w:shd w:val="clear" w:color="auto" w:fill="FFFFFF"/>
          <w:lang w:val="en-US"/>
        </w:rPr>
        <w:t xml:space="preserve">, </w:t>
      </w:r>
      <w:r w:rsidRPr="00CD52AA">
        <w:rPr>
          <w:shd w:val="clear" w:color="auto" w:fill="FFFFFF"/>
          <w:lang w:val="en-US"/>
        </w:rPr>
        <w:t xml:space="preserve">126-31. </w:t>
      </w:r>
      <w:r w:rsidR="00AF6A7B" w:rsidRPr="00CD52AA">
        <w:rPr>
          <w:lang w:val="en-US"/>
        </w:rPr>
        <w:t xml:space="preserve"> </w:t>
      </w:r>
      <w:hyperlink r:id="rId46" w:tgtFrame="_blank" w:history="1">
        <w:r w:rsidR="00AF6A7B" w:rsidRPr="00CD52AA">
          <w:rPr>
            <w:rStyle w:val="Hipervnculo"/>
            <w:color w:val="auto"/>
            <w:shd w:val="clear" w:color="auto" w:fill="FFFFFF"/>
            <w:lang w:val="en-US"/>
          </w:rPr>
          <w:t>https://doi.org/10.1016/j.steroids.2015.03.005</w:t>
        </w:r>
      </w:hyperlink>
    </w:p>
    <w:p w14:paraId="5FE5D620" w14:textId="76B83BA8" w:rsidR="00CE14B3" w:rsidRPr="00CD52AA" w:rsidRDefault="00CE14B3" w:rsidP="00380689">
      <w:pPr>
        <w:shd w:val="clear" w:color="auto" w:fill="FFFFFF"/>
        <w:spacing w:before="100" w:beforeAutospacing="1" w:after="100" w:afterAutospacing="1" w:line="480" w:lineRule="auto"/>
        <w:ind w:firstLine="708"/>
        <w:jc w:val="both"/>
        <w:rPr>
          <w:shd w:val="clear" w:color="auto" w:fill="FFFFFF"/>
          <w:lang w:val="en-US"/>
        </w:rPr>
      </w:pPr>
      <w:r w:rsidRPr="00CD52AA">
        <w:rPr>
          <w:shd w:val="clear" w:color="auto" w:fill="FFFFFF"/>
          <w:lang w:val="en-US"/>
        </w:rPr>
        <w:t>Zhao, J., Cao, Y. and Yu, L. (2021). Global Change of Land-Sparing and Land-Sharing Patterns over the Past 30 Years: Evidence from Remote Sensing and Statistics. </w:t>
      </w:r>
      <w:r w:rsidRPr="00CD52AA">
        <w:rPr>
          <w:rStyle w:val="nfasis"/>
          <w:shd w:val="clear" w:color="auto" w:fill="FFFFFF"/>
          <w:lang w:val="en-US"/>
        </w:rPr>
        <w:t>Remote</w:t>
      </w:r>
      <w:r w:rsidRPr="00CD52AA">
        <w:rPr>
          <w:rStyle w:val="nfasis"/>
          <w:i w:val="0"/>
          <w:iCs w:val="0"/>
          <w:shd w:val="clear" w:color="auto" w:fill="FFFFFF"/>
          <w:lang w:val="en-US"/>
        </w:rPr>
        <w:t xml:space="preserve"> </w:t>
      </w:r>
      <w:r w:rsidRPr="00CD52AA">
        <w:rPr>
          <w:rStyle w:val="nfasis"/>
          <w:shd w:val="clear" w:color="auto" w:fill="FFFFFF"/>
          <w:lang w:val="en-US"/>
        </w:rPr>
        <w:t>Sensing</w:t>
      </w:r>
      <w:r w:rsidRPr="00CD52AA">
        <w:rPr>
          <w:shd w:val="clear" w:color="auto" w:fill="FFFFFF"/>
          <w:lang w:val="en-US"/>
        </w:rPr>
        <w:t>, </w:t>
      </w:r>
      <w:r w:rsidRPr="00CD52AA">
        <w:rPr>
          <w:rStyle w:val="nfasis"/>
          <w:shd w:val="clear" w:color="auto" w:fill="FFFFFF"/>
          <w:lang w:val="en-US"/>
        </w:rPr>
        <w:t>13</w:t>
      </w:r>
      <w:r w:rsidRPr="00CD52AA">
        <w:rPr>
          <w:shd w:val="clear" w:color="auto" w:fill="FFFFFF"/>
          <w:lang w:val="en-US"/>
        </w:rPr>
        <w:t>(24)</w:t>
      </w:r>
      <w:r w:rsidR="00AF6A7B" w:rsidRPr="00CD52AA">
        <w:rPr>
          <w:shd w:val="clear" w:color="auto" w:fill="FFFFFF"/>
          <w:lang w:val="en-US"/>
        </w:rPr>
        <w:t>,</w:t>
      </w:r>
      <w:r w:rsidRPr="00CD52AA">
        <w:rPr>
          <w:shd w:val="clear" w:color="auto" w:fill="FFFFFF"/>
          <w:lang w:val="en-US"/>
        </w:rPr>
        <w:t xml:space="preserve"> 5090. </w:t>
      </w:r>
      <w:r w:rsidR="00AF6A7B" w:rsidRPr="00CD52AA">
        <w:rPr>
          <w:lang w:val="en-US"/>
        </w:rPr>
        <w:t xml:space="preserve"> </w:t>
      </w:r>
      <w:hyperlink r:id="rId47" w:tgtFrame="_blank" w:history="1">
        <w:r w:rsidR="00AF6A7B" w:rsidRPr="00CD52AA">
          <w:rPr>
            <w:rStyle w:val="Hipervnculo"/>
            <w:color w:val="auto"/>
            <w:shd w:val="clear" w:color="auto" w:fill="FFFFFF"/>
            <w:lang w:val="en-US"/>
          </w:rPr>
          <w:t>https://doi.org/10.3390/rs13245090</w:t>
        </w:r>
      </w:hyperlink>
      <w:r w:rsidR="00AF6A7B" w:rsidRPr="00CD52AA">
        <w:rPr>
          <w:shd w:val="clear" w:color="auto" w:fill="FFFFFF"/>
          <w:lang w:val="en-US"/>
        </w:rPr>
        <w:t xml:space="preserve"> </w:t>
      </w:r>
    </w:p>
    <w:p w14:paraId="462862CD" w14:textId="77777777" w:rsidR="00B53C9D" w:rsidRDefault="00B53C9D" w:rsidP="001D4E67">
      <w:pPr>
        <w:shd w:val="clear" w:color="auto" w:fill="FFFFFF"/>
        <w:spacing w:before="100" w:beforeAutospacing="1" w:after="100" w:afterAutospacing="1" w:line="480" w:lineRule="auto"/>
        <w:jc w:val="both"/>
        <w:rPr>
          <w:b/>
          <w:color w:val="000000"/>
          <w:u w:color="000000"/>
          <w:lang w:val="en-US" w:eastAsia="es-ES"/>
        </w:rPr>
      </w:pPr>
    </w:p>
    <w:p w14:paraId="779ED419" w14:textId="77777777" w:rsidR="00B53C9D" w:rsidRDefault="00B53C9D" w:rsidP="001D4E67">
      <w:pPr>
        <w:shd w:val="clear" w:color="auto" w:fill="FFFFFF"/>
        <w:spacing w:before="100" w:beforeAutospacing="1" w:after="100" w:afterAutospacing="1" w:line="480" w:lineRule="auto"/>
        <w:jc w:val="both"/>
        <w:rPr>
          <w:b/>
          <w:color w:val="000000"/>
          <w:u w:color="000000"/>
          <w:lang w:val="en-US" w:eastAsia="es-ES"/>
        </w:rPr>
      </w:pPr>
    </w:p>
    <w:p w14:paraId="47D66CA6" w14:textId="77777777" w:rsidR="00B53C9D" w:rsidRDefault="00B53C9D" w:rsidP="001D4E67">
      <w:pPr>
        <w:shd w:val="clear" w:color="auto" w:fill="FFFFFF"/>
        <w:spacing w:before="100" w:beforeAutospacing="1" w:after="100" w:afterAutospacing="1" w:line="480" w:lineRule="auto"/>
        <w:jc w:val="both"/>
        <w:rPr>
          <w:b/>
          <w:color w:val="000000"/>
          <w:u w:color="000000"/>
          <w:lang w:val="en-US" w:eastAsia="es-ES"/>
        </w:rPr>
      </w:pPr>
    </w:p>
    <w:p w14:paraId="57FE77B1" w14:textId="77777777" w:rsidR="00B53C9D" w:rsidRDefault="00B53C9D" w:rsidP="001D4E67">
      <w:pPr>
        <w:shd w:val="clear" w:color="auto" w:fill="FFFFFF"/>
        <w:spacing w:before="100" w:beforeAutospacing="1" w:after="100" w:afterAutospacing="1" w:line="480" w:lineRule="auto"/>
        <w:jc w:val="both"/>
        <w:rPr>
          <w:b/>
          <w:color w:val="000000"/>
          <w:u w:color="000000"/>
          <w:lang w:val="en-US" w:eastAsia="es-ES"/>
        </w:rPr>
      </w:pPr>
    </w:p>
    <w:p w14:paraId="5039588F" w14:textId="0812E597" w:rsidR="001D4E67" w:rsidRPr="001D4E67" w:rsidRDefault="00CD52AA" w:rsidP="001D4E67">
      <w:pPr>
        <w:shd w:val="clear" w:color="auto" w:fill="FFFFFF"/>
        <w:spacing w:before="100" w:beforeAutospacing="1" w:after="100" w:afterAutospacing="1" w:line="480" w:lineRule="auto"/>
        <w:jc w:val="both"/>
        <w:rPr>
          <w:b/>
          <w:color w:val="000000"/>
          <w:u w:color="000000"/>
          <w:lang w:val="en-US" w:eastAsia="es-ES"/>
        </w:rPr>
      </w:pPr>
      <w:r w:rsidRPr="001D4E67">
        <w:rPr>
          <w:b/>
          <w:color w:val="000000"/>
          <w:u w:color="000000"/>
          <w:lang w:val="en-US" w:eastAsia="es-ES"/>
        </w:rPr>
        <w:lastRenderedPageBreak/>
        <w:t>TABLES AN</w:t>
      </w:r>
      <w:r w:rsidR="001D4E67" w:rsidRPr="001D4E67">
        <w:rPr>
          <w:b/>
          <w:color w:val="000000"/>
          <w:u w:color="000000"/>
          <w:lang w:val="en-US" w:eastAsia="es-ES"/>
        </w:rPr>
        <w:t>D</w:t>
      </w:r>
      <w:r w:rsidRPr="001D4E67">
        <w:rPr>
          <w:b/>
          <w:color w:val="000000"/>
          <w:u w:color="000000"/>
          <w:lang w:val="en-US" w:eastAsia="es-ES"/>
        </w:rPr>
        <w:t xml:space="preserve"> FIGURES LEGEND </w:t>
      </w:r>
    </w:p>
    <w:p w14:paraId="2F3623DF" w14:textId="7FCCF1DC" w:rsidR="00C110D9" w:rsidRPr="001D4E67" w:rsidRDefault="00CD52AA" w:rsidP="001D4E67">
      <w:pPr>
        <w:shd w:val="clear" w:color="auto" w:fill="FFFFFF"/>
        <w:spacing w:before="100" w:beforeAutospacing="1" w:after="100" w:afterAutospacing="1" w:line="480" w:lineRule="auto"/>
        <w:jc w:val="both"/>
        <w:rPr>
          <w:color w:val="000000"/>
          <w:shd w:val="clear" w:color="auto" w:fill="FFFFFF"/>
          <w:lang w:val="en-US"/>
        </w:rPr>
      </w:pPr>
      <w:r w:rsidRPr="001D4E67">
        <w:rPr>
          <w:b/>
          <w:bCs/>
          <w:iCs/>
          <w:lang w:val="en-US"/>
        </w:rPr>
        <w:t>Table 1.</w:t>
      </w:r>
      <w:r w:rsidRPr="001D4E67">
        <w:rPr>
          <w:iCs/>
          <w:lang w:val="en-US"/>
        </w:rPr>
        <w:t xml:space="preserve"> Bacterial diversity indices in soils with and without 22-Oxocholestanes SPGP4 treatments in maize and bean crops.</w:t>
      </w:r>
    </w:p>
    <w:p w14:paraId="55FE91EA" w14:textId="77777777" w:rsidR="00CD52AA" w:rsidRPr="00881057" w:rsidRDefault="00CD52AA" w:rsidP="00C62203">
      <w:pPr>
        <w:shd w:val="clear" w:color="auto" w:fill="FFFFFF"/>
        <w:spacing w:line="480" w:lineRule="auto"/>
        <w:rPr>
          <w:b/>
          <w:color w:val="000000"/>
          <w:u w:color="000000"/>
          <w:lang w:val="en-US" w:eastAsia="es-ES"/>
        </w:rPr>
      </w:pPr>
    </w:p>
    <w:p w14:paraId="1F4C73D0" w14:textId="77777777" w:rsidR="00C143C0" w:rsidRDefault="00C143C0" w:rsidP="00C143C0">
      <w:pPr>
        <w:shd w:val="clear" w:color="auto" w:fill="FFFFFF"/>
        <w:spacing w:before="100" w:beforeAutospacing="1" w:after="100" w:afterAutospacing="1" w:line="480" w:lineRule="auto"/>
        <w:jc w:val="both"/>
        <w:rPr>
          <w:color w:val="000000"/>
          <w:shd w:val="clear" w:color="auto" w:fill="FFFFFF"/>
          <w:lang w:val="en-US"/>
        </w:rPr>
      </w:pPr>
    </w:p>
    <w:tbl>
      <w:tblPr>
        <w:tblpPr w:leftFromText="141" w:rightFromText="141" w:vertAnchor="page" w:horzAnchor="margin" w:tblpY="4066"/>
        <w:tblW w:w="0" w:type="auto"/>
        <w:tblCellMar>
          <w:left w:w="0" w:type="dxa"/>
          <w:right w:w="0" w:type="dxa"/>
        </w:tblCellMar>
        <w:tblLook w:val="04A0" w:firstRow="1" w:lastRow="0" w:firstColumn="1" w:lastColumn="0" w:noHBand="0" w:noVBand="1"/>
      </w:tblPr>
      <w:tblGrid>
        <w:gridCol w:w="1872"/>
        <w:gridCol w:w="2203"/>
        <w:gridCol w:w="2414"/>
        <w:gridCol w:w="2228"/>
      </w:tblGrid>
      <w:tr w:rsidR="00870EDD" w:rsidRPr="00013F5D" w14:paraId="6247C2B3" w14:textId="77777777" w:rsidTr="00CD52AA">
        <w:trPr>
          <w:trHeight w:val="172"/>
        </w:trPr>
        <w:tc>
          <w:tcPr>
            <w:tcW w:w="1872" w:type="dxa"/>
            <w:tcBorders>
              <w:top w:val="single" w:sz="6" w:space="0" w:color="000000"/>
              <w:bottom w:val="single" w:sz="6" w:space="0" w:color="000000"/>
            </w:tcBorders>
            <w:tcMar>
              <w:top w:w="60" w:type="dxa"/>
              <w:left w:w="60" w:type="dxa"/>
              <w:bottom w:w="60" w:type="dxa"/>
              <w:right w:w="60" w:type="dxa"/>
            </w:tcMar>
            <w:hideMark/>
          </w:tcPr>
          <w:p w14:paraId="5303ACB5" w14:textId="77777777" w:rsidR="00870EDD" w:rsidRPr="00013F5D" w:rsidRDefault="00870EDD" w:rsidP="00CD52AA">
            <w:pPr>
              <w:jc w:val="center"/>
              <w:rPr>
                <w:sz w:val="20"/>
                <w:szCs w:val="20"/>
              </w:rPr>
            </w:pPr>
            <w:r w:rsidRPr="00013F5D">
              <w:rPr>
                <w:b/>
                <w:bCs/>
                <w:sz w:val="20"/>
                <w:szCs w:val="20"/>
              </w:rPr>
              <w:t>Index</w:t>
            </w:r>
          </w:p>
        </w:tc>
        <w:tc>
          <w:tcPr>
            <w:tcW w:w="2203" w:type="dxa"/>
            <w:tcBorders>
              <w:top w:val="single" w:sz="6" w:space="0" w:color="000000"/>
              <w:bottom w:val="single" w:sz="6" w:space="0" w:color="000000"/>
            </w:tcBorders>
            <w:tcMar>
              <w:top w:w="60" w:type="dxa"/>
              <w:left w:w="60" w:type="dxa"/>
              <w:bottom w:w="60" w:type="dxa"/>
              <w:right w:w="60" w:type="dxa"/>
            </w:tcMar>
            <w:hideMark/>
          </w:tcPr>
          <w:p w14:paraId="4F0573CB" w14:textId="77777777" w:rsidR="00870EDD" w:rsidRPr="00013F5D" w:rsidRDefault="00870EDD" w:rsidP="00CD52AA">
            <w:pPr>
              <w:jc w:val="center"/>
              <w:rPr>
                <w:sz w:val="20"/>
                <w:szCs w:val="20"/>
              </w:rPr>
            </w:pPr>
            <w:r w:rsidRPr="00013F5D">
              <w:rPr>
                <w:b/>
                <w:bCs/>
                <w:sz w:val="20"/>
                <w:szCs w:val="20"/>
              </w:rPr>
              <w:t>Basal</w:t>
            </w:r>
          </w:p>
        </w:tc>
        <w:tc>
          <w:tcPr>
            <w:tcW w:w="2414" w:type="dxa"/>
            <w:tcBorders>
              <w:top w:val="single" w:sz="6" w:space="0" w:color="000000"/>
              <w:bottom w:val="single" w:sz="6" w:space="0" w:color="000000"/>
            </w:tcBorders>
            <w:tcMar>
              <w:top w:w="60" w:type="dxa"/>
              <w:left w:w="60" w:type="dxa"/>
              <w:bottom w:w="60" w:type="dxa"/>
              <w:right w:w="60" w:type="dxa"/>
            </w:tcMar>
            <w:hideMark/>
          </w:tcPr>
          <w:p w14:paraId="1F381CFF" w14:textId="77777777" w:rsidR="00870EDD" w:rsidRPr="00013F5D" w:rsidRDefault="00870EDD" w:rsidP="00CD52AA">
            <w:pPr>
              <w:jc w:val="center"/>
              <w:rPr>
                <w:sz w:val="20"/>
                <w:szCs w:val="20"/>
              </w:rPr>
            </w:pPr>
            <w:r w:rsidRPr="00013F5D">
              <w:rPr>
                <w:b/>
                <w:bCs/>
                <w:sz w:val="20"/>
                <w:szCs w:val="20"/>
              </w:rPr>
              <w:t>Control</w:t>
            </w:r>
          </w:p>
        </w:tc>
        <w:tc>
          <w:tcPr>
            <w:tcW w:w="2228" w:type="dxa"/>
            <w:tcBorders>
              <w:top w:val="single" w:sz="6" w:space="0" w:color="000000"/>
              <w:bottom w:val="single" w:sz="6" w:space="0" w:color="000000"/>
            </w:tcBorders>
            <w:tcMar>
              <w:top w:w="60" w:type="dxa"/>
              <w:left w:w="60" w:type="dxa"/>
              <w:bottom w:w="60" w:type="dxa"/>
              <w:right w:w="60" w:type="dxa"/>
            </w:tcMar>
            <w:hideMark/>
          </w:tcPr>
          <w:p w14:paraId="46BD2BD7" w14:textId="77777777" w:rsidR="00870EDD" w:rsidRPr="00013F5D" w:rsidRDefault="00870EDD" w:rsidP="00CD52AA">
            <w:pPr>
              <w:jc w:val="center"/>
              <w:rPr>
                <w:sz w:val="20"/>
                <w:szCs w:val="20"/>
              </w:rPr>
            </w:pPr>
            <w:r w:rsidRPr="00013F5D">
              <w:rPr>
                <w:b/>
                <w:bCs/>
                <w:sz w:val="20"/>
                <w:szCs w:val="20"/>
              </w:rPr>
              <w:t>Treatment</w:t>
            </w:r>
          </w:p>
        </w:tc>
      </w:tr>
      <w:tr w:rsidR="00870EDD" w:rsidRPr="00013F5D" w14:paraId="196141A8" w14:textId="77777777" w:rsidTr="00CD52AA">
        <w:trPr>
          <w:trHeight w:val="188"/>
        </w:trPr>
        <w:tc>
          <w:tcPr>
            <w:tcW w:w="1872" w:type="dxa"/>
            <w:tcBorders>
              <w:top w:val="single" w:sz="6" w:space="0" w:color="000000"/>
            </w:tcBorders>
            <w:tcMar>
              <w:top w:w="60" w:type="dxa"/>
              <w:left w:w="60" w:type="dxa"/>
              <w:bottom w:w="60" w:type="dxa"/>
              <w:right w:w="60" w:type="dxa"/>
            </w:tcMar>
            <w:hideMark/>
          </w:tcPr>
          <w:p w14:paraId="760546EF" w14:textId="77777777" w:rsidR="00870EDD" w:rsidRPr="00013F5D" w:rsidRDefault="00870EDD" w:rsidP="00CD52AA">
            <w:pPr>
              <w:rPr>
                <w:sz w:val="20"/>
                <w:szCs w:val="20"/>
              </w:rPr>
            </w:pPr>
            <w:r w:rsidRPr="00013F5D">
              <w:rPr>
                <w:b/>
                <w:bCs/>
                <w:sz w:val="20"/>
                <w:szCs w:val="20"/>
              </w:rPr>
              <w:t xml:space="preserve">Observed </w:t>
            </w:r>
          </w:p>
        </w:tc>
        <w:tc>
          <w:tcPr>
            <w:tcW w:w="2203" w:type="dxa"/>
            <w:tcBorders>
              <w:top w:val="single" w:sz="6" w:space="0" w:color="000000"/>
            </w:tcBorders>
            <w:tcMar>
              <w:top w:w="60" w:type="dxa"/>
              <w:left w:w="60" w:type="dxa"/>
              <w:bottom w:w="60" w:type="dxa"/>
              <w:right w:w="60" w:type="dxa"/>
            </w:tcMar>
            <w:hideMark/>
          </w:tcPr>
          <w:p w14:paraId="437F2CF8" w14:textId="77777777" w:rsidR="00870EDD" w:rsidRPr="00013F5D" w:rsidRDefault="00870EDD" w:rsidP="00CD52AA">
            <w:pPr>
              <w:jc w:val="center"/>
              <w:rPr>
                <w:sz w:val="20"/>
                <w:szCs w:val="20"/>
              </w:rPr>
            </w:pPr>
            <w:r w:rsidRPr="00013F5D">
              <w:rPr>
                <w:sz w:val="20"/>
                <w:szCs w:val="20"/>
              </w:rPr>
              <w:t>630</w:t>
            </w:r>
          </w:p>
        </w:tc>
        <w:tc>
          <w:tcPr>
            <w:tcW w:w="2414" w:type="dxa"/>
            <w:tcBorders>
              <w:top w:val="single" w:sz="6" w:space="0" w:color="000000"/>
            </w:tcBorders>
            <w:tcMar>
              <w:top w:w="60" w:type="dxa"/>
              <w:left w:w="60" w:type="dxa"/>
              <w:bottom w:w="60" w:type="dxa"/>
              <w:right w:w="60" w:type="dxa"/>
            </w:tcMar>
            <w:hideMark/>
          </w:tcPr>
          <w:p w14:paraId="00ED0089" w14:textId="77777777" w:rsidR="00870EDD" w:rsidRPr="00013F5D" w:rsidRDefault="00870EDD" w:rsidP="00CD52AA">
            <w:pPr>
              <w:jc w:val="center"/>
              <w:rPr>
                <w:sz w:val="20"/>
                <w:szCs w:val="20"/>
              </w:rPr>
            </w:pPr>
            <w:r w:rsidRPr="00013F5D">
              <w:rPr>
                <w:sz w:val="20"/>
                <w:szCs w:val="20"/>
              </w:rPr>
              <w:t>386</w:t>
            </w:r>
          </w:p>
        </w:tc>
        <w:tc>
          <w:tcPr>
            <w:tcW w:w="2228" w:type="dxa"/>
            <w:tcBorders>
              <w:top w:val="single" w:sz="6" w:space="0" w:color="000000"/>
            </w:tcBorders>
            <w:tcMar>
              <w:top w:w="60" w:type="dxa"/>
              <w:left w:w="60" w:type="dxa"/>
              <w:bottom w:w="60" w:type="dxa"/>
              <w:right w:w="60" w:type="dxa"/>
            </w:tcMar>
            <w:hideMark/>
          </w:tcPr>
          <w:p w14:paraId="1F3A4477" w14:textId="77777777" w:rsidR="00870EDD" w:rsidRPr="00013F5D" w:rsidRDefault="00870EDD" w:rsidP="00CD52AA">
            <w:pPr>
              <w:jc w:val="center"/>
              <w:rPr>
                <w:sz w:val="20"/>
                <w:szCs w:val="20"/>
              </w:rPr>
            </w:pPr>
            <w:r w:rsidRPr="00013F5D">
              <w:rPr>
                <w:sz w:val="20"/>
                <w:szCs w:val="20"/>
              </w:rPr>
              <w:t>343</w:t>
            </w:r>
          </w:p>
        </w:tc>
      </w:tr>
      <w:tr w:rsidR="00870EDD" w:rsidRPr="00013F5D" w14:paraId="57EDAC7B" w14:textId="77777777" w:rsidTr="00CD52AA">
        <w:trPr>
          <w:trHeight w:val="172"/>
        </w:trPr>
        <w:tc>
          <w:tcPr>
            <w:tcW w:w="1872" w:type="dxa"/>
            <w:tcMar>
              <w:top w:w="60" w:type="dxa"/>
              <w:left w:w="60" w:type="dxa"/>
              <w:bottom w:w="60" w:type="dxa"/>
              <w:right w:w="60" w:type="dxa"/>
            </w:tcMar>
            <w:hideMark/>
          </w:tcPr>
          <w:p w14:paraId="43208064" w14:textId="77777777" w:rsidR="00870EDD" w:rsidRPr="00013F5D" w:rsidRDefault="00870EDD" w:rsidP="00CD52AA">
            <w:pPr>
              <w:rPr>
                <w:sz w:val="20"/>
                <w:szCs w:val="20"/>
              </w:rPr>
            </w:pPr>
            <w:r w:rsidRPr="00013F5D">
              <w:rPr>
                <w:b/>
                <w:bCs/>
                <w:sz w:val="20"/>
                <w:szCs w:val="20"/>
              </w:rPr>
              <w:t>Chao1</w:t>
            </w:r>
          </w:p>
        </w:tc>
        <w:tc>
          <w:tcPr>
            <w:tcW w:w="2203" w:type="dxa"/>
            <w:tcMar>
              <w:top w:w="60" w:type="dxa"/>
              <w:left w:w="60" w:type="dxa"/>
              <w:bottom w:w="60" w:type="dxa"/>
              <w:right w:w="60" w:type="dxa"/>
            </w:tcMar>
            <w:hideMark/>
          </w:tcPr>
          <w:p w14:paraId="50EA60EB" w14:textId="77777777" w:rsidR="00870EDD" w:rsidRPr="00013F5D" w:rsidRDefault="00870EDD" w:rsidP="00CD52AA">
            <w:pPr>
              <w:jc w:val="center"/>
              <w:rPr>
                <w:sz w:val="20"/>
                <w:szCs w:val="20"/>
              </w:rPr>
            </w:pPr>
            <w:r w:rsidRPr="00013F5D">
              <w:rPr>
                <w:sz w:val="20"/>
                <w:szCs w:val="20"/>
              </w:rPr>
              <w:t>667.64</w:t>
            </w:r>
          </w:p>
        </w:tc>
        <w:tc>
          <w:tcPr>
            <w:tcW w:w="2414" w:type="dxa"/>
            <w:tcMar>
              <w:top w:w="60" w:type="dxa"/>
              <w:left w:w="60" w:type="dxa"/>
              <w:bottom w:w="60" w:type="dxa"/>
              <w:right w:w="60" w:type="dxa"/>
            </w:tcMar>
            <w:hideMark/>
          </w:tcPr>
          <w:p w14:paraId="4A94FEC6" w14:textId="77777777" w:rsidR="00870EDD" w:rsidRPr="00013F5D" w:rsidRDefault="00870EDD" w:rsidP="00CD52AA">
            <w:pPr>
              <w:jc w:val="center"/>
              <w:rPr>
                <w:sz w:val="20"/>
                <w:szCs w:val="20"/>
              </w:rPr>
            </w:pPr>
            <w:r w:rsidRPr="00013F5D">
              <w:rPr>
                <w:sz w:val="20"/>
                <w:szCs w:val="20"/>
              </w:rPr>
              <w:t>397.71</w:t>
            </w:r>
          </w:p>
        </w:tc>
        <w:tc>
          <w:tcPr>
            <w:tcW w:w="2228" w:type="dxa"/>
            <w:tcMar>
              <w:top w:w="60" w:type="dxa"/>
              <w:left w:w="60" w:type="dxa"/>
              <w:bottom w:w="60" w:type="dxa"/>
              <w:right w:w="60" w:type="dxa"/>
            </w:tcMar>
            <w:hideMark/>
          </w:tcPr>
          <w:p w14:paraId="50FEBEE1" w14:textId="77777777" w:rsidR="00870EDD" w:rsidRPr="00013F5D" w:rsidRDefault="00870EDD" w:rsidP="00CD52AA">
            <w:pPr>
              <w:jc w:val="center"/>
              <w:rPr>
                <w:sz w:val="20"/>
                <w:szCs w:val="20"/>
              </w:rPr>
            </w:pPr>
            <w:r w:rsidRPr="00013F5D">
              <w:rPr>
                <w:sz w:val="20"/>
                <w:szCs w:val="20"/>
              </w:rPr>
              <w:t>368.64</w:t>
            </w:r>
          </w:p>
        </w:tc>
      </w:tr>
      <w:tr w:rsidR="00870EDD" w:rsidRPr="00013F5D" w14:paraId="41AFC3CA" w14:textId="77777777" w:rsidTr="00CD52AA">
        <w:trPr>
          <w:trHeight w:val="172"/>
        </w:trPr>
        <w:tc>
          <w:tcPr>
            <w:tcW w:w="1872" w:type="dxa"/>
            <w:tcMar>
              <w:top w:w="60" w:type="dxa"/>
              <w:left w:w="60" w:type="dxa"/>
              <w:bottom w:w="60" w:type="dxa"/>
              <w:right w:w="60" w:type="dxa"/>
            </w:tcMar>
            <w:hideMark/>
          </w:tcPr>
          <w:p w14:paraId="53FED65B" w14:textId="77777777" w:rsidR="00870EDD" w:rsidRPr="00013F5D" w:rsidRDefault="00870EDD" w:rsidP="00CD52AA">
            <w:pPr>
              <w:rPr>
                <w:sz w:val="20"/>
                <w:szCs w:val="20"/>
              </w:rPr>
            </w:pPr>
            <w:r w:rsidRPr="00013F5D">
              <w:rPr>
                <w:b/>
                <w:bCs/>
                <w:sz w:val="20"/>
                <w:szCs w:val="20"/>
              </w:rPr>
              <w:t>Chao1 SE</w:t>
            </w:r>
          </w:p>
        </w:tc>
        <w:tc>
          <w:tcPr>
            <w:tcW w:w="2203" w:type="dxa"/>
            <w:tcMar>
              <w:top w:w="60" w:type="dxa"/>
              <w:left w:w="60" w:type="dxa"/>
              <w:bottom w:w="60" w:type="dxa"/>
              <w:right w:w="60" w:type="dxa"/>
            </w:tcMar>
            <w:hideMark/>
          </w:tcPr>
          <w:p w14:paraId="72723B92" w14:textId="77777777" w:rsidR="00870EDD" w:rsidRPr="00013F5D" w:rsidRDefault="00870EDD" w:rsidP="00CD52AA">
            <w:pPr>
              <w:jc w:val="center"/>
              <w:rPr>
                <w:sz w:val="20"/>
                <w:szCs w:val="20"/>
              </w:rPr>
            </w:pPr>
            <w:r w:rsidRPr="00013F5D">
              <w:rPr>
                <w:sz w:val="20"/>
                <w:szCs w:val="20"/>
              </w:rPr>
              <w:t>16.35</w:t>
            </w:r>
          </w:p>
        </w:tc>
        <w:tc>
          <w:tcPr>
            <w:tcW w:w="2414" w:type="dxa"/>
            <w:tcMar>
              <w:top w:w="60" w:type="dxa"/>
              <w:left w:w="60" w:type="dxa"/>
              <w:bottom w:w="60" w:type="dxa"/>
              <w:right w:w="60" w:type="dxa"/>
            </w:tcMar>
            <w:hideMark/>
          </w:tcPr>
          <w:p w14:paraId="23643A11" w14:textId="77777777" w:rsidR="00870EDD" w:rsidRPr="00013F5D" w:rsidRDefault="00870EDD" w:rsidP="00CD52AA">
            <w:pPr>
              <w:jc w:val="center"/>
              <w:rPr>
                <w:sz w:val="20"/>
                <w:szCs w:val="20"/>
              </w:rPr>
            </w:pPr>
            <w:r w:rsidRPr="00013F5D">
              <w:rPr>
                <w:sz w:val="20"/>
                <w:szCs w:val="20"/>
              </w:rPr>
              <w:t>6.85</w:t>
            </w:r>
          </w:p>
        </w:tc>
        <w:tc>
          <w:tcPr>
            <w:tcW w:w="2228" w:type="dxa"/>
            <w:tcMar>
              <w:top w:w="60" w:type="dxa"/>
              <w:left w:w="60" w:type="dxa"/>
              <w:bottom w:w="60" w:type="dxa"/>
              <w:right w:w="60" w:type="dxa"/>
            </w:tcMar>
            <w:hideMark/>
          </w:tcPr>
          <w:p w14:paraId="5714528D" w14:textId="77777777" w:rsidR="00870EDD" w:rsidRPr="00013F5D" w:rsidRDefault="00870EDD" w:rsidP="00CD52AA">
            <w:pPr>
              <w:jc w:val="center"/>
              <w:rPr>
                <w:sz w:val="20"/>
                <w:szCs w:val="20"/>
              </w:rPr>
            </w:pPr>
            <w:r w:rsidRPr="00013F5D">
              <w:rPr>
                <w:sz w:val="20"/>
                <w:szCs w:val="20"/>
              </w:rPr>
              <w:t>14.97</w:t>
            </w:r>
          </w:p>
        </w:tc>
      </w:tr>
      <w:tr w:rsidR="00870EDD" w:rsidRPr="00013F5D" w14:paraId="73E2B368" w14:textId="77777777" w:rsidTr="00CD52AA">
        <w:trPr>
          <w:trHeight w:val="172"/>
        </w:trPr>
        <w:tc>
          <w:tcPr>
            <w:tcW w:w="1872" w:type="dxa"/>
            <w:tcMar>
              <w:top w:w="60" w:type="dxa"/>
              <w:left w:w="60" w:type="dxa"/>
              <w:bottom w:w="60" w:type="dxa"/>
              <w:right w:w="60" w:type="dxa"/>
            </w:tcMar>
            <w:hideMark/>
          </w:tcPr>
          <w:p w14:paraId="0EF6EAB0" w14:textId="77777777" w:rsidR="00870EDD" w:rsidRPr="00013F5D" w:rsidRDefault="00870EDD" w:rsidP="00CD52AA">
            <w:pPr>
              <w:rPr>
                <w:sz w:val="20"/>
                <w:szCs w:val="20"/>
              </w:rPr>
            </w:pPr>
            <w:r w:rsidRPr="00013F5D">
              <w:rPr>
                <w:b/>
                <w:bCs/>
                <w:sz w:val="20"/>
                <w:szCs w:val="20"/>
              </w:rPr>
              <w:t>ACE</w:t>
            </w:r>
          </w:p>
        </w:tc>
        <w:tc>
          <w:tcPr>
            <w:tcW w:w="2203" w:type="dxa"/>
            <w:tcMar>
              <w:top w:w="60" w:type="dxa"/>
              <w:left w:w="60" w:type="dxa"/>
              <w:bottom w:w="60" w:type="dxa"/>
              <w:right w:w="60" w:type="dxa"/>
            </w:tcMar>
            <w:hideMark/>
          </w:tcPr>
          <w:p w14:paraId="31960E4C" w14:textId="77777777" w:rsidR="00870EDD" w:rsidRPr="00013F5D" w:rsidRDefault="00870EDD" w:rsidP="00CD52AA">
            <w:pPr>
              <w:jc w:val="center"/>
              <w:rPr>
                <w:sz w:val="20"/>
                <w:szCs w:val="20"/>
              </w:rPr>
            </w:pPr>
            <w:r w:rsidRPr="00013F5D">
              <w:rPr>
                <w:sz w:val="20"/>
                <w:szCs w:val="20"/>
              </w:rPr>
              <w:t>645.88</w:t>
            </w:r>
          </w:p>
        </w:tc>
        <w:tc>
          <w:tcPr>
            <w:tcW w:w="2414" w:type="dxa"/>
            <w:tcMar>
              <w:top w:w="60" w:type="dxa"/>
              <w:left w:w="60" w:type="dxa"/>
              <w:bottom w:w="60" w:type="dxa"/>
              <w:right w:w="60" w:type="dxa"/>
            </w:tcMar>
            <w:hideMark/>
          </w:tcPr>
          <w:p w14:paraId="64AF4177" w14:textId="77777777" w:rsidR="00870EDD" w:rsidRPr="00013F5D" w:rsidRDefault="00870EDD" w:rsidP="00CD52AA">
            <w:pPr>
              <w:jc w:val="center"/>
              <w:rPr>
                <w:sz w:val="20"/>
                <w:szCs w:val="20"/>
              </w:rPr>
            </w:pPr>
            <w:r w:rsidRPr="00013F5D">
              <w:rPr>
                <w:sz w:val="20"/>
                <w:szCs w:val="20"/>
              </w:rPr>
              <w:t>394.14</w:t>
            </w:r>
          </w:p>
        </w:tc>
        <w:tc>
          <w:tcPr>
            <w:tcW w:w="2228" w:type="dxa"/>
            <w:tcMar>
              <w:top w:w="60" w:type="dxa"/>
              <w:left w:w="60" w:type="dxa"/>
              <w:bottom w:w="60" w:type="dxa"/>
              <w:right w:w="60" w:type="dxa"/>
            </w:tcMar>
            <w:hideMark/>
          </w:tcPr>
          <w:p w14:paraId="326F537D" w14:textId="77777777" w:rsidR="00870EDD" w:rsidRPr="00013F5D" w:rsidRDefault="00870EDD" w:rsidP="00CD52AA">
            <w:pPr>
              <w:jc w:val="center"/>
              <w:rPr>
                <w:sz w:val="20"/>
                <w:szCs w:val="20"/>
              </w:rPr>
            </w:pPr>
            <w:r w:rsidRPr="00013F5D">
              <w:rPr>
                <w:sz w:val="20"/>
                <w:szCs w:val="20"/>
              </w:rPr>
              <w:t>351.99</w:t>
            </w:r>
          </w:p>
        </w:tc>
      </w:tr>
      <w:tr w:rsidR="00870EDD" w:rsidRPr="00013F5D" w14:paraId="7CE0654B" w14:textId="77777777" w:rsidTr="00CD52AA">
        <w:trPr>
          <w:trHeight w:val="172"/>
        </w:trPr>
        <w:tc>
          <w:tcPr>
            <w:tcW w:w="1872" w:type="dxa"/>
            <w:tcMar>
              <w:top w:w="60" w:type="dxa"/>
              <w:left w:w="60" w:type="dxa"/>
              <w:bottom w:w="60" w:type="dxa"/>
              <w:right w:w="60" w:type="dxa"/>
            </w:tcMar>
            <w:hideMark/>
          </w:tcPr>
          <w:p w14:paraId="5B09842E" w14:textId="77777777" w:rsidR="00870EDD" w:rsidRPr="00013F5D" w:rsidRDefault="00870EDD" w:rsidP="00CD52AA">
            <w:pPr>
              <w:rPr>
                <w:sz w:val="20"/>
                <w:szCs w:val="20"/>
              </w:rPr>
            </w:pPr>
            <w:r w:rsidRPr="00013F5D">
              <w:rPr>
                <w:b/>
                <w:bCs/>
                <w:sz w:val="20"/>
                <w:szCs w:val="20"/>
              </w:rPr>
              <w:t>ACE  SE</w:t>
            </w:r>
          </w:p>
        </w:tc>
        <w:tc>
          <w:tcPr>
            <w:tcW w:w="2203" w:type="dxa"/>
            <w:tcMar>
              <w:top w:w="60" w:type="dxa"/>
              <w:left w:w="60" w:type="dxa"/>
              <w:bottom w:w="60" w:type="dxa"/>
              <w:right w:w="60" w:type="dxa"/>
            </w:tcMar>
            <w:hideMark/>
          </w:tcPr>
          <w:p w14:paraId="1720CC07" w14:textId="77777777" w:rsidR="00870EDD" w:rsidRPr="00013F5D" w:rsidRDefault="00870EDD" w:rsidP="00CD52AA">
            <w:pPr>
              <w:jc w:val="center"/>
              <w:rPr>
                <w:sz w:val="20"/>
                <w:szCs w:val="20"/>
              </w:rPr>
            </w:pPr>
            <w:r w:rsidRPr="00013F5D">
              <w:rPr>
                <w:sz w:val="20"/>
                <w:szCs w:val="20"/>
              </w:rPr>
              <w:t>11.27</w:t>
            </w:r>
          </w:p>
        </w:tc>
        <w:tc>
          <w:tcPr>
            <w:tcW w:w="2414" w:type="dxa"/>
            <w:tcMar>
              <w:top w:w="60" w:type="dxa"/>
              <w:left w:w="60" w:type="dxa"/>
              <w:bottom w:w="60" w:type="dxa"/>
              <w:right w:w="60" w:type="dxa"/>
            </w:tcMar>
            <w:hideMark/>
          </w:tcPr>
          <w:p w14:paraId="603FF0EC" w14:textId="77777777" w:rsidR="00870EDD" w:rsidRPr="00013F5D" w:rsidRDefault="00870EDD" w:rsidP="00CD52AA">
            <w:pPr>
              <w:jc w:val="center"/>
              <w:rPr>
                <w:sz w:val="20"/>
                <w:szCs w:val="20"/>
              </w:rPr>
            </w:pPr>
            <w:r w:rsidRPr="00013F5D">
              <w:rPr>
                <w:sz w:val="20"/>
                <w:szCs w:val="20"/>
              </w:rPr>
              <w:t>9.22</w:t>
            </w:r>
          </w:p>
        </w:tc>
        <w:tc>
          <w:tcPr>
            <w:tcW w:w="2228" w:type="dxa"/>
            <w:tcMar>
              <w:top w:w="60" w:type="dxa"/>
              <w:left w:w="60" w:type="dxa"/>
              <w:bottom w:w="60" w:type="dxa"/>
              <w:right w:w="60" w:type="dxa"/>
            </w:tcMar>
            <w:hideMark/>
          </w:tcPr>
          <w:p w14:paraId="100A7969" w14:textId="77777777" w:rsidR="00870EDD" w:rsidRPr="00013F5D" w:rsidRDefault="00870EDD" w:rsidP="00CD52AA">
            <w:pPr>
              <w:jc w:val="center"/>
              <w:rPr>
                <w:sz w:val="20"/>
                <w:szCs w:val="20"/>
              </w:rPr>
            </w:pPr>
            <w:r w:rsidRPr="00013F5D">
              <w:rPr>
                <w:sz w:val="20"/>
                <w:szCs w:val="20"/>
              </w:rPr>
              <w:t>8.86</w:t>
            </w:r>
          </w:p>
        </w:tc>
      </w:tr>
      <w:tr w:rsidR="00870EDD" w:rsidRPr="00013F5D" w14:paraId="14F48A91" w14:textId="77777777" w:rsidTr="00CD52AA">
        <w:trPr>
          <w:trHeight w:val="172"/>
        </w:trPr>
        <w:tc>
          <w:tcPr>
            <w:tcW w:w="1872" w:type="dxa"/>
            <w:tcMar>
              <w:top w:w="60" w:type="dxa"/>
              <w:left w:w="60" w:type="dxa"/>
              <w:bottom w:w="60" w:type="dxa"/>
              <w:right w:w="60" w:type="dxa"/>
            </w:tcMar>
            <w:hideMark/>
          </w:tcPr>
          <w:p w14:paraId="479AD845" w14:textId="77777777" w:rsidR="00870EDD" w:rsidRPr="00013F5D" w:rsidRDefault="00870EDD" w:rsidP="00CD52AA">
            <w:pPr>
              <w:rPr>
                <w:sz w:val="20"/>
                <w:szCs w:val="20"/>
              </w:rPr>
            </w:pPr>
            <w:r w:rsidRPr="00013F5D">
              <w:rPr>
                <w:b/>
                <w:bCs/>
                <w:sz w:val="20"/>
                <w:szCs w:val="20"/>
              </w:rPr>
              <w:t>Shannon</w:t>
            </w:r>
          </w:p>
        </w:tc>
        <w:tc>
          <w:tcPr>
            <w:tcW w:w="2203" w:type="dxa"/>
            <w:tcMar>
              <w:top w:w="60" w:type="dxa"/>
              <w:left w:w="60" w:type="dxa"/>
              <w:bottom w:w="60" w:type="dxa"/>
              <w:right w:w="60" w:type="dxa"/>
            </w:tcMar>
            <w:hideMark/>
          </w:tcPr>
          <w:p w14:paraId="1A67A9CF" w14:textId="77777777" w:rsidR="00870EDD" w:rsidRPr="00013F5D" w:rsidRDefault="00870EDD" w:rsidP="00CD52AA">
            <w:pPr>
              <w:jc w:val="center"/>
              <w:rPr>
                <w:sz w:val="20"/>
                <w:szCs w:val="20"/>
              </w:rPr>
            </w:pPr>
            <w:r w:rsidRPr="00013F5D">
              <w:rPr>
                <w:sz w:val="20"/>
                <w:szCs w:val="20"/>
              </w:rPr>
              <w:t>6.02</w:t>
            </w:r>
          </w:p>
        </w:tc>
        <w:tc>
          <w:tcPr>
            <w:tcW w:w="2414" w:type="dxa"/>
            <w:tcMar>
              <w:top w:w="60" w:type="dxa"/>
              <w:left w:w="60" w:type="dxa"/>
              <w:bottom w:w="60" w:type="dxa"/>
              <w:right w:w="60" w:type="dxa"/>
            </w:tcMar>
            <w:hideMark/>
          </w:tcPr>
          <w:p w14:paraId="15EA1C67" w14:textId="77777777" w:rsidR="00870EDD" w:rsidRPr="00013F5D" w:rsidRDefault="00870EDD" w:rsidP="00CD52AA">
            <w:pPr>
              <w:jc w:val="center"/>
              <w:rPr>
                <w:sz w:val="20"/>
                <w:szCs w:val="20"/>
              </w:rPr>
            </w:pPr>
            <w:r w:rsidRPr="00013F5D">
              <w:rPr>
                <w:sz w:val="20"/>
                <w:szCs w:val="20"/>
              </w:rPr>
              <w:t>5.36</w:t>
            </w:r>
          </w:p>
        </w:tc>
        <w:tc>
          <w:tcPr>
            <w:tcW w:w="2228" w:type="dxa"/>
            <w:tcMar>
              <w:top w:w="60" w:type="dxa"/>
              <w:left w:w="60" w:type="dxa"/>
              <w:bottom w:w="60" w:type="dxa"/>
              <w:right w:w="60" w:type="dxa"/>
            </w:tcMar>
            <w:hideMark/>
          </w:tcPr>
          <w:p w14:paraId="515069B8" w14:textId="77777777" w:rsidR="00870EDD" w:rsidRPr="00013F5D" w:rsidRDefault="00870EDD" w:rsidP="00CD52AA">
            <w:pPr>
              <w:jc w:val="center"/>
              <w:rPr>
                <w:sz w:val="20"/>
                <w:szCs w:val="20"/>
              </w:rPr>
            </w:pPr>
            <w:r w:rsidRPr="00013F5D">
              <w:rPr>
                <w:sz w:val="20"/>
                <w:szCs w:val="20"/>
              </w:rPr>
              <w:t>5.31</w:t>
            </w:r>
          </w:p>
        </w:tc>
      </w:tr>
      <w:tr w:rsidR="00870EDD" w:rsidRPr="00013F5D" w14:paraId="74C283E7" w14:textId="77777777" w:rsidTr="00CD52AA">
        <w:trPr>
          <w:trHeight w:val="172"/>
        </w:trPr>
        <w:tc>
          <w:tcPr>
            <w:tcW w:w="1872" w:type="dxa"/>
            <w:tcMar>
              <w:top w:w="60" w:type="dxa"/>
              <w:left w:w="60" w:type="dxa"/>
              <w:bottom w:w="60" w:type="dxa"/>
              <w:right w:w="60" w:type="dxa"/>
            </w:tcMar>
            <w:hideMark/>
          </w:tcPr>
          <w:p w14:paraId="0474A489" w14:textId="77777777" w:rsidR="00870EDD" w:rsidRPr="00013F5D" w:rsidRDefault="00870EDD" w:rsidP="00CD52AA">
            <w:pPr>
              <w:rPr>
                <w:sz w:val="20"/>
                <w:szCs w:val="20"/>
              </w:rPr>
            </w:pPr>
            <w:r w:rsidRPr="00013F5D">
              <w:rPr>
                <w:b/>
                <w:bCs/>
                <w:sz w:val="20"/>
                <w:szCs w:val="20"/>
              </w:rPr>
              <w:t>Simpson</w:t>
            </w:r>
          </w:p>
        </w:tc>
        <w:tc>
          <w:tcPr>
            <w:tcW w:w="2203" w:type="dxa"/>
            <w:tcMar>
              <w:top w:w="60" w:type="dxa"/>
              <w:left w:w="60" w:type="dxa"/>
              <w:bottom w:w="60" w:type="dxa"/>
              <w:right w:w="60" w:type="dxa"/>
            </w:tcMar>
            <w:hideMark/>
          </w:tcPr>
          <w:p w14:paraId="09D8D6AB" w14:textId="77777777" w:rsidR="00870EDD" w:rsidRPr="00013F5D" w:rsidRDefault="00870EDD" w:rsidP="00CD52AA">
            <w:pPr>
              <w:jc w:val="center"/>
              <w:rPr>
                <w:sz w:val="20"/>
                <w:szCs w:val="20"/>
              </w:rPr>
            </w:pPr>
            <w:r w:rsidRPr="00013F5D">
              <w:rPr>
                <w:sz w:val="20"/>
                <w:szCs w:val="20"/>
              </w:rPr>
              <w:t>0.99</w:t>
            </w:r>
          </w:p>
        </w:tc>
        <w:tc>
          <w:tcPr>
            <w:tcW w:w="2414" w:type="dxa"/>
            <w:tcMar>
              <w:top w:w="60" w:type="dxa"/>
              <w:left w:w="60" w:type="dxa"/>
              <w:bottom w:w="60" w:type="dxa"/>
              <w:right w:w="60" w:type="dxa"/>
            </w:tcMar>
            <w:hideMark/>
          </w:tcPr>
          <w:p w14:paraId="5EB008C1" w14:textId="77777777" w:rsidR="00870EDD" w:rsidRPr="00013F5D" w:rsidRDefault="00870EDD" w:rsidP="00CD52AA">
            <w:pPr>
              <w:jc w:val="center"/>
              <w:rPr>
                <w:sz w:val="20"/>
                <w:szCs w:val="20"/>
              </w:rPr>
            </w:pPr>
            <w:r w:rsidRPr="00013F5D">
              <w:rPr>
                <w:sz w:val="20"/>
                <w:szCs w:val="20"/>
              </w:rPr>
              <w:t>0.98</w:t>
            </w:r>
          </w:p>
        </w:tc>
        <w:tc>
          <w:tcPr>
            <w:tcW w:w="2228" w:type="dxa"/>
            <w:tcMar>
              <w:top w:w="60" w:type="dxa"/>
              <w:left w:w="60" w:type="dxa"/>
              <w:bottom w:w="60" w:type="dxa"/>
              <w:right w:w="60" w:type="dxa"/>
            </w:tcMar>
            <w:hideMark/>
          </w:tcPr>
          <w:p w14:paraId="224CBB84" w14:textId="77777777" w:rsidR="00870EDD" w:rsidRPr="00013F5D" w:rsidRDefault="00870EDD" w:rsidP="00CD52AA">
            <w:pPr>
              <w:jc w:val="center"/>
              <w:rPr>
                <w:sz w:val="20"/>
                <w:szCs w:val="20"/>
              </w:rPr>
            </w:pPr>
            <w:r w:rsidRPr="00013F5D">
              <w:rPr>
                <w:sz w:val="20"/>
                <w:szCs w:val="20"/>
              </w:rPr>
              <w:t>0.99</w:t>
            </w:r>
          </w:p>
        </w:tc>
      </w:tr>
      <w:tr w:rsidR="00870EDD" w:rsidRPr="00013F5D" w14:paraId="2EAEC170" w14:textId="77777777" w:rsidTr="00CD52AA">
        <w:trPr>
          <w:trHeight w:val="172"/>
        </w:trPr>
        <w:tc>
          <w:tcPr>
            <w:tcW w:w="1872" w:type="dxa"/>
            <w:tcMar>
              <w:top w:w="60" w:type="dxa"/>
              <w:left w:w="60" w:type="dxa"/>
              <w:bottom w:w="60" w:type="dxa"/>
              <w:right w:w="60" w:type="dxa"/>
            </w:tcMar>
            <w:hideMark/>
          </w:tcPr>
          <w:p w14:paraId="654B23A9" w14:textId="77777777" w:rsidR="00870EDD" w:rsidRPr="00013F5D" w:rsidRDefault="00870EDD" w:rsidP="00CD52AA">
            <w:pPr>
              <w:rPr>
                <w:sz w:val="20"/>
                <w:szCs w:val="20"/>
              </w:rPr>
            </w:pPr>
            <w:r w:rsidRPr="00013F5D">
              <w:rPr>
                <w:b/>
                <w:bCs/>
                <w:sz w:val="20"/>
                <w:szCs w:val="20"/>
              </w:rPr>
              <w:t>InvSimpson</w:t>
            </w:r>
          </w:p>
        </w:tc>
        <w:tc>
          <w:tcPr>
            <w:tcW w:w="2203" w:type="dxa"/>
            <w:tcMar>
              <w:top w:w="60" w:type="dxa"/>
              <w:left w:w="60" w:type="dxa"/>
              <w:bottom w:w="60" w:type="dxa"/>
              <w:right w:w="60" w:type="dxa"/>
            </w:tcMar>
            <w:hideMark/>
          </w:tcPr>
          <w:p w14:paraId="0EA3F638" w14:textId="77777777" w:rsidR="00870EDD" w:rsidRPr="00013F5D" w:rsidRDefault="00870EDD" w:rsidP="00CD52AA">
            <w:pPr>
              <w:jc w:val="center"/>
              <w:rPr>
                <w:sz w:val="20"/>
                <w:szCs w:val="20"/>
              </w:rPr>
            </w:pPr>
            <w:r w:rsidRPr="00013F5D">
              <w:rPr>
                <w:sz w:val="20"/>
                <w:szCs w:val="20"/>
              </w:rPr>
              <w:t>331.05</w:t>
            </w:r>
          </w:p>
        </w:tc>
        <w:tc>
          <w:tcPr>
            <w:tcW w:w="2414" w:type="dxa"/>
            <w:tcMar>
              <w:top w:w="60" w:type="dxa"/>
              <w:left w:w="60" w:type="dxa"/>
              <w:bottom w:w="60" w:type="dxa"/>
              <w:right w:w="60" w:type="dxa"/>
            </w:tcMar>
            <w:hideMark/>
          </w:tcPr>
          <w:p w14:paraId="4329846E" w14:textId="77777777" w:rsidR="00870EDD" w:rsidRPr="00013F5D" w:rsidRDefault="00870EDD" w:rsidP="00CD52AA">
            <w:pPr>
              <w:jc w:val="center"/>
              <w:rPr>
                <w:sz w:val="20"/>
                <w:szCs w:val="20"/>
              </w:rPr>
            </w:pPr>
            <w:r w:rsidRPr="00013F5D">
              <w:rPr>
                <w:sz w:val="20"/>
                <w:szCs w:val="20"/>
              </w:rPr>
              <w:t>129.34</w:t>
            </w:r>
          </w:p>
        </w:tc>
        <w:tc>
          <w:tcPr>
            <w:tcW w:w="2228" w:type="dxa"/>
            <w:tcMar>
              <w:top w:w="60" w:type="dxa"/>
              <w:left w:w="60" w:type="dxa"/>
              <w:bottom w:w="60" w:type="dxa"/>
              <w:right w:w="60" w:type="dxa"/>
            </w:tcMar>
            <w:hideMark/>
          </w:tcPr>
          <w:p w14:paraId="2ACA51BE" w14:textId="77777777" w:rsidR="00870EDD" w:rsidRPr="00013F5D" w:rsidRDefault="00870EDD" w:rsidP="00CD52AA">
            <w:pPr>
              <w:jc w:val="center"/>
              <w:rPr>
                <w:sz w:val="20"/>
                <w:szCs w:val="20"/>
              </w:rPr>
            </w:pPr>
            <w:r w:rsidRPr="00013F5D">
              <w:rPr>
                <w:sz w:val="20"/>
                <w:szCs w:val="20"/>
              </w:rPr>
              <w:t>118.22</w:t>
            </w:r>
          </w:p>
        </w:tc>
      </w:tr>
      <w:tr w:rsidR="00870EDD" w:rsidRPr="00013F5D" w14:paraId="615C6BCC" w14:textId="77777777" w:rsidTr="00CD52AA">
        <w:trPr>
          <w:trHeight w:val="172"/>
        </w:trPr>
        <w:tc>
          <w:tcPr>
            <w:tcW w:w="1872" w:type="dxa"/>
            <w:tcBorders>
              <w:bottom w:val="single" w:sz="6" w:space="0" w:color="000000"/>
            </w:tcBorders>
            <w:tcMar>
              <w:top w:w="60" w:type="dxa"/>
              <w:left w:w="60" w:type="dxa"/>
              <w:bottom w:w="60" w:type="dxa"/>
              <w:right w:w="60" w:type="dxa"/>
            </w:tcMar>
            <w:hideMark/>
          </w:tcPr>
          <w:p w14:paraId="013FB03F" w14:textId="77777777" w:rsidR="00870EDD" w:rsidRPr="00013F5D" w:rsidRDefault="00870EDD" w:rsidP="00CD52AA">
            <w:pPr>
              <w:rPr>
                <w:sz w:val="20"/>
                <w:szCs w:val="20"/>
              </w:rPr>
            </w:pPr>
            <w:r w:rsidRPr="00013F5D">
              <w:rPr>
                <w:b/>
                <w:bCs/>
                <w:sz w:val="20"/>
                <w:szCs w:val="20"/>
              </w:rPr>
              <w:t>Fisher</w:t>
            </w:r>
          </w:p>
        </w:tc>
        <w:tc>
          <w:tcPr>
            <w:tcW w:w="2203" w:type="dxa"/>
            <w:tcBorders>
              <w:bottom w:val="single" w:sz="6" w:space="0" w:color="000000"/>
            </w:tcBorders>
            <w:tcMar>
              <w:top w:w="60" w:type="dxa"/>
              <w:left w:w="60" w:type="dxa"/>
              <w:bottom w:w="60" w:type="dxa"/>
              <w:right w:w="60" w:type="dxa"/>
            </w:tcMar>
            <w:hideMark/>
          </w:tcPr>
          <w:p w14:paraId="03590A1A" w14:textId="77777777" w:rsidR="00870EDD" w:rsidRPr="00013F5D" w:rsidRDefault="00870EDD" w:rsidP="00CD52AA">
            <w:pPr>
              <w:jc w:val="center"/>
              <w:rPr>
                <w:sz w:val="20"/>
                <w:szCs w:val="20"/>
              </w:rPr>
            </w:pPr>
            <w:r w:rsidRPr="00013F5D">
              <w:rPr>
                <w:sz w:val="20"/>
                <w:szCs w:val="20"/>
              </w:rPr>
              <w:t>135.57</w:t>
            </w:r>
          </w:p>
        </w:tc>
        <w:tc>
          <w:tcPr>
            <w:tcW w:w="2414" w:type="dxa"/>
            <w:tcBorders>
              <w:bottom w:val="single" w:sz="6" w:space="0" w:color="000000"/>
            </w:tcBorders>
            <w:tcMar>
              <w:top w:w="60" w:type="dxa"/>
              <w:left w:w="60" w:type="dxa"/>
              <w:bottom w:w="60" w:type="dxa"/>
              <w:right w:w="60" w:type="dxa"/>
            </w:tcMar>
            <w:hideMark/>
          </w:tcPr>
          <w:p w14:paraId="09E5372E" w14:textId="77777777" w:rsidR="00870EDD" w:rsidRPr="00013F5D" w:rsidRDefault="00870EDD" w:rsidP="00CD52AA">
            <w:pPr>
              <w:jc w:val="center"/>
              <w:rPr>
                <w:sz w:val="20"/>
                <w:szCs w:val="20"/>
              </w:rPr>
            </w:pPr>
            <w:r w:rsidRPr="00013F5D">
              <w:rPr>
                <w:sz w:val="20"/>
                <w:szCs w:val="20"/>
              </w:rPr>
              <w:t>81.42</w:t>
            </w:r>
          </w:p>
        </w:tc>
        <w:tc>
          <w:tcPr>
            <w:tcW w:w="2228" w:type="dxa"/>
            <w:tcBorders>
              <w:bottom w:val="single" w:sz="6" w:space="0" w:color="000000"/>
            </w:tcBorders>
            <w:tcMar>
              <w:top w:w="60" w:type="dxa"/>
              <w:left w:w="60" w:type="dxa"/>
              <w:bottom w:w="60" w:type="dxa"/>
              <w:right w:w="60" w:type="dxa"/>
            </w:tcMar>
            <w:hideMark/>
          </w:tcPr>
          <w:p w14:paraId="3982935F" w14:textId="77777777" w:rsidR="00870EDD" w:rsidRPr="00013F5D" w:rsidRDefault="00870EDD" w:rsidP="00CD52AA">
            <w:pPr>
              <w:jc w:val="center"/>
              <w:rPr>
                <w:sz w:val="20"/>
                <w:szCs w:val="20"/>
              </w:rPr>
            </w:pPr>
            <w:r w:rsidRPr="00013F5D">
              <w:rPr>
                <w:sz w:val="20"/>
                <w:szCs w:val="20"/>
              </w:rPr>
              <w:t>73.08</w:t>
            </w:r>
          </w:p>
        </w:tc>
      </w:tr>
    </w:tbl>
    <w:p w14:paraId="31A05DAF" w14:textId="77777777" w:rsidR="00C143C0" w:rsidRDefault="00C143C0" w:rsidP="00C143C0">
      <w:pPr>
        <w:shd w:val="clear" w:color="auto" w:fill="FFFFFF"/>
        <w:spacing w:before="100" w:beforeAutospacing="1" w:after="100" w:afterAutospacing="1" w:line="480" w:lineRule="auto"/>
        <w:jc w:val="both"/>
        <w:rPr>
          <w:color w:val="000000"/>
          <w:shd w:val="clear" w:color="auto" w:fill="FFFFFF"/>
          <w:lang w:val="en-US"/>
        </w:rPr>
      </w:pPr>
    </w:p>
    <w:p w14:paraId="7036BD9D" w14:textId="77777777" w:rsidR="00C143C0" w:rsidRDefault="00C143C0" w:rsidP="00C143C0">
      <w:pPr>
        <w:shd w:val="clear" w:color="auto" w:fill="FFFFFF"/>
        <w:spacing w:before="100" w:beforeAutospacing="1" w:after="100" w:afterAutospacing="1" w:line="480" w:lineRule="auto"/>
        <w:jc w:val="both"/>
        <w:rPr>
          <w:color w:val="000000"/>
          <w:shd w:val="clear" w:color="auto" w:fill="FFFFFF"/>
          <w:lang w:val="en-US"/>
        </w:rPr>
      </w:pPr>
    </w:p>
    <w:p w14:paraId="7F153554" w14:textId="1CC543C1" w:rsidR="00C143C0" w:rsidRDefault="00C143C0" w:rsidP="00C143C0">
      <w:pPr>
        <w:shd w:val="clear" w:color="auto" w:fill="FFFFFF"/>
        <w:spacing w:before="100" w:beforeAutospacing="1" w:after="100" w:afterAutospacing="1" w:line="480" w:lineRule="auto"/>
        <w:jc w:val="both"/>
        <w:rPr>
          <w:color w:val="000000"/>
          <w:shd w:val="clear" w:color="auto" w:fill="FFFFFF"/>
          <w:lang w:val="en-US"/>
        </w:rPr>
      </w:pPr>
    </w:p>
    <w:p w14:paraId="56C4F251" w14:textId="5C90F7E6" w:rsidR="00684C21" w:rsidRDefault="00684C21" w:rsidP="00C143C0">
      <w:pPr>
        <w:shd w:val="clear" w:color="auto" w:fill="FFFFFF"/>
        <w:spacing w:before="100" w:beforeAutospacing="1" w:after="100" w:afterAutospacing="1" w:line="480" w:lineRule="auto"/>
        <w:jc w:val="both"/>
        <w:rPr>
          <w:color w:val="000000"/>
          <w:shd w:val="clear" w:color="auto" w:fill="FFFFFF"/>
          <w:lang w:val="en-US"/>
        </w:rPr>
      </w:pPr>
    </w:p>
    <w:p w14:paraId="408310AA" w14:textId="77777777" w:rsidR="00684C21" w:rsidRDefault="00684C21" w:rsidP="00C143C0">
      <w:pPr>
        <w:shd w:val="clear" w:color="auto" w:fill="FFFFFF"/>
        <w:spacing w:before="100" w:beforeAutospacing="1" w:after="100" w:afterAutospacing="1" w:line="480" w:lineRule="auto"/>
        <w:jc w:val="both"/>
        <w:rPr>
          <w:color w:val="000000"/>
          <w:shd w:val="clear" w:color="auto" w:fill="FFFFFF"/>
          <w:lang w:val="en-US"/>
        </w:rPr>
      </w:pPr>
    </w:p>
    <w:p w14:paraId="6BABDD1C" w14:textId="0562237B" w:rsidR="00C143C0" w:rsidRDefault="006F23D2" w:rsidP="00C143C0">
      <w:pPr>
        <w:shd w:val="clear" w:color="auto" w:fill="FFFFFF"/>
        <w:spacing w:before="100" w:beforeAutospacing="1" w:after="100" w:afterAutospacing="1" w:line="480" w:lineRule="auto"/>
        <w:jc w:val="both"/>
        <w:rPr>
          <w:color w:val="000000"/>
          <w:shd w:val="clear" w:color="auto" w:fill="FFFFFF"/>
          <w:lang w:val="en-US"/>
        </w:rPr>
      </w:pPr>
      <w:r w:rsidRPr="001D4E67">
        <w:rPr>
          <w:b/>
          <w:bCs/>
          <w:lang w:val="en-US"/>
        </w:rPr>
        <w:lastRenderedPageBreak/>
        <w:t>Table 2.</w:t>
      </w:r>
      <w:r w:rsidRPr="001D4E67">
        <w:rPr>
          <w:lang w:val="en-US"/>
        </w:rPr>
        <w:t xml:space="preserve"> Indices of fungal diversity in soils with and without 22-Oxocholestanes SPGP4 treatments in maize and bean crops</w:t>
      </w:r>
      <w:r w:rsidRPr="001D4E67">
        <w:rPr>
          <w:b/>
          <w:bCs/>
          <w:lang w:val="en-US"/>
        </w:rPr>
        <w:t>.</w:t>
      </w:r>
    </w:p>
    <w:p w14:paraId="3B4E7648" w14:textId="77777777" w:rsidR="00C143C0" w:rsidRDefault="00C143C0" w:rsidP="00C143C0">
      <w:pPr>
        <w:shd w:val="clear" w:color="auto" w:fill="FFFFFF"/>
        <w:spacing w:before="100" w:beforeAutospacing="1" w:after="100" w:afterAutospacing="1" w:line="480" w:lineRule="auto"/>
        <w:jc w:val="both"/>
        <w:rPr>
          <w:color w:val="000000"/>
          <w:shd w:val="clear" w:color="auto" w:fill="FFFFFF"/>
          <w:lang w:val="en-US"/>
        </w:rPr>
      </w:pPr>
    </w:p>
    <w:p w14:paraId="4C1C6C6A" w14:textId="77777777" w:rsidR="00C143C0" w:rsidRDefault="00C143C0" w:rsidP="00C143C0">
      <w:pPr>
        <w:shd w:val="clear" w:color="auto" w:fill="FFFFFF"/>
        <w:spacing w:before="100" w:beforeAutospacing="1" w:after="100" w:afterAutospacing="1" w:line="480" w:lineRule="auto"/>
        <w:jc w:val="both"/>
        <w:rPr>
          <w:color w:val="000000"/>
          <w:shd w:val="clear" w:color="auto" w:fill="FFFFFF"/>
          <w:lang w:val="en-US"/>
        </w:rPr>
      </w:pPr>
    </w:p>
    <w:p w14:paraId="79780A8D" w14:textId="77777777" w:rsidR="00C143C0" w:rsidRPr="00881057" w:rsidRDefault="00C143C0" w:rsidP="00C143C0">
      <w:pPr>
        <w:shd w:val="clear" w:color="auto" w:fill="FFFFFF"/>
        <w:spacing w:before="100" w:beforeAutospacing="1" w:after="100" w:afterAutospacing="1" w:line="480" w:lineRule="auto"/>
        <w:jc w:val="both"/>
        <w:rPr>
          <w:b/>
          <w:bCs/>
          <w:color w:val="000000"/>
          <w:shd w:val="clear" w:color="auto" w:fill="FFFFFF"/>
          <w:lang w:val="en-US"/>
        </w:rPr>
      </w:pPr>
    </w:p>
    <w:p w14:paraId="5A8ADED4" w14:textId="37CB0A56" w:rsidR="001D4E67" w:rsidRDefault="001D4E67" w:rsidP="00C143C0">
      <w:pPr>
        <w:shd w:val="clear" w:color="auto" w:fill="FFFFFF"/>
        <w:spacing w:before="100" w:beforeAutospacing="1" w:after="100" w:afterAutospacing="1"/>
        <w:jc w:val="both"/>
        <w:rPr>
          <w:color w:val="000000"/>
          <w:shd w:val="clear" w:color="auto" w:fill="FFFFFF"/>
          <w:lang w:val="en-US"/>
        </w:rPr>
      </w:pPr>
    </w:p>
    <w:p w14:paraId="03585425" w14:textId="6EA0CD2E" w:rsidR="006F23D2" w:rsidRDefault="006F23D2" w:rsidP="00C143C0">
      <w:pPr>
        <w:shd w:val="clear" w:color="auto" w:fill="FFFFFF"/>
        <w:spacing w:before="100" w:beforeAutospacing="1" w:after="100" w:afterAutospacing="1"/>
        <w:jc w:val="both"/>
        <w:rPr>
          <w:color w:val="000000"/>
          <w:shd w:val="clear" w:color="auto" w:fill="FFFFFF"/>
          <w:lang w:val="en-US"/>
        </w:rPr>
      </w:pPr>
    </w:p>
    <w:p w14:paraId="07236DD8" w14:textId="40151AF3" w:rsidR="006F23D2" w:rsidRDefault="006F23D2" w:rsidP="00C143C0">
      <w:pPr>
        <w:shd w:val="clear" w:color="auto" w:fill="FFFFFF"/>
        <w:spacing w:before="100" w:beforeAutospacing="1" w:after="100" w:afterAutospacing="1"/>
        <w:jc w:val="both"/>
        <w:rPr>
          <w:b/>
          <w:bCs/>
          <w:lang w:val="en-US"/>
        </w:rPr>
      </w:pPr>
    </w:p>
    <w:p w14:paraId="2ADACEF6" w14:textId="7F2328FD" w:rsidR="00C143C0" w:rsidRDefault="00C143C0" w:rsidP="001D4E67">
      <w:pPr>
        <w:shd w:val="clear" w:color="auto" w:fill="FFFFFF"/>
        <w:spacing w:before="100" w:beforeAutospacing="1" w:after="100" w:afterAutospacing="1" w:line="480" w:lineRule="auto"/>
        <w:jc w:val="both"/>
        <w:rPr>
          <w:b/>
          <w:bCs/>
          <w:lang w:val="en-US"/>
        </w:rPr>
      </w:pPr>
    </w:p>
    <w:p w14:paraId="02E86CF2" w14:textId="29A83D48" w:rsidR="00684C21" w:rsidRDefault="00684C21" w:rsidP="001D4E67">
      <w:pPr>
        <w:shd w:val="clear" w:color="auto" w:fill="FFFFFF"/>
        <w:spacing w:before="100" w:beforeAutospacing="1" w:after="100" w:afterAutospacing="1" w:line="480" w:lineRule="auto"/>
        <w:jc w:val="both"/>
        <w:rPr>
          <w:b/>
          <w:bCs/>
          <w:lang w:val="en-US"/>
        </w:rPr>
      </w:pPr>
    </w:p>
    <w:p w14:paraId="3643C3EF" w14:textId="77777777" w:rsidR="00684C21" w:rsidRPr="001D4E67" w:rsidRDefault="00684C21" w:rsidP="001D4E67">
      <w:pPr>
        <w:shd w:val="clear" w:color="auto" w:fill="FFFFFF"/>
        <w:spacing w:before="100" w:beforeAutospacing="1" w:after="100" w:afterAutospacing="1" w:line="480" w:lineRule="auto"/>
        <w:jc w:val="both"/>
        <w:rPr>
          <w:b/>
          <w:bCs/>
          <w:lang w:val="en-US"/>
        </w:rPr>
      </w:pPr>
    </w:p>
    <w:tbl>
      <w:tblPr>
        <w:tblpPr w:leftFromText="141" w:rightFromText="141" w:vertAnchor="page" w:horzAnchor="page" w:tblpX="1920" w:tblpY="3285"/>
        <w:tblW w:w="0" w:type="auto"/>
        <w:tblCellMar>
          <w:left w:w="0" w:type="dxa"/>
          <w:right w:w="0" w:type="dxa"/>
        </w:tblCellMar>
        <w:tblLook w:val="04A0" w:firstRow="1" w:lastRow="0" w:firstColumn="1" w:lastColumn="0" w:noHBand="0" w:noVBand="1"/>
      </w:tblPr>
      <w:tblGrid>
        <w:gridCol w:w="1884"/>
        <w:gridCol w:w="2217"/>
        <w:gridCol w:w="2429"/>
        <w:gridCol w:w="2242"/>
      </w:tblGrid>
      <w:tr w:rsidR="0008739A" w:rsidRPr="00692A36" w14:paraId="1CEFA0A7" w14:textId="77777777" w:rsidTr="0008739A">
        <w:trPr>
          <w:trHeight w:val="172"/>
        </w:trPr>
        <w:tc>
          <w:tcPr>
            <w:tcW w:w="1884" w:type="dxa"/>
            <w:tcBorders>
              <w:top w:val="single" w:sz="6" w:space="0" w:color="000000"/>
              <w:bottom w:val="single" w:sz="6" w:space="0" w:color="000000"/>
            </w:tcBorders>
            <w:tcMar>
              <w:top w:w="60" w:type="dxa"/>
              <w:left w:w="60" w:type="dxa"/>
              <w:bottom w:w="60" w:type="dxa"/>
              <w:right w:w="60" w:type="dxa"/>
            </w:tcMar>
            <w:hideMark/>
          </w:tcPr>
          <w:p w14:paraId="0D6455F0" w14:textId="77777777" w:rsidR="0008739A" w:rsidRPr="00692A36" w:rsidRDefault="0008739A" w:rsidP="0008739A">
            <w:pPr>
              <w:jc w:val="center"/>
              <w:rPr>
                <w:sz w:val="20"/>
                <w:szCs w:val="20"/>
              </w:rPr>
            </w:pPr>
            <w:r w:rsidRPr="00692A36">
              <w:rPr>
                <w:b/>
                <w:bCs/>
                <w:sz w:val="20"/>
                <w:szCs w:val="20"/>
              </w:rPr>
              <w:t>Index</w:t>
            </w:r>
          </w:p>
        </w:tc>
        <w:tc>
          <w:tcPr>
            <w:tcW w:w="2217" w:type="dxa"/>
            <w:tcBorders>
              <w:top w:val="single" w:sz="6" w:space="0" w:color="000000"/>
              <w:left w:val="nil"/>
              <w:bottom w:val="single" w:sz="6" w:space="0" w:color="000000"/>
            </w:tcBorders>
            <w:tcMar>
              <w:top w:w="60" w:type="dxa"/>
              <w:left w:w="60" w:type="dxa"/>
              <w:bottom w:w="60" w:type="dxa"/>
              <w:right w:w="60" w:type="dxa"/>
            </w:tcMar>
            <w:hideMark/>
          </w:tcPr>
          <w:p w14:paraId="5D4189B7" w14:textId="77777777" w:rsidR="0008739A" w:rsidRPr="00692A36" w:rsidRDefault="0008739A" w:rsidP="0008739A">
            <w:pPr>
              <w:jc w:val="center"/>
              <w:rPr>
                <w:sz w:val="20"/>
                <w:szCs w:val="20"/>
              </w:rPr>
            </w:pPr>
            <w:r w:rsidRPr="00692A36">
              <w:rPr>
                <w:b/>
                <w:bCs/>
                <w:sz w:val="20"/>
                <w:szCs w:val="20"/>
              </w:rPr>
              <w:t>Basal</w:t>
            </w:r>
          </w:p>
        </w:tc>
        <w:tc>
          <w:tcPr>
            <w:tcW w:w="2429" w:type="dxa"/>
            <w:tcBorders>
              <w:top w:val="single" w:sz="6" w:space="0" w:color="000000"/>
              <w:left w:val="nil"/>
              <w:bottom w:val="single" w:sz="6" w:space="0" w:color="000000"/>
            </w:tcBorders>
            <w:tcMar>
              <w:top w:w="60" w:type="dxa"/>
              <w:left w:w="60" w:type="dxa"/>
              <w:bottom w:w="60" w:type="dxa"/>
              <w:right w:w="60" w:type="dxa"/>
            </w:tcMar>
            <w:hideMark/>
          </w:tcPr>
          <w:p w14:paraId="364D0DCB" w14:textId="77777777" w:rsidR="0008739A" w:rsidRPr="00692A36" w:rsidRDefault="0008739A" w:rsidP="0008739A">
            <w:pPr>
              <w:jc w:val="center"/>
              <w:rPr>
                <w:sz w:val="20"/>
                <w:szCs w:val="20"/>
              </w:rPr>
            </w:pPr>
            <w:r w:rsidRPr="00692A36">
              <w:rPr>
                <w:b/>
                <w:bCs/>
                <w:sz w:val="20"/>
                <w:szCs w:val="20"/>
              </w:rPr>
              <w:t>Control</w:t>
            </w:r>
          </w:p>
        </w:tc>
        <w:tc>
          <w:tcPr>
            <w:tcW w:w="2242" w:type="dxa"/>
            <w:tcBorders>
              <w:top w:val="single" w:sz="6" w:space="0" w:color="000000"/>
              <w:left w:val="nil"/>
              <w:bottom w:val="single" w:sz="6" w:space="0" w:color="000000"/>
            </w:tcBorders>
            <w:tcMar>
              <w:top w:w="60" w:type="dxa"/>
              <w:left w:w="60" w:type="dxa"/>
              <w:bottom w:w="60" w:type="dxa"/>
              <w:right w:w="60" w:type="dxa"/>
            </w:tcMar>
            <w:hideMark/>
          </w:tcPr>
          <w:p w14:paraId="4516F631" w14:textId="77777777" w:rsidR="0008739A" w:rsidRPr="00692A36" w:rsidRDefault="0008739A" w:rsidP="0008739A">
            <w:pPr>
              <w:jc w:val="center"/>
              <w:rPr>
                <w:sz w:val="20"/>
                <w:szCs w:val="20"/>
              </w:rPr>
            </w:pPr>
            <w:r w:rsidRPr="00692A36">
              <w:rPr>
                <w:b/>
                <w:bCs/>
                <w:sz w:val="20"/>
                <w:szCs w:val="20"/>
              </w:rPr>
              <w:t>Treatment</w:t>
            </w:r>
          </w:p>
        </w:tc>
      </w:tr>
      <w:tr w:rsidR="0008739A" w:rsidRPr="00692A36" w14:paraId="0CC5B399" w14:textId="77777777" w:rsidTr="0008739A">
        <w:trPr>
          <w:trHeight w:val="188"/>
        </w:trPr>
        <w:tc>
          <w:tcPr>
            <w:tcW w:w="1884" w:type="dxa"/>
            <w:tcBorders>
              <w:top w:val="single" w:sz="6" w:space="0" w:color="000000"/>
            </w:tcBorders>
            <w:tcMar>
              <w:top w:w="60" w:type="dxa"/>
              <w:left w:w="60" w:type="dxa"/>
              <w:bottom w:w="60" w:type="dxa"/>
              <w:right w:w="60" w:type="dxa"/>
            </w:tcMar>
            <w:hideMark/>
          </w:tcPr>
          <w:p w14:paraId="2FF2DAE5" w14:textId="77777777" w:rsidR="0008739A" w:rsidRPr="00692A36" w:rsidRDefault="0008739A" w:rsidP="0008739A">
            <w:pPr>
              <w:rPr>
                <w:sz w:val="20"/>
                <w:szCs w:val="20"/>
              </w:rPr>
            </w:pPr>
            <w:r w:rsidRPr="00692A36">
              <w:rPr>
                <w:b/>
                <w:bCs/>
                <w:sz w:val="20"/>
                <w:szCs w:val="20"/>
              </w:rPr>
              <w:t>Observed</w:t>
            </w:r>
          </w:p>
        </w:tc>
        <w:tc>
          <w:tcPr>
            <w:tcW w:w="2217" w:type="dxa"/>
            <w:tcBorders>
              <w:top w:val="single" w:sz="6" w:space="0" w:color="000000"/>
              <w:left w:val="nil"/>
            </w:tcBorders>
            <w:tcMar>
              <w:top w:w="60" w:type="dxa"/>
              <w:left w:w="60" w:type="dxa"/>
              <w:bottom w:w="60" w:type="dxa"/>
              <w:right w:w="60" w:type="dxa"/>
            </w:tcMar>
            <w:hideMark/>
          </w:tcPr>
          <w:p w14:paraId="12C44DD3" w14:textId="77777777" w:rsidR="0008739A" w:rsidRPr="00692A36" w:rsidRDefault="0008739A" w:rsidP="0008739A">
            <w:pPr>
              <w:jc w:val="center"/>
              <w:rPr>
                <w:sz w:val="20"/>
                <w:szCs w:val="20"/>
              </w:rPr>
            </w:pPr>
            <w:r w:rsidRPr="00692A36">
              <w:rPr>
                <w:sz w:val="20"/>
                <w:szCs w:val="20"/>
                <w:lang w:eastAsia="es-CO"/>
              </w:rPr>
              <w:t>467.33</w:t>
            </w:r>
          </w:p>
        </w:tc>
        <w:tc>
          <w:tcPr>
            <w:tcW w:w="2429" w:type="dxa"/>
            <w:tcBorders>
              <w:top w:val="single" w:sz="6" w:space="0" w:color="000000"/>
              <w:left w:val="nil"/>
            </w:tcBorders>
            <w:tcMar>
              <w:top w:w="60" w:type="dxa"/>
              <w:left w:w="60" w:type="dxa"/>
              <w:bottom w:w="60" w:type="dxa"/>
              <w:right w:w="60" w:type="dxa"/>
            </w:tcMar>
            <w:hideMark/>
          </w:tcPr>
          <w:p w14:paraId="0FEA47D6" w14:textId="77777777" w:rsidR="0008739A" w:rsidRPr="00692A36" w:rsidRDefault="0008739A" w:rsidP="0008739A">
            <w:pPr>
              <w:jc w:val="center"/>
              <w:rPr>
                <w:sz w:val="20"/>
                <w:szCs w:val="20"/>
              </w:rPr>
            </w:pPr>
            <w:r w:rsidRPr="00692A36">
              <w:rPr>
                <w:sz w:val="20"/>
                <w:szCs w:val="20"/>
                <w:lang w:eastAsia="es-CO"/>
              </w:rPr>
              <w:t>513.50</w:t>
            </w:r>
          </w:p>
        </w:tc>
        <w:tc>
          <w:tcPr>
            <w:tcW w:w="2242" w:type="dxa"/>
            <w:tcBorders>
              <w:top w:val="single" w:sz="6" w:space="0" w:color="000000"/>
              <w:left w:val="nil"/>
            </w:tcBorders>
            <w:tcMar>
              <w:top w:w="60" w:type="dxa"/>
              <w:left w:w="60" w:type="dxa"/>
              <w:bottom w:w="60" w:type="dxa"/>
              <w:right w:w="60" w:type="dxa"/>
            </w:tcMar>
            <w:hideMark/>
          </w:tcPr>
          <w:p w14:paraId="29D2885A" w14:textId="77777777" w:rsidR="0008739A" w:rsidRPr="00692A36" w:rsidRDefault="0008739A" w:rsidP="0008739A">
            <w:pPr>
              <w:jc w:val="center"/>
              <w:rPr>
                <w:sz w:val="20"/>
                <w:szCs w:val="20"/>
              </w:rPr>
            </w:pPr>
            <w:r w:rsidRPr="00692A36">
              <w:rPr>
                <w:sz w:val="20"/>
                <w:szCs w:val="20"/>
                <w:lang w:eastAsia="es-CO"/>
              </w:rPr>
              <w:t>531.66</w:t>
            </w:r>
          </w:p>
        </w:tc>
      </w:tr>
      <w:tr w:rsidR="0008739A" w:rsidRPr="00692A36" w14:paraId="6825CD7F" w14:textId="77777777" w:rsidTr="0008739A">
        <w:trPr>
          <w:trHeight w:val="172"/>
        </w:trPr>
        <w:tc>
          <w:tcPr>
            <w:tcW w:w="1884" w:type="dxa"/>
            <w:tcMar>
              <w:top w:w="60" w:type="dxa"/>
              <w:left w:w="60" w:type="dxa"/>
              <w:bottom w:w="60" w:type="dxa"/>
              <w:right w:w="60" w:type="dxa"/>
            </w:tcMar>
            <w:hideMark/>
          </w:tcPr>
          <w:p w14:paraId="1787B253" w14:textId="77777777" w:rsidR="0008739A" w:rsidRPr="00692A36" w:rsidRDefault="0008739A" w:rsidP="0008739A">
            <w:pPr>
              <w:rPr>
                <w:sz w:val="20"/>
                <w:szCs w:val="20"/>
              </w:rPr>
            </w:pPr>
            <w:r w:rsidRPr="00692A36">
              <w:rPr>
                <w:b/>
                <w:bCs/>
                <w:sz w:val="20"/>
                <w:szCs w:val="20"/>
              </w:rPr>
              <w:t>Chao1</w:t>
            </w:r>
          </w:p>
        </w:tc>
        <w:tc>
          <w:tcPr>
            <w:tcW w:w="2217" w:type="dxa"/>
            <w:tcBorders>
              <w:left w:val="nil"/>
            </w:tcBorders>
            <w:tcMar>
              <w:top w:w="60" w:type="dxa"/>
              <w:left w:w="60" w:type="dxa"/>
              <w:bottom w:w="60" w:type="dxa"/>
              <w:right w:w="60" w:type="dxa"/>
            </w:tcMar>
            <w:vAlign w:val="bottom"/>
            <w:hideMark/>
          </w:tcPr>
          <w:p w14:paraId="4BD0E767" w14:textId="77777777" w:rsidR="0008739A" w:rsidRPr="00692A36" w:rsidRDefault="0008739A" w:rsidP="0008739A">
            <w:pPr>
              <w:jc w:val="center"/>
              <w:rPr>
                <w:sz w:val="20"/>
                <w:szCs w:val="20"/>
              </w:rPr>
            </w:pPr>
            <w:r w:rsidRPr="00692A36">
              <w:rPr>
                <w:sz w:val="20"/>
                <w:szCs w:val="20"/>
                <w:lang w:eastAsia="es-CO"/>
              </w:rPr>
              <w:t>467.33</w:t>
            </w:r>
          </w:p>
        </w:tc>
        <w:tc>
          <w:tcPr>
            <w:tcW w:w="2429" w:type="dxa"/>
            <w:tcBorders>
              <w:left w:val="nil"/>
            </w:tcBorders>
            <w:tcMar>
              <w:top w:w="60" w:type="dxa"/>
              <w:left w:w="60" w:type="dxa"/>
              <w:bottom w:w="60" w:type="dxa"/>
              <w:right w:w="60" w:type="dxa"/>
            </w:tcMar>
            <w:vAlign w:val="bottom"/>
            <w:hideMark/>
          </w:tcPr>
          <w:p w14:paraId="284A3EAC" w14:textId="77777777" w:rsidR="0008739A" w:rsidRPr="00692A36" w:rsidRDefault="0008739A" w:rsidP="0008739A">
            <w:pPr>
              <w:jc w:val="center"/>
              <w:rPr>
                <w:sz w:val="20"/>
                <w:szCs w:val="20"/>
              </w:rPr>
            </w:pPr>
            <w:r w:rsidRPr="00692A36">
              <w:rPr>
                <w:sz w:val="20"/>
                <w:szCs w:val="20"/>
                <w:lang w:eastAsia="es-CO"/>
              </w:rPr>
              <w:t>513.55</w:t>
            </w:r>
          </w:p>
        </w:tc>
        <w:tc>
          <w:tcPr>
            <w:tcW w:w="2242" w:type="dxa"/>
            <w:tcBorders>
              <w:left w:val="nil"/>
            </w:tcBorders>
            <w:tcMar>
              <w:top w:w="60" w:type="dxa"/>
              <w:left w:w="60" w:type="dxa"/>
              <w:bottom w:w="60" w:type="dxa"/>
              <w:right w:w="60" w:type="dxa"/>
            </w:tcMar>
            <w:vAlign w:val="bottom"/>
            <w:hideMark/>
          </w:tcPr>
          <w:p w14:paraId="435327AC" w14:textId="77777777" w:rsidR="0008739A" w:rsidRPr="00692A36" w:rsidRDefault="0008739A" w:rsidP="0008739A">
            <w:pPr>
              <w:jc w:val="center"/>
              <w:rPr>
                <w:sz w:val="20"/>
                <w:szCs w:val="20"/>
              </w:rPr>
            </w:pPr>
            <w:r w:rsidRPr="00692A36">
              <w:rPr>
                <w:sz w:val="20"/>
                <w:szCs w:val="20"/>
                <w:lang w:eastAsia="es-CO"/>
              </w:rPr>
              <w:t>531.66</w:t>
            </w:r>
          </w:p>
        </w:tc>
      </w:tr>
      <w:tr w:rsidR="0008739A" w:rsidRPr="00692A36" w14:paraId="02A9B923" w14:textId="77777777" w:rsidTr="0008739A">
        <w:trPr>
          <w:trHeight w:val="172"/>
        </w:trPr>
        <w:tc>
          <w:tcPr>
            <w:tcW w:w="1884" w:type="dxa"/>
            <w:tcMar>
              <w:top w:w="60" w:type="dxa"/>
              <w:left w:w="60" w:type="dxa"/>
              <w:bottom w:w="60" w:type="dxa"/>
              <w:right w:w="60" w:type="dxa"/>
            </w:tcMar>
            <w:hideMark/>
          </w:tcPr>
          <w:p w14:paraId="0D495D14" w14:textId="77777777" w:rsidR="0008739A" w:rsidRPr="00692A36" w:rsidRDefault="0008739A" w:rsidP="0008739A">
            <w:pPr>
              <w:rPr>
                <w:sz w:val="20"/>
                <w:szCs w:val="20"/>
              </w:rPr>
            </w:pPr>
            <w:r w:rsidRPr="00692A36">
              <w:rPr>
                <w:b/>
                <w:bCs/>
                <w:sz w:val="20"/>
                <w:szCs w:val="20"/>
              </w:rPr>
              <w:t>Chao1 SE</w:t>
            </w:r>
          </w:p>
        </w:tc>
        <w:tc>
          <w:tcPr>
            <w:tcW w:w="2217" w:type="dxa"/>
            <w:tcBorders>
              <w:left w:val="nil"/>
            </w:tcBorders>
            <w:tcMar>
              <w:top w:w="60" w:type="dxa"/>
              <w:left w:w="60" w:type="dxa"/>
              <w:bottom w:w="60" w:type="dxa"/>
              <w:right w:w="60" w:type="dxa"/>
            </w:tcMar>
            <w:vAlign w:val="bottom"/>
            <w:hideMark/>
          </w:tcPr>
          <w:p w14:paraId="528476DF" w14:textId="77777777" w:rsidR="0008739A" w:rsidRPr="00692A36" w:rsidRDefault="0008739A" w:rsidP="0008739A">
            <w:pPr>
              <w:jc w:val="center"/>
              <w:rPr>
                <w:sz w:val="20"/>
                <w:szCs w:val="20"/>
              </w:rPr>
            </w:pPr>
            <w:r w:rsidRPr="00692A36">
              <w:rPr>
                <w:sz w:val="20"/>
                <w:szCs w:val="20"/>
                <w:lang w:eastAsia="es-CO"/>
              </w:rPr>
              <w:t>0</w:t>
            </w:r>
          </w:p>
        </w:tc>
        <w:tc>
          <w:tcPr>
            <w:tcW w:w="2429" w:type="dxa"/>
            <w:tcBorders>
              <w:left w:val="nil"/>
            </w:tcBorders>
            <w:tcMar>
              <w:top w:w="60" w:type="dxa"/>
              <w:left w:w="60" w:type="dxa"/>
              <w:bottom w:w="60" w:type="dxa"/>
              <w:right w:w="60" w:type="dxa"/>
            </w:tcMar>
            <w:vAlign w:val="bottom"/>
            <w:hideMark/>
          </w:tcPr>
          <w:p w14:paraId="3ED1221A" w14:textId="77777777" w:rsidR="0008739A" w:rsidRPr="00692A36" w:rsidRDefault="0008739A" w:rsidP="0008739A">
            <w:pPr>
              <w:jc w:val="center"/>
              <w:rPr>
                <w:sz w:val="20"/>
                <w:szCs w:val="20"/>
              </w:rPr>
            </w:pPr>
            <w:r w:rsidRPr="00692A36">
              <w:rPr>
                <w:sz w:val="20"/>
                <w:szCs w:val="20"/>
                <w:lang w:eastAsia="es-CO"/>
              </w:rPr>
              <w:t>0.17</w:t>
            </w:r>
          </w:p>
        </w:tc>
        <w:tc>
          <w:tcPr>
            <w:tcW w:w="2242" w:type="dxa"/>
            <w:tcBorders>
              <w:left w:val="nil"/>
            </w:tcBorders>
            <w:tcMar>
              <w:top w:w="60" w:type="dxa"/>
              <w:left w:w="60" w:type="dxa"/>
              <w:bottom w:w="60" w:type="dxa"/>
              <w:right w:w="60" w:type="dxa"/>
            </w:tcMar>
            <w:vAlign w:val="bottom"/>
            <w:hideMark/>
          </w:tcPr>
          <w:p w14:paraId="78161828" w14:textId="77777777" w:rsidR="0008739A" w:rsidRPr="00692A36" w:rsidRDefault="0008739A" w:rsidP="0008739A">
            <w:pPr>
              <w:jc w:val="center"/>
              <w:rPr>
                <w:sz w:val="20"/>
                <w:szCs w:val="20"/>
              </w:rPr>
            </w:pPr>
            <w:r w:rsidRPr="00692A36">
              <w:rPr>
                <w:sz w:val="20"/>
                <w:szCs w:val="20"/>
                <w:lang w:eastAsia="es-CO"/>
              </w:rPr>
              <w:t>0</w:t>
            </w:r>
          </w:p>
        </w:tc>
      </w:tr>
      <w:tr w:rsidR="0008739A" w:rsidRPr="00692A36" w14:paraId="384E61DC" w14:textId="77777777" w:rsidTr="0008739A">
        <w:trPr>
          <w:trHeight w:val="172"/>
        </w:trPr>
        <w:tc>
          <w:tcPr>
            <w:tcW w:w="1884" w:type="dxa"/>
            <w:tcMar>
              <w:top w:w="60" w:type="dxa"/>
              <w:left w:w="60" w:type="dxa"/>
              <w:bottom w:w="60" w:type="dxa"/>
              <w:right w:w="60" w:type="dxa"/>
            </w:tcMar>
            <w:hideMark/>
          </w:tcPr>
          <w:p w14:paraId="443017E8" w14:textId="77777777" w:rsidR="0008739A" w:rsidRPr="00692A36" w:rsidRDefault="0008739A" w:rsidP="0008739A">
            <w:pPr>
              <w:rPr>
                <w:sz w:val="20"/>
                <w:szCs w:val="20"/>
              </w:rPr>
            </w:pPr>
            <w:r w:rsidRPr="00692A36">
              <w:rPr>
                <w:b/>
                <w:bCs/>
                <w:sz w:val="20"/>
                <w:szCs w:val="20"/>
              </w:rPr>
              <w:t>ACE</w:t>
            </w:r>
          </w:p>
        </w:tc>
        <w:tc>
          <w:tcPr>
            <w:tcW w:w="2217" w:type="dxa"/>
            <w:tcBorders>
              <w:left w:val="nil"/>
            </w:tcBorders>
            <w:tcMar>
              <w:top w:w="60" w:type="dxa"/>
              <w:left w:w="60" w:type="dxa"/>
              <w:bottom w:w="60" w:type="dxa"/>
              <w:right w:w="60" w:type="dxa"/>
            </w:tcMar>
            <w:vAlign w:val="bottom"/>
            <w:hideMark/>
          </w:tcPr>
          <w:p w14:paraId="0411EEDD" w14:textId="77777777" w:rsidR="0008739A" w:rsidRPr="00692A36" w:rsidRDefault="0008739A" w:rsidP="0008739A">
            <w:pPr>
              <w:jc w:val="center"/>
              <w:rPr>
                <w:sz w:val="20"/>
                <w:szCs w:val="20"/>
              </w:rPr>
            </w:pPr>
            <w:r w:rsidRPr="00692A36">
              <w:rPr>
                <w:sz w:val="20"/>
                <w:szCs w:val="20"/>
                <w:lang w:eastAsia="es-CO"/>
              </w:rPr>
              <w:t>467.33</w:t>
            </w:r>
          </w:p>
        </w:tc>
        <w:tc>
          <w:tcPr>
            <w:tcW w:w="2429" w:type="dxa"/>
            <w:tcBorders>
              <w:left w:val="nil"/>
            </w:tcBorders>
            <w:tcMar>
              <w:top w:w="60" w:type="dxa"/>
              <w:left w:w="60" w:type="dxa"/>
              <w:bottom w:w="60" w:type="dxa"/>
              <w:right w:w="60" w:type="dxa"/>
            </w:tcMar>
            <w:vAlign w:val="bottom"/>
            <w:hideMark/>
          </w:tcPr>
          <w:p w14:paraId="3F0534A8" w14:textId="77777777" w:rsidR="0008739A" w:rsidRPr="00692A36" w:rsidRDefault="0008739A" w:rsidP="0008739A">
            <w:pPr>
              <w:jc w:val="center"/>
              <w:rPr>
                <w:sz w:val="20"/>
                <w:szCs w:val="20"/>
              </w:rPr>
            </w:pPr>
            <w:r w:rsidRPr="00692A36">
              <w:rPr>
                <w:sz w:val="20"/>
                <w:szCs w:val="20"/>
                <w:lang w:eastAsia="es-CO"/>
              </w:rPr>
              <w:t>513.61</w:t>
            </w:r>
          </w:p>
        </w:tc>
        <w:tc>
          <w:tcPr>
            <w:tcW w:w="2242" w:type="dxa"/>
            <w:tcBorders>
              <w:left w:val="nil"/>
            </w:tcBorders>
            <w:tcMar>
              <w:top w:w="60" w:type="dxa"/>
              <w:left w:w="60" w:type="dxa"/>
              <w:bottom w:w="60" w:type="dxa"/>
              <w:right w:w="60" w:type="dxa"/>
            </w:tcMar>
            <w:vAlign w:val="bottom"/>
            <w:hideMark/>
          </w:tcPr>
          <w:p w14:paraId="45C1D67D" w14:textId="77777777" w:rsidR="0008739A" w:rsidRPr="00692A36" w:rsidRDefault="0008739A" w:rsidP="0008739A">
            <w:pPr>
              <w:jc w:val="center"/>
              <w:rPr>
                <w:sz w:val="20"/>
                <w:szCs w:val="20"/>
              </w:rPr>
            </w:pPr>
            <w:r w:rsidRPr="00692A36">
              <w:rPr>
                <w:sz w:val="20"/>
                <w:szCs w:val="20"/>
                <w:lang w:eastAsia="es-CO"/>
              </w:rPr>
              <w:t>531.66</w:t>
            </w:r>
          </w:p>
        </w:tc>
      </w:tr>
      <w:tr w:rsidR="0008739A" w:rsidRPr="00692A36" w14:paraId="7E66FE02" w14:textId="77777777" w:rsidTr="0008739A">
        <w:trPr>
          <w:trHeight w:val="172"/>
        </w:trPr>
        <w:tc>
          <w:tcPr>
            <w:tcW w:w="1884" w:type="dxa"/>
            <w:tcMar>
              <w:top w:w="60" w:type="dxa"/>
              <w:left w:w="60" w:type="dxa"/>
              <w:bottom w:w="60" w:type="dxa"/>
              <w:right w:w="60" w:type="dxa"/>
            </w:tcMar>
            <w:hideMark/>
          </w:tcPr>
          <w:p w14:paraId="320D16B4" w14:textId="77777777" w:rsidR="0008739A" w:rsidRPr="00692A36" w:rsidRDefault="0008739A" w:rsidP="0008739A">
            <w:pPr>
              <w:rPr>
                <w:sz w:val="20"/>
                <w:szCs w:val="20"/>
              </w:rPr>
            </w:pPr>
            <w:r w:rsidRPr="00692A36">
              <w:rPr>
                <w:b/>
                <w:bCs/>
                <w:sz w:val="20"/>
                <w:szCs w:val="20"/>
              </w:rPr>
              <w:t>ACE SE</w:t>
            </w:r>
          </w:p>
        </w:tc>
        <w:tc>
          <w:tcPr>
            <w:tcW w:w="2217" w:type="dxa"/>
            <w:tcBorders>
              <w:left w:val="nil"/>
            </w:tcBorders>
            <w:tcMar>
              <w:top w:w="60" w:type="dxa"/>
              <w:left w:w="60" w:type="dxa"/>
              <w:bottom w:w="60" w:type="dxa"/>
              <w:right w:w="60" w:type="dxa"/>
            </w:tcMar>
            <w:vAlign w:val="bottom"/>
            <w:hideMark/>
          </w:tcPr>
          <w:p w14:paraId="3B2CD2CE" w14:textId="77777777" w:rsidR="0008739A" w:rsidRPr="00692A36" w:rsidRDefault="0008739A" w:rsidP="0008739A">
            <w:pPr>
              <w:jc w:val="center"/>
              <w:rPr>
                <w:sz w:val="20"/>
                <w:szCs w:val="20"/>
              </w:rPr>
            </w:pPr>
            <w:r w:rsidRPr="00692A36">
              <w:rPr>
                <w:sz w:val="20"/>
                <w:szCs w:val="20"/>
                <w:lang w:eastAsia="es-CO"/>
              </w:rPr>
              <w:t>8.69</w:t>
            </w:r>
          </w:p>
        </w:tc>
        <w:tc>
          <w:tcPr>
            <w:tcW w:w="2429" w:type="dxa"/>
            <w:tcBorders>
              <w:left w:val="nil"/>
            </w:tcBorders>
            <w:tcMar>
              <w:top w:w="60" w:type="dxa"/>
              <w:left w:w="60" w:type="dxa"/>
              <w:bottom w:w="60" w:type="dxa"/>
              <w:right w:w="60" w:type="dxa"/>
            </w:tcMar>
            <w:vAlign w:val="bottom"/>
            <w:hideMark/>
          </w:tcPr>
          <w:p w14:paraId="419FF364" w14:textId="77777777" w:rsidR="0008739A" w:rsidRPr="00692A36" w:rsidRDefault="0008739A" w:rsidP="0008739A">
            <w:pPr>
              <w:jc w:val="center"/>
              <w:rPr>
                <w:sz w:val="20"/>
                <w:szCs w:val="20"/>
              </w:rPr>
            </w:pPr>
            <w:r w:rsidRPr="00692A36">
              <w:rPr>
                <w:sz w:val="20"/>
                <w:szCs w:val="20"/>
                <w:lang w:eastAsia="es-CO"/>
              </w:rPr>
              <w:t>8.67</w:t>
            </w:r>
          </w:p>
        </w:tc>
        <w:tc>
          <w:tcPr>
            <w:tcW w:w="2242" w:type="dxa"/>
            <w:tcBorders>
              <w:left w:val="nil"/>
            </w:tcBorders>
            <w:tcMar>
              <w:top w:w="60" w:type="dxa"/>
              <w:left w:w="60" w:type="dxa"/>
              <w:bottom w:w="60" w:type="dxa"/>
              <w:right w:w="60" w:type="dxa"/>
            </w:tcMar>
            <w:vAlign w:val="bottom"/>
            <w:hideMark/>
          </w:tcPr>
          <w:p w14:paraId="304912E7" w14:textId="77777777" w:rsidR="0008739A" w:rsidRPr="00692A36" w:rsidRDefault="0008739A" w:rsidP="0008739A">
            <w:pPr>
              <w:jc w:val="center"/>
              <w:rPr>
                <w:sz w:val="20"/>
                <w:szCs w:val="20"/>
              </w:rPr>
            </w:pPr>
            <w:r w:rsidRPr="00692A36">
              <w:rPr>
                <w:sz w:val="20"/>
                <w:szCs w:val="20"/>
                <w:lang w:eastAsia="es-CO"/>
              </w:rPr>
              <w:t>8.63</w:t>
            </w:r>
          </w:p>
        </w:tc>
      </w:tr>
      <w:tr w:rsidR="0008739A" w:rsidRPr="00692A36" w14:paraId="57E5FC48" w14:textId="77777777" w:rsidTr="0008739A">
        <w:trPr>
          <w:trHeight w:val="172"/>
        </w:trPr>
        <w:tc>
          <w:tcPr>
            <w:tcW w:w="1884" w:type="dxa"/>
            <w:tcMar>
              <w:top w:w="60" w:type="dxa"/>
              <w:left w:w="60" w:type="dxa"/>
              <w:bottom w:w="60" w:type="dxa"/>
              <w:right w:w="60" w:type="dxa"/>
            </w:tcMar>
            <w:hideMark/>
          </w:tcPr>
          <w:p w14:paraId="502B879D" w14:textId="77777777" w:rsidR="0008739A" w:rsidRPr="00692A36" w:rsidRDefault="0008739A" w:rsidP="0008739A">
            <w:pPr>
              <w:rPr>
                <w:sz w:val="20"/>
                <w:szCs w:val="20"/>
              </w:rPr>
            </w:pPr>
            <w:r w:rsidRPr="00692A36">
              <w:rPr>
                <w:b/>
                <w:bCs/>
                <w:sz w:val="20"/>
                <w:szCs w:val="20"/>
              </w:rPr>
              <w:t>Shannon</w:t>
            </w:r>
          </w:p>
        </w:tc>
        <w:tc>
          <w:tcPr>
            <w:tcW w:w="2217" w:type="dxa"/>
            <w:tcBorders>
              <w:left w:val="nil"/>
            </w:tcBorders>
            <w:tcMar>
              <w:top w:w="60" w:type="dxa"/>
              <w:left w:w="60" w:type="dxa"/>
              <w:bottom w:w="60" w:type="dxa"/>
              <w:right w:w="60" w:type="dxa"/>
            </w:tcMar>
            <w:vAlign w:val="bottom"/>
            <w:hideMark/>
          </w:tcPr>
          <w:p w14:paraId="30FE79AA" w14:textId="77777777" w:rsidR="0008739A" w:rsidRPr="00692A36" w:rsidRDefault="0008739A" w:rsidP="0008739A">
            <w:pPr>
              <w:jc w:val="center"/>
              <w:rPr>
                <w:sz w:val="20"/>
                <w:szCs w:val="20"/>
              </w:rPr>
            </w:pPr>
            <w:r w:rsidRPr="00692A36">
              <w:rPr>
                <w:sz w:val="20"/>
                <w:szCs w:val="20"/>
                <w:lang w:eastAsia="es-CO"/>
              </w:rPr>
              <w:t>4.34</w:t>
            </w:r>
          </w:p>
        </w:tc>
        <w:tc>
          <w:tcPr>
            <w:tcW w:w="2429" w:type="dxa"/>
            <w:tcBorders>
              <w:left w:val="nil"/>
            </w:tcBorders>
            <w:tcMar>
              <w:top w:w="60" w:type="dxa"/>
              <w:left w:w="60" w:type="dxa"/>
              <w:bottom w:w="60" w:type="dxa"/>
              <w:right w:w="60" w:type="dxa"/>
            </w:tcMar>
            <w:vAlign w:val="bottom"/>
            <w:hideMark/>
          </w:tcPr>
          <w:p w14:paraId="2D8E2A41" w14:textId="77777777" w:rsidR="0008739A" w:rsidRPr="00692A36" w:rsidRDefault="0008739A" w:rsidP="0008739A">
            <w:pPr>
              <w:jc w:val="center"/>
              <w:rPr>
                <w:sz w:val="20"/>
                <w:szCs w:val="20"/>
              </w:rPr>
            </w:pPr>
            <w:r w:rsidRPr="00692A36">
              <w:rPr>
                <w:sz w:val="20"/>
                <w:szCs w:val="20"/>
                <w:lang w:eastAsia="es-CO"/>
              </w:rPr>
              <w:t>3.72</w:t>
            </w:r>
          </w:p>
        </w:tc>
        <w:tc>
          <w:tcPr>
            <w:tcW w:w="2242" w:type="dxa"/>
            <w:tcBorders>
              <w:left w:val="nil"/>
            </w:tcBorders>
            <w:tcMar>
              <w:top w:w="60" w:type="dxa"/>
              <w:left w:w="60" w:type="dxa"/>
              <w:bottom w:w="60" w:type="dxa"/>
              <w:right w:w="60" w:type="dxa"/>
            </w:tcMar>
            <w:vAlign w:val="bottom"/>
            <w:hideMark/>
          </w:tcPr>
          <w:p w14:paraId="41F7BBA2" w14:textId="77777777" w:rsidR="0008739A" w:rsidRPr="00692A36" w:rsidRDefault="0008739A" w:rsidP="0008739A">
            <w:pPr>
              <w:jc w:val="center"/>
              <w:rPr>
                <w:sz w:val="20"/>
                <w:szCs w:val="20"/>
              </w:rPr>
            </w:pPr>
            <w:r w:rsidRPr="00692A36">
              <w:rPr>
                <w:sz w:val="20"/>
                <w:szCs w:val="20"/>
                <w:lang w:eastAsia="es-CO"/>
              </w:rPr>
              <w:t>3.64</w:t>
            </w:r>
          </w:p>
        </w:tc>
      </w:tr>
      <w:tr w:rsidR="0008739A" w:rsidRPr="00692A36" w14:paraId="0CB6C71A" w14:textId="77777777" w:rsidTr="0008739A">
        <w:trPr>
          <w:trHeight w:val="172"/>
        </w:trPr>
        <w:tc>
          <w:tcPr>
            <w:tcW w:w="1884" w:type="dxa"/>
            <w:tcMar>
              <w:top w:w="60" w:type="dxa"/>
              <w:left w:w="60" w:type="dxa"/>
              <w:bottom w:w="60" w:type="dxa"/>
              <w:right w:w="60" w:type="dxa"/>
            </w:tcMar>
            <w:hideMark/>
          </w:tcPr>
          <w:p w14:paraId="2D0C4C78" w14:textId="77777777" w:rsidR="0008739A" w:rsidRPr="00692A36" w:rsidRDefault="0008739A" w:rsidP="0008739A">
            <w:pPr>
              <w:rPr>
                <w:sz w:val="20"/>
                <w:szCs w:val="20"/>
              </w:rPr>
            </w:pPr>
            <w:r w:rsidRPr="00692A36">
              <w:rPr>
                <w:b/>
                <w:bCs/>
                <w:sz w:val="20"/>
                <w:szCs w:val="20"/>
              </w:rPr>
              <w:t>Simpson</w:t>
            </w:r>
          </w:p>
        </w:tc>
        <w:tc>
          <w:tcPr>
            <w:tcW w:w="2217" w:type="dxa"/>
            <w:tcBorders>
              <w:left w:val="nil"/>
            </w:tcBorders>
            <w:tcMar>
              <w:top w:w="60" w:type="dxa"/>
              <w:left w:w="60" w:type="dxa"/>
              <w:bottom w:w="60" w:type="dxa"/>
              <w:right w:w="60" w:type="dxa"/>
            </w:tcMar>
            <w:vAlign w:val="bottom"/>
            <w:hideMark/>
          </w:tcPr>
          <w:p w14:paraId="4BDE6A2A" w14:textId="77777777" w:rsidR="0008739A" w:rsidRPr="00692A36" w:rsidRDefault="0008739A" w:rsidP="0008739A">
            <w:pPr>
              <w:jc w:val="center"/>
              <w:rPr>
                <w:sz w:val="20"/>
                <w:szCs w:val="20"/>
              </w:rPr>
            </w:pPr>
            <w:r w:rsidRPr="00692A36">
              <w:rPr>
                <w:sz w:val="20"/>
                <w:szCs w:val="20"/>
                <w:lang w:eastAsia="es-CO"/>
              </w:rPr>
              <w:t>0.96</w:t>
            </w:r>
          </w:p>
        </w:tc>
        <w:tc>
          <w:tcPr>
            <w:tcW w:w="2429" w:type="dxa"/>
            <w:tcBorders>
              <w:left w:val="nil"/>
            </w:tcBorders>
            <w:tcMar>
              <w:top w:w="60" w:type="dxa"/>
              <w:left w:w="60" w:type="dxa"/>
              <w:bottom w:w="60" w:type="dxa"/>
              <w:right w:w="60" w:type="dxa"/>
            </w:tcMar>
            <w:vAlign w:val="bottom"/>
            <w:hideMark/>
          </w:tcPr>
          <w:p w14:paraId="2E9BAD8B" w14:textId="77777777" w:rsidR="0008739A" w:rsidRPr="00692A36" w:rsidRDefault="0008739A" w:rsidP="0008739A">
            <w:pPr>
              <w:jc w:val="center"/>
              <w:rPr>
                <w:sz w:val="20"/>
                <w:szCs w:val="20"/>
              </w:rPr>
            </w:pPr>
            <w:r w:rsidRPr="00692A36">
              <w:rPr>
                <w:sz w:val="20"/>
                <w:szCs w:val="20"/>
                <w:lang w:eastAsia="es-CO"/>
              </w:rPr>
              <w:t>0.89</w:t>
            </w:r>
          </w:p>
        </w:tc>
        <w:tc>
          <w:tcPr>
            <w:tcW w:w="2242" w:type="dxa"/>
            <w:tcBorders>
              <w:left w:val="nil"/>
            </w:tcBorders>
            <w:tcMar>
              <w:top w:w="60" w:type="dxa"/>
              <w:left w:w="60" w:type="dxa"/>
              <w:bottom w:w="60" w:type="dxa"/>
              <w:right w:w="60" w:type="dxa"/>
            </w:tcMar>
            <w:vAlign w:val="bottom"/>
            <w:hideMark/>
          </w:tcPr>
          <w:p w14:paraId="255D70A2" w14:textId="77777777" w:rsidR="0008739A" w:rsidRPr="00692A36" w:rsidRDefault="0008739A" w:rsidP="0008739A">
            <w:pPr>
              <w:jc w:val="center"/>
              <w:rPr>
                <w:sz w:val="20"/>
                <w:szCs w:val="20"/>
              </w:rPr>
            </w:pPr>
            <w:r w:rsidRPr="00692A36">
              <w:rPr>
                <w:sz w:val="20"/>
                <w:szCs w:val="20"/>
                <w:lang w:eastAsia="es-CO"/>
              </w:rPr>
              <w:t>0.89</w:t>
            </w:r>
          </w:p>
        </w:tc>
      </w:tr>
      <w:tr w:rsidR="0008739A" w:rsidRPr="00692A36" w14:paraId="7A09B0D7" w14:textId="77777777" w:rsidTr="0008739A">
        <w:trPr>
          <w:trHeight w:val="172"/>
        </w:trPr>
        <w:tc>
          <w:tcPr>
            <w:tcW w:w="1884" w:type="dxa"/>
            <w:tcMar>
              <w:top w:w="60" w:type="dxa"/>
              <w:left w:w="60" w:type="dxa"/>
              <w:bottom w:w="60" w:type="dxa"/>
              <w:right w:w="60" w:type="dxa"/>
            </w:tcMar>
            <w:hideMark/>
          </w:tcPr>
          <w:p w14:paraId="5B00F886" w14:textId="77777777" w:rsidR="0008739A" w:rsidRPr="00692A36" w:rsidRDefault="0008739A" w:rsidP="0008739A">
            <w:pPr>
              <w:rPr>
                <w:sz w:val="20"/>
                <w:szCs w:val="20"/>
              </w:rPr>
            </w:pPr>
            <w:r w:rsidRPr="00692A36">
              <w:rPr>
                <w:b/>
                <w:bCs/>
                <w:sz w:val="20"/>
                <w:szCs w:val="20"/>
              </w:rPr>
              <w:t>InvSimpson</w:t>
            </w:r>
          </w:p>
        </w:tc>
        <w:tc>
          <w:tcPr>
            <w:tcW w:w="2217" w:type="dxa"/>
            <w:tcBorders>
              <w:left w:val="nil"/>
            </w:tcBorders>
            <w:tcMar>
              <w:top w:w="60" w:type="dxa"/>
              <w:left w:w="60" w:type="dxa"/>
              <w:bottom w:w="60" w:type="dxa"/>
              <w:right w:w="60" w:type="dxa"/>
            </w:tcMar>
            <w:vAlign w:val="bottom"/>
            <w:hideMark/>
          </w:tcPr>
          <w:p w14:paraId="4F4B22D7" w14:textId="77777777" w:rsidR="0008739A" w:rsidRPr="00692A36" w:rsidRDefault="0008739A" w:rsidP="0008739A">
            <w:pPr>
              <w:jc w:val="center"/>
              <w:rPr>
                <w:sz w:val="20"/>
                <w:szCs w:val="20"/>
              </w:rPr>
            </w:pPr>
            <w:r w:rsidRPr="00692A36">
              <w:rPr>
                <w:sz w:val="20"/>
                <w:szCs w:val="20"/>
                <w:lang w:eastAsia="es-CO"/>
              </w:rPr>
              <w:t>36.79</w:t>
            </w:r>
          </w:p>
        </w:tc>
        <w:tc>
          <w:tcPr>
            <w:tcW w:w="2429" w:type="dxa"/>
            <w:tcBorders>
              <w:left w:val="nil"/>
            </w:tcBorders>
            <w:tcMar>
              <w:top w:w="60" w:type="dxa"/>
              <w:left w:w="60" w:type="dxa"/>
              <w:bottom w:w="60" w:type="dxa"/>
              <w:right w:w="60" w:type="dxa"/>
            </w:tcMar>
            <w:vAlign w:val="bottom"/>
            <w:hideMark/>
          </w:tcPr>
          <w:p w14:paraId="10847D1B" w14:textId="77777777" w:rsidR="0008739A" w:rsidRPr="00692A36" w:rsidRDefault="0008739A" w:rsidP="0008739A">
            <w:pPr>
              <w:jc w:val="center"/>
              <w:rPr>
                <w:sz w:val="20"/>
                <w:szCs w:val="20"/>
              </w:rPr>
            </w:pPr>
            <w:r w:rsidRPr="00692A36">
              <w:rPr>
                <w:sz w:val="20"/>
                <w:szCs w:val="20"/>
                <w:lang w:eastAsia="es-CO"/>
              </w:rPr>
              <w:t>11.26</w:t>
            </w:r>
          </w:p>
        </w:tc>
        <w:tc>
          <w:tcPr>
            <w:tcW w:w="2242" w:type="dxa"/>
            <w:tcBorders>
              <w:left w:val="nil"/>
            </w:tcBorders>
            <w:tcMar>
              <w:top w:w="60" w:type="dxa"/>
              <w:left w:w="60" w:type="dxa"/>
              <w:bottom w:w="60" w:type="dxa"/>
              <w:right w:w="60" w:type="dxa"/>
            </w:tcMar>
            <w:vAlign w:val="bottom"/>
            <w:hideMark/>
          </w:tcPr>
          <w:p w14:paraId="45C036F8" w14:textId="77777777" w:rsidR="0008739A" w:rsidRPr="00692A36" w:rsidRDefault="0008739A" w:rsidP="0008739A">
            <w:pPr>
              <w:jc w:val="center"/>
              <w:rPr>
                <w:sz w:val="20"/>
                <w:szCs w:val="20"/>
              </w:rPr>
            </w:pPr>
            <w:r w:rsidRPr="00692A36">
              <w:rPr>
                <w:sz w:val="20"/>
                <w:szCs w:val="20"/>
                <w:lang w:eastAsia="es-CO"/>
              </w:rPr>
              <w:t>14.77</w:t>
            </w:r>
          </w:p>
        </w:tc>
      </w:tr>
      <w:tr w:rsidR="0008739A" w:rsidRPr="00692A36" w14:paraId="756EB5EC" w14:textId="77777777" w:rsidTr="0008739A">
        <w:trPr>
          <w:trHeight w:val="172"/>
        </w:trPr>
        <w:tc>
          <w:tcPr>
            <w:tcW w:w="1884" w:type="dxa"/>
            <w:tcBorders>
              <w:bottom w:val="single" w:sz="6" w:space="0" w:color="000000"/>
            </w:tcBorders>
            <w:tcMar>
              <w:top w:w="60" w:type="dxa"/>
              <w:left w:w="60" w:type="dxa"/>
              <w:bottom w:w="60" w:type="dxa"/>
              <w:right w:w="60" w:type="dxa"/>
            </w:tcMar>
            <w:hideMark/>
          </w:tcPr>
          <w:p w14:paraId="60D225C2" w14:textId="77777777" w:rsidR="0008739A" w:rsidRPr="00692A36" w:rsidRDefault="0008739A" w:rsidP="0008739A">
            <w:pPr>
              <w:rPr>
                <w:sz w:val="20"/>
                <w:szCs w:val="20"/>
              </w:rPr>
            </w:pPr>
            <w:r w:rsidRPr="00692A36">
              <w:rPr>
                <w:b/>
                <w:bCs/>
                <w:sz w:val="20"/>
                <w:szCs w:val="20"/>
              </w:rPr>
              <w:t>Fisher</w:t>
            </w:r>
          </w:p>
        </w:tc>
        <w:tc>
          <w:tcPr>
            <w:tcW w:w="2217" w:type="dxa"/>
            <w:tcBorders>
              <w:left w:val="nil"/>
              <w:bottom w:val="single" w:sz="6" w:space="0" w:color="000000"/>
            </w:tcBorders>
            <w:tcMar>
              <w:top w:w="60" w:type="dxa"/>
              <w:left w:w="60" w:type="dxa"/>
              <w:bottom w:w="60" w:type="dxa"/>
              <w:right w:w="60" w:type="dxa"/>
            </w:tcMar>
            <w:vAlign w:val="bottom"/>
            <w:hideMark/>
          </w:tcPr>
          <w:p w14:paraId="78FF74D7" w14:textId="77777777" w:rsidR="0008739A" w:rsidRPr="00692A36" w:rsidRDefault="0008739A" w:rsidP="0008739A">
            <w:pPr>
              <w:jc w:val="center"/>
              <w:rPr>
                <w:sz w:val="20"/>
                <w:szCs w:val="20"/>
              </w:rPr>
            </w:pPr>
            <w:r w:rsidRPr="00692A36">
              <w:rPr>
                <w:sz w:val="20"/>
                <w:szCs w:val="20"/>
                <w:lang w:eastAsia="es-CO"/>
              </w:rPr>
              <w:t>61.95</w:t>
            </w:r>
          </w:p>
        </w:tc>
        <w:tc>
          <w:tcPr>
            <w:tcW w:w="2429" w:type="dxa"/>
            <w:tcBorders>
              <w:left w:val="nil"/>
              <w:bottom w:val="single" w:sz="6" w:space="0" w:color="000000"/>
            </w:tcBorders>
            <w:tcMar>
              <w:top w:w="60" w:type="dxa"/>
              <w:left w:w="60" w:type="dxa"/>
              <w:bottom w:w="60" w:type="dxa"/>
              <w:right w:w="60" w:type="dxa"/>
            </w:tcMar>
            <w:vAlign w:val="bottom"/>
            <w:hideMark/>
          </w:tcPr>
          <w:p w14:paraId="7B32557C" w14:textId="77777777" w:rsidR="0008739A" w:rsidRPr="00692A36" w:rsidRDefault="0008739A" w:rsidP="0008739A">
            <w:pPr>
              <w:jc w:val="center"/>
              <w:rPr>
                <w:sz w:val="20"/>
                <w:szCs w:val="20"/>
              </w:rPr>
            </w:pPr>
            <w:r w:rsidRPr="00692A36">
              <w:rPr>
                <w:sz w:val="20"/>
                <w:szCs w:val="20"/>
                <w:lang w:eastAsia="es-CO"/>
              </w:rPr>
              <w:t>64.03</w:t>
            </w:r>
          </w:p>
        </w:tc>
        <w:tc>
          <w:tcPr>
            <w:tcW w:w="2242" w:type="dxa"/>
            <w:tcBorders>
              <w:left w:val="nil"/>
              <w:bottom w:val="single" w:sz="6" w:space="0" w:color="000000"/>
            </w:tcBorders>
            <w:tcMar>
              <w:top w:w="60" w:type="dxa"/>
              <w:left w:w="60" w:type="dxa"/>
              <w:bottom w:w="60" w:type="dxa"/>
              <w:right w:w="60" w:type="dxa"/>
            </w:tcMar>
            <w:vAlign w:val="bottom"/>
            <w:hideMark/>
          </w:tcPr>
          <w:p w14:paraId="55068024" w14:textId="77777777" w:rsidR="0008739A" w:rsidRPr="00692A36" w:rsidRDefault="0008739A" w:rsidP="0008739A">
            <w:pPr>
              <w:jc w:val="center"/>
              <w:rPr>
                <w:sz w:val="20"/>
                <w:szCs w:val="20"/>
              </w:rPr>
            </w:pPr>
            <w:r w:rsidRPr="00692A36">
              <w:rPr>
                <w:sz w:val="20"/>
                <w:szCs w:val="20"/>
                <w:lang w:eastAsia="es-CO"/>
              </w:rPr>
              <w:t>64.60</w:t>
            </w:r>
          </w:p>
        </w:tc>
      </w:tr>
    </w:tbl>
    <w:p w14:paraId="57BEFD41" w14:textId="59A7395F" w:rsidR="005828FB" w:rsidRPr="006F23D2" w:rsidRDefault="001D4E67" w:rsidP="006F23D2">
      <w:pPr>
        <w:spacing w:line="480" w:lineRule="auto"/>
        <w:jc w:val="both"/>
        <w:rPr>
          <w:color w:val="000000"/>
          <w:shd w:val="clear" w:color="auto" w:fill="FFFFFF"/>
          <w:lang w:val="en-US"/>
        </w:rPr>
      </w:pPr>
      <w:r w:rsidRPr="00FB5C0E">
        <w:rPr>
          <w:b/>
          <w:bCs/>
          <w:lang w:val="en-US"/>
        </w:rPr>
        <w:lastRenderedPageBreak/>
        <w:t>Fig. 1.</w:t>
      </w:r>
      <w:r w:rsidRPr="00FB5C0E">
        <w:rPr>
          <w:lang w:val="en-US"/>
        </w:rPr>
        <w:t xml:space="preserve"> Rarefaction curves used to determine the richness of sequence species in maize and bean crop soils. UTS=Plot number. CC= Soils with compounds; SC= Soils without compounds. </w:t>
      </w:r>
      <w:r w:rsidRPr="00FB5C0E">
        <w:rPr>
          <w:b/>
          <w:bCs/>
          <w:lang w:val="en-US"/>
        </w:rPr>
        <w:t>a)</w:t>
      </w:r>
      <w:r w:rsidRPr="00FB5C0E">
        <w:rPr>
          <w:lang w:val="en-US"/>
        </w:rPr>
        <w:t xml:space="preserve"> 16S gene sequences </w:t>
      </w:r>
      <w:r w:rsidRPr="00FB5C0E">
        <w:rPr>
          <w:b/>
          <w:bCs/>
          <w:lang w:val="en-US"/>
        </w:rPr>
        <w:t>b)</w:t>
      </w:r>
      <w:r w:rsidRPr="00FB5C0E">
        <w:rPr>
          <w:lang w:val="en-US"/>
        </w:rPr>
        <w:t xml:space="preserve"> ITS sequences.</w:t>
      </w:r>
    </w:p>
    <w:p w14:paraId="1ABAF302" w14:textId="56D0322D" w:rsidR="0008739A" w:rsidRDefault="006F23D2" w:rsidP="006F23D2">
      <w:pPr>
        <w:rPr>
          <w:color w:val="111111"/>
          <w:lang w:val="en-US"/>
        </w:rPr>
      </w:pPr>
      <w:r>
        <w:rPr>
          <w:noProof/>
          <w:sz w:val="18"/>
          <w:szCs w:val="18"/>
        </w:rPr>
        <w:drawing>
          <wp:anchor distT="0" distB="0" distL="114300" distR="114300" simplePos="0" relativeHeight="251660800" behindDoc="1" locked="0" layoutInCell="1" allowOverlap="1" wp14:anchorId="5C08BDAF" wp14:editId="5EDFAF9A">
            <wp:simplePos x="0" y="0"/>
            <wp:positionH relativeFrom="column">
              <wp:posOffset>5715</wp:posOffset>
            </wp:positionH>
            <wp:positionV relativeFrom="paragraph">
              <wp:posOffset>322581</wp:posOffset>
            </wp:positionV>
            <wp:extent cx="5762625" cy="2264374"/>
            <wp:effectExtent l="0" t="0" r="0" b="3175"/>
            <wp:wrapNone/>
            <wp:docPr id="451648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48292" name="Imagen 451648292"/>
                    <pic:cNvPicPr/>
                  </pic:nvPicPr>
                  <pic:blipFill rotWithShape="1">
                    <a:blip r:embed="rId48" cstate="print">
                      <a:extLst>
                        <a:ext uri="{28A0092B-C50C-407E-A947-70E740481C1C}">
                          <a14:useLocalDpi xmlns:a14="http://schemas.microsoft.com/office/drawing/2010/main" val="0"/>
                        </a:ext>
                      </a:extLst>
                    </a:blip>
                    <a:srcRect/>
                    <a:stretch/>
                  </pic:blipFill>
                  <pic:spPr bwMode="auto">
                    <a:xfrm>
                      <a:off x="0" y="0"/>
                      <a:ext cx="5771181" cy="2267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6D0CFB" w14:textId="2548040D" w:rsidR="00C143C0" w:rsidRDefault="00C143C0" w:rsidP="006F23D2">
      <w:pPr>
        <w:rPr>
          <w:color w:val="111111"/>
          <w:lang w:val="en-US"/>
        </w:rPr>
      </w:pPr>
    </w:p>
    <w:p w14:paraId="5297E6F4" w14:textId="77777777" w:rsidR="00C143C0" w:rsidRDefault="00C143C0" w:rsidP="006F23D2">
      <w:pPr>
        <w:rPr>
          <w:color w:val="111111"/>
          <w:lang w:val="en-US"/>
        </w:rPr>
      </w:pPr>
    </w:p>
    <w:p w14:paraId="2883FC74" w14:textId="77777777" w:rsidR="00C143C0" w:rsidRDefault="00C143C0" w:rsidP="006F23D2">
      <w:pPr>
        <w:rPr>
          <w:color w:val="111111"/>
          <w:lang w:val="en-US"/>
        </w:rPr>
      </w:pPr>
    </w:p>
    <w:p w14:paraId="6A78B180" w14:textId="77777777" w:rsidR="00C143C0" w:rsidRDefault="00C143C0" w:rsidP="006F23D2">
      <w:pPr>
        <w:rPr>
          <w:color w:val="111111"/>
          <w:lang w:val="en-US"/>
        </w:rPr>
      </w:pPr>
    </w:p>
    <w:p w14:paraId="333E60A8" w14:textId="77777777" w:rsidR="00C143C0" w:rsidRPr="00FB5C0E" w:rsidRDefault="00C143C0" w:rsidP="006F23D2">
      <w:pPr>
        <w:rPr>
          <w:b/>
          <w:bCs/>
          <w:i/>
          <w:szCs w:val="20"/>
          <w:lang w:val="en-US"/>
        </w:rPr>
      </w:pPr>
    </w:p>
    <w:p w14:paraId="7B0EC8BF" w14:textId="77777777" w:rsidR="00C143C0" w:rsidRPr="00FB5C0E" w:rsidRDefault="00C143C0" w:rsidP="006F23D2">
      <w:pPr>
        <w:rPr>
          <w:b/>
          <w:bCs/>
          <w:i/>
          <w:szCs w:val="20"/>
          <w:lang w:val="en-US"/>
        </w:rPr>
      </w:pPr>
    </w:p>
    <w:p w14:paraId="01383EAD" w14:textId="77777777" w:rsidR="00C143C0" w:rsidRPr="00FB5C0E" w:rsidRDefault="00C143C0" w:rsidP="006F23D2">
      <w:pPr>
        <w:rPr>
          <w:b/>
          <w:bCs/>
          <w:i/>
          <w:szCs w:val="20"/>
          <w:lang w:val="en-US"/>
        </w:rPr>
      </w:pPr>
    </w:p>
    <w:p w14:paraId="2873266B" w14:textId="05A222EF" w:rsidR="00C143C0" w:rsidRPr="00FB5C0E" w:rsidRDefault="00C143C0" w:rsidP="006F23D2">
      <w:pPr>
        <w:rPr>
          <w:i/>
          <w:szCs w:val="20"/>
          <w:lang w:val="en-US"/>
        </w:rPr>
      </w:pPr>
    </w:p>
    <w:p w14:paraId="64959BCE" w14:textId="7B3F5027" w:rsidR="00C143C0" w:rsidRDefault="00C143C0" w:rsidP="006F23D2">
      <w:pPr>
        <w:spacing w:line="480" w:lineRule="auto"/>
        <w:rPr>
          <w:color w:val="111111"/>
          <w:lang w:val="en-US"/>
        </w:rPr>
      </w:pPr>
    </w:p>
    <w:p w14:paraId="46F2D69D" w14:textId="4F393AF4" w:rsidR="006F23D2" w:rsidRDefault="006F23D2" w:rsidP="006F23D2">
      <w:pPr>
        <w:spacing w:line="480" w:lineRule="auto"/>
        <w:rPr>
          <w:color w:val="111111"/>
          <w:lang w:val="en-US"/>
        </w:rPr>
      </w:pPr>
    </w:p>
    <w:p w14:paraId="619781A6" w14:textId="0C55A36F" w:rsidR="006F23D2" w:rsidRDefault="006F23D2" w:rsidP="006F23D2">
      <w:pPr>
        <w:spacing w:line="480" w:lineRule="auto"/>
        <w:rPr>
          <w:color w:val="111111"/>
          <w:lang w:val="en-US"/>
        </w:rPr>
      </w:pPr>
    </w:p>
    <w:p w14:paraId="4C6BA2E7" w14:textId="58555FFE" w:rsidR="006F23D2" w:rsidRDefault="006F23D2" w:rsidP="006F23D2">
      <w:pPr>
        <w:spacing w:line="480" w:lineRule="auto"/>
        <w:rPr>
          <w:color w:val="111111"/>
          <w:lang w:val="en-US"/>
        </w:rPr>
      </w:pPr>
    </w:p>
    <w:p w14:paraId="2540EAEB" w14:textId="60C06AF5" w:rsidR="006F23D2" w:rsidRDefault="006F23D2" w:rsidP="006F23D2">
      <w:pPr>
        <w:spacing w:line="480" w:lineRule="auto"/>
        <w:rPr>
          <w:color w:val="111111"/>
          <w:lang w:val="en-US"/>
        </w:rPr>
      </w:pPr>
    </w:p>
    <w:p w14:paraId="50D42F9D" w14:textId="7733887A" w:rsidR="00684C21" w:rsidRDefault="00684C21" w:rsidP="006F23D2">
      <w:pPr>
        <w:spacing w:line="480" w:lineRule="auto"/>
        <w:rPr>
          <w:color w:val="111111"/>
          <w:lang w:val="en-US"/>
        </w:rPr>
      </w:pPr>
    </w:p>
    <w:p w14:paraId="0F07A67C" w14:textId="338AA7C2" w:rsidR="00684C21" w:rsidRDefault="00684C21" w:rsidP="006F23D2">
      <w:pPr>
        <w:spacing w:line="480" w:lineRule="auto"/>
        <w:rPr>
          <w:color w:val="111111"/>
          <w:lang w:val="en-US"/>
        </w:rPr>
      </w:pPr>
    </w:p>
    <w:p w14:paraId="6952869B" w14:textId="1E02CCF1" w:rsidR="00684C21" w:rsidRDefault="00684C21" w:rsidP="006F23D2">
      <w:pPr>
        <w:spacing w:line="480" w:lineRule="auto"/>
        <w:rPr>
          <w:color w:val="111111"/>
          <w:lang w:val="en-US"/>
        </w:rPr>
      </w:pPr>
    </w:p>
    <w:p w14:paraId="6C7CEADA" w14:textId="0F4A9AF8" w:rsidR="00684C21" w:rsidRDefault="00684C21" w:rsidP="006F23D2">
      <w:pPr>
        <w:spacing w:line="480" w:lineRule="auto"/>
        <w:rPr>
          <w:color w:val="111111"/>
          <w:lang w:val="en-US"/>
        </w:rPr>
      </w:pPr>
    </w:p>
    <w:p w14:paraId="3C27D39E" w14:textId="1C048FA5" w:rsidR="00684C21" w:rsidRDefault="00684C21" w:rsidP="006F23D2">
      <w:pPr>
        <w:spacing w:line="480" w:lineRule="auto"/>
        <w:rPr>
          <w:color w:val="111111"/>
          <w:lang w:val="en-US"/>
        </w:rPr>
      </w:pPr>
    </w:p>
    <w:p w14:paraId="76076163" w14:textId="143018DD" w:rsidR="00684C21" w:rsidRDefault="00684C21" w:rsidP="006F23D2">
      <w:pPr>
        <w:spacing w:line="480" w:lineRule="auto"/>
        <w:rPr>
          <w:color w:val="111111"/>
          <w:lang w:val="en-US"/>
        </w:rPr>
      </w:pPr>
    </w:p>
    <w:p w14:paraId="1436A08B" w14:textId="77777777" w:rsidR="00684C21" w:rsidRDefault="00684C21" w:rsidP="006F23D2">
      <w:pPr>
        <w:spacing w:line="480" w:lineRule="auto"/>
        <w:rPr>
          <w:color w:val="111111"/>
          <w:lang w:val="en-US"/>
        </w:rPr>
      </w:pPr>
    </w:p>
    <w:p w14:paraId="701DA69A" w14:textId="3C8D4467" w:rsidR="00684C21" w:rsidRDefault="00684C21" w:rsidP="006F23D2">
      <w:pPr>
        <w:spacing w:line="480" w:lineRule="auto"/>
        <w:rPr>
          <w:color w:val="111111"/>
          <w:lang w:val="en-US"/>
        </w:rPr>
      </w:pPr>
    </w:p>
    <w:p w14:paraId="1285F0F9" w14:textId="77777777" w:rsidR="00684C21" w:rsidRDefault="00684C21" w:rsidP="006F23D2">
      <w:pPr>
        <w:spacing w:line="480" w:lineRule="auto"/>
        <w:rPr>
          <w:color w:val="111111"/>
          <w:lang w:val="en-US"/>
        </w:rPr>
      </w:pPr>
    </w:p>
    <w:p w14:paraId="5C24C5D4" w14:textId="77777777" w:rsidR="006F23D2" w:rsidRPr="006F23D2" w:rsidRDefault="006F23D2" w:rsidP="006F23D2">
      <w:pPr>
        <w:spacing w:line="480" w:lineRule="auto"/>
        <w:rPr>
          <w:color w:val="111111"/>
          <w:lang w:val="en-US"/>
        </w:rPr>
      </w:pPr>
    </w:p>
    <w:p w14:paraId="08322002" w14:textId="71AE6D65" w:rsidR="001D4E67" w:rsidRPr="00FB5C0E" w:rsidRDefault="006F23D2" w:rsidP="006F23D2">
      <w:pPr>
        <w:spacing w:line="480" w:lineRule="auto"/>
        <w:rPr>
          <w:b/>
          <w:lang w:val="en-US"/>
        </w:rPr>
      </w:pPr>
      <w:r w:rsidRPr="001D4E67">
        <w:rPr>
          <w:noProof/>
          <w:color w:val="111111"/>
          <w:lang w:val="en-US"/>
        </w:rPr>
        <w:lastRenderedPageBreak/>
        <w:drawing>
          <wp:anchor distT="0" distB="0" distL="114300" distR="114300" simplePos="0" relativeHeight="251661824" behindDoc="1" locked="0" layoutInCell="1" allowOverlap="1" wp14:anchorId="7C8E0022" wp14:editId="4BA7B108">
            <wp:simplePos x="0" y="0"/>
            <wp:positionH relativeFrom="margin">
              <wp:align>center</wp:align>
            </wp:positionH>
            <wp:positionV relativeFrom="paragraph">
              <wp:posOffset>689610</wp:posOffset>
            </wp:positionV>
            <wp:extent cx="5020812" cy="4723684"/>
            <wp:effectExtent l="0" t="0" r="8890" b="1270"/>
            <wp:wrapNone/>
            <wp:docPr id="1243557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57049" name=""/>
                    <pic:cNvPicPr/>
                  </pic:nvPicPr>
                  <pic:blipFill rotWithShape="1">
                    <a:blip r:embed="rId49" cstate="print">
                      <a:extLst>
                        <a:ext uri="{28A0092B-C50C-407E-A947-70E740481C1C}">
                          <a14:useLocalDpi xmlns:a14="http://schemas.microsoft.com/office/drawing/2010/main" val="0"/>
                        </a:ext>
                      </a:extLst>
                    </a:blip>
                    <a:srcRect/>
                    <a:stretch/>
                  </pic:blipFill>
                  <pic:spPr bwMode="auto">
                    <a:xfrm>
                      <a:off x="0" y="0"/>
                      <a:ext cx="5020812" cy="47236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4E67" w:rsidRPr="00FB5C0E">
        <w:rPr>
          <w:b/>
          <w:bCs/>
          <w:lang w:val="en-US"/>
        </w:rPr>
        <w:t>Fig. 2.</w:t>
      </w:r>
      <w:r w:rsidR="001D4E67" w:rsidRPr="00FB5C0E">
        <w:rPr>
          <w:lang w:val="en-US"/>
        </w:rPr>
        <w:t xml:space="preserve"> The alpha diversity of the bacterial and fungal communities of maize and bean crop soils. a) bacterial and b) fungal ASV.</w:t>
      </w:r>
    </w:p>
    <w:p w14:paraId="53F74A99" w14:textId="77777777" w:rsidR="005828FB" w:rsidRPr="001D4E67" w:rsidRDefault="005828FB" w:rsidP="006F23D2">
      <w:pPr>
        <w:rPr>
          <w:color w:val="111111"/>
          <w:lang w:val="en-US"/>
        </w:rPr>
      </w:pPr>
    </w:p>
    <w:p w14:paraId="50F5BEED" w14:textId="00CDC941" w:rsidR="00C143C0" w:rsidRPr="001D4E67" w:rsidRDefault="00C143C0" w:rsidP="006F23D2">
      <w:pPr>
        <w:rPr>
          <w:color w:val="111111"/>
          <w:lang w:val="en-US"/>
        </w:rPr>
      </w:pPr>
    </w:p>
    <w:p w14:paraId="7EAA60C9" w14:textId="2F20DAA1" w:rsidR="00C143C0" w:rsidRPr="001D4E67" w:rsidRDefault="00C143C0" w:rsidP="006F23D2">
      <w:pPr>
        <w:rPr>
          <w:color w:val="111111"/>
          <w:lang w:val="en-US"/>
        </w:rPr>
      </w:pPr>
    </w:p>
    <w:p w14:paraId="6950054A" w14:textId="0026C2DE" w:rsidR="00C143C0" w:rsidRPr="001D4E67" w:rsidRDefault="00C143C0" w:rsidP="006F23D2">
      <w:pPr>
        <w:rPr>
          <w:color w:val="111111"/>
          <w:lang w:val="en-US"/>
        </w:rPr>
      </w:pPr>
    </w:p>
    <w:p w14:paraId="3DE7D4E7" w14:textId="63DFC418" w:rsidR="00C143C0" w:rsidRPr="001D4E67" w:rsidRDefault="00C143C0" w:rsidP="006F23D2">
      <w:pPr>
        <w:rPr>
          <w:color w:val="111111"/>
          <w:lang w:val="en-US"/>
        </w:rPr>
      </w:pPr>
    </w:p>
    <w:p w14:paraId="01DF86C7" w14:textId="1E06D19B" w:rsidR="00C143C0" w:rsidRPr="001D4E67" w:rsidRDefault="00C143C0" w:rsidP="006F23D2">
      <w:pPr>
        <w:rPr>
          <w:color w:val="111111"/>
          <w:lang w:val="en-US"/>
        </w:rPr>
      </w:pPr>
    </w:p>
    <w:p w14:paraId="77422022" w14:textId="77777777" w:rsidR="00C143C0" w:rsidRPr="001D4E67" w:rsidRDefault="00C143C0" w:rsidP="006F23D2">
      <w:pPr>
        <w:rPr>
          <w:color w:val="111111"/>
          <w:lang w:val="en-US"/>
        </w:rPr>
      </w:pPr>
    </w:p>
    <w:p w14:paraId="3ED7C020" w14:textId="77777777" w:rsidR="00C143C0" w:rsidRPr="001D4E67" w:rsidRDefault="00C143C0" w:rsidP="006F23D2">
      <w:pPr>
        <w:rPr>
          <w:color w:val="111111"/>
          <w:lang w:val="en-US"/>
        </w:rPr>
      </w:pPr>
    </w:p>
    <w:p w14:paraId="75F25B45" w14:textId="77777777" w:rsidR="00C143C0" w:rsidRPr="00FB5C0E" w:rsidRDefault="00C143C0" w:rsidP="006F23D2">
      <w:pPr>
        <w:rPr>
          <w:lang w:val="en-US"/>
        </w:rPr>
      </w:pPr>
    </w:p>
    <w:p w14:paraId="6DA4697D" w14:textId="77777777" w:rsidR="00C143C0" w:rsidRPr="00FB5C0E" w:rsidRDefault="00C143C0" w:rsidP="006F23D2">
      <w:pPr>
        <w:rPr>
          <w:lang w:val="en-US"/>
        </w:rPr>
      </w:pPr>
    </w:p>
    <w:p w14:paraId="576FD153" w14:textId="77777777" w:rsidR="00C143C0" w:rsidRPr="00FB5C0E" w:rsidRDefault="00C143C0" w:rsidP="006F23D2">
      <w:pPr>
        <w:rPr>
          <w:lang w:val="en-US"/>
        </w:rPr>
      </w:pPr>
    </w:p>
    <w:p w14:paraId="77BE5329" w14:textId="77777777" w:rsidR="00C143C0" w:rsidRPr="00FB5C0E" w:rsidRDefault="00C143C0" w:rsidP="006F23D2">
      <w:pPr>
        <w:rPr>
          <w:lang w:val="en-US"/>
        </w:rPr>
      </w:pPr>
    </w:p>
    <w:p w14:paraId="5B894F51" w14:textId="77777777" w:rsidR="00C143C0" w:rsidRPr="00FB5C0E" w:rsidRDefault="00C143C0" w:rsidP="006F23D2">
      <w:pPr>
        <w:rPr>
          <w:lang w:val="en-US"/>
        </w:rPr>
      </w:pPr>
    </w:p>
    <w:p w14:paraId="5B504A8B" w14:textId="77777777" w:rsidR="00C143C0" w:rsidRPr="00FB5C0E" w:rsidRDefault="00C143C0" w:rsidP="006F23D2">
      <w:pPr>
        <w:rPr>
          <w:lang w:val="en-US"/>
        </w:rPr>
      </w:pPr>
    </w:p>
    <w:p w14:paraId="24464B62" w14:textId="77777777" w:rsidR="00C143C0" w:rsidRPr="00FB5C0E" w:rsidRDefault="00C143C0" w:rsidP="006F23D2">
      <w:pPr>
        <w:rPr>
          <w:lang w:val="en-US"/>
        </w:rPr>
      </w:pPr>
    </w:p>
    <w:p w14:paraId="37C6AFDD" w14:textId="09C6418B" w:rsidR="00C143C0" w:rsidRPr="00FB5C0E" w:rsidRDefault="00C143C0" w:rsidP="006F23D2">
      <w:pPr>
        <w:rPr>
          <w:lang w:val="en-US"/>
        </w:rPr>
      </w:pPr>
    </w:p>
    <w:p w14:paraId="15CD17B6" w14:textId="78136D04" w:rsidR="006F23D2" w:rsidRPr="00FB5C0E" w:rsidRDefault="006F23D2" w:rsidP="006F23D2">
      <w:pPr>
        <w:rPr>
          <w:lang w:val="en-US"/>
        </w:rPr>
      </w:pPr>
    </w:p>
    <w:p w14:paraId="1C4A32BC" w14:textId="65890892" w:rsidR="006F23D2" w:rsidRPr="00FB5C0E" w:rsidRDefault="006F23D2" w:rsidP="006F23D2">
      <w:pPr>
        <w:rPr>
          <w:lang w:val="en-US"/>
        </w:rPr>
      </w:pPr>
    </w:p>
    <w:p w14:paraId="551AC4AB" w14:textId="7EF7C915" w:rsidR="006F23D2" w:rsidRPr="00FB5C0E" w:rsidRDefault="006F23D2" w:rsidP="006F23D2">
      <w:pPr>
        <w:rPr>
          <w:lang w:val="en-US"/>
        </w:rPr>
      </w:pPr>
    </w:p>
    <w:p w14:paraId="02EA193A" w14:textId="69D67D71" w:rsidR="006F23D2" w:rsidRPr="00FB5C0E" w:rsidRDefault="006F23D2" w:rsidP="006F23D2">
      <w:pPr>
        <w:rPr>
          <w:lang w:val="en-US"/>
        </w:rPr>
      </w:pPr>
    </w:p>
    <w:p w14:paraId="64973ACF" w14:textId="377A33DC" w:rsidR="006F23D2" w:rsidRDefault="006F23D2" w:rsidP="006F23D2">
      <w:pPr>
        <w:rPr>
          <w:lang w:val="en-US"/>
        </w:rPr>
      </w:pPr>
    </w:p>
    <w:p w14:paraId="662449A0" w14:textId="19295CA3" w:rsidR="00684C21" w:rsidRDefault="00684C21" w:rsidP="006F23D2">
      <w:pPr>
        <w:rPr>
          <w:lang w:val="en-US"/>
        </w:rPr>
      </w:pPr>
    </w:p>
    <w:p w14:paraId="62D3A710" w14:textId="6CBD0673" w:rsidR="00684C21" w:rsidRDefault="00684C21" w:rsidP="006F23D2">
      <w:pPr>
        <w:rPr>
          <w:lang w:val="en-US"/>
        </w:rPr>
      </w:pPr>
    </w:p>
    <w:p w14:paraId="2AAD4A5D" w14:textId="550A8A81" w:rsidR="00684C21" w:rsidRDefault="00684C21" w:rsidP="006F23D2">
      <w:pPr>
        <w:rPr>
          <w:lang w:val="en-US"/>
        </w:rPr>
      </w:pPr>
    </w:p>
    <w:p w14:paraId="107063F6" w14:textId="42B799D3" w:rsidR="00684C21" w:rsidRDefault="00684C21" w:rsidP="006F23D2">
      <w:pPr>
        <w:rPr>
          <w:lang w:val="en-US"/>
        </w:rPr>
      </w:pPr>
    </w:p>
    <w:p w14:paraId="18951C1B" w14:textId="2B63F33A" w:rsidR="00684C21" w:rsidRDefault="00684C21" w:rsidP="006F23D2">
      <w:pPr>
        <w:rPr>
          <w:lang w:val="en-US"/>
        </w:rPr>
      </w:pPr>
    </w:p>
    <w:p w14:paraId="3476D37C" w14:textId="4D9C069A" w:rsidR="00684C21" w:rsidRDefault="00684C21" w:rsidP="006F23D2">
      <w:pPr>
        <w:rPr>
          <w:lang w:val="en-US"/>
        </w:rPr>
      </w:pPr>
    </w:p>
    <w:p w14:paraId="75B61184" w14:textId="64CAF168" w:rsidR="00684C21" w:rsidRDefault="00684C21" w:rsidP="006F23D2">
      <w:pPr>
        <w:rPr>
          <w:lang w:val="en-US"/>
        </w:rPr>
      </w:pPr>
    </w:p>
    <w:p w14:paraId="589C17BE" w14:textId="7747C29D" w:rsidR="00684C21" w:rsidRDefault="00684C21" w:rsidP="006F23D2">
      <w:pPr>
        <w:rPr>
          <w:lang w:val="en-US"/>
        </w:rPr>
      </w:pPr>
    </w:p>
    <w:p w14:paraId="17020523" w14:textId="438BCC2F" w:rsidR="00684C21" w:rsidRDefault="00684C21" w:rsidP="006F23D2">
      <w:pPr>
        <w:rPr>
          <w:lang w:val="en-US"/>
        </w:rPr>
      </w:pPr>
    </w:p>
    <w:p w14:paraId="6524F0F4" w14:textId="553C9E3A" w:rsidR="00684C21" w:rsidRDefault="00684C21" w:rsidP="006F23D2">
      <w:pPr>
        <w:rPr>
          <w:lang w:val="en-US"/>
        </w:rPr>
      </w:pPr>
    </w:p>
    <w:p w14:paraId="118EEBE4" w14:textId="32FC54FB" w:rsidR="00684C21" w:rsidRDefault="00684C21" w:rsidP="006F23D2">
      <w:pPr>
        <w:rPr>
          <w:lang w:val="en-US"/>
        </w:rPr>
      </w:pPr>
    </w:p>
    <w:p w14:paraId="15550225" w14:textId="793FFA90" w:rsidR="00684C21" w:rsidRDefault="00684C21" w:rsidP="006F23D2">
      <w:pPr>
        <w:rPr>
          <w:lang w:val="en-US"/>
        </w:rPr>
      </w:pPr>
    </w:p>
    <w:p w14:paraId="267C5E33" w14:textId="0C3695FC" w:rsidR="00684C21" w:rsidRDefault="00684C21" w:rsidP="006F23D2">
      <w:pPr>
        <w:rPr>
          <w:lang w:val="en-US"/>
        </w:rPr>
      </w:pPr>
    </w:p>
    <w:p w14:paraId="252494A7" w14:textId="076795AD" w:rsidR="00684C21" w:rsidRDefault="00684C21" w:rsidP="006F23D2">
      <w:pPr>
        <w:rPr>
          <w:lang w:val="en-US"/>
        </w:rPr>
      </w:pPr>
    </w:p>
    <w:p w14:paraId="2BE5BA82" w14:textId="2730CA98" w:rsidR="00684C21" w:rsidRDefault="00684C21" w:rsidP="006F23D2">
      <w:pPr>
        <w:rPr>
          <w:lang w:val="en-US"/>
        </w:rPr>
      </w:pPr>
    </w:p>
    <w:p w14:paraId="15D8F9FF" w14:textId="3FFB57C5" w:rsidR="00684C21" w:rsidRDefault="00684C21" w:rsidP="006F23D2">
      <w:pPr>
        <w:rPr>
          <w:lang w:val="en-US"/>
        </w:rPr>
      </w:pPr>
    </w:p>
    <w:p w14:paraId="2862F9E2" w14:textId="78191A5B" w:rsidR="00684C21" w:rsidRDefault="00684C21" w:rsidP="006F23D2">
      <w:pPr>
        <w:rPr>
          <w:lang w:val="en-US"/>
        </w:rPr>
      </w:pPr>
    </w:p>
    <w:p w14:paraId="76150B4B" w14:textId="205F2E5D" w:rsidR="00684C21" w:rsidRDefault="00684C21" w:rsidP="006F23D2">
      <w:pPr>
        <w:rPr>
          <w:lang w:val="en-US"/>
        </w:rPr>
      </w:pPr>
    </w:p>
    <w:p w14:paraId="7E8271D5" w14:textId="6D560697" w:rsidR="00684C21" w:rsidRDefault="00684C21" w:rsidP="006F23D2">
      <w:pPr>
        <w:rPr>
          <w:lang w:val="en-US"/>
        </w:rPr>
      </w:pPr>
    </w:p>
    <w:p w14:paraId="472CC814" w14:textId="77777777" w:rsidR="00684C21" w:rsidRPr="00FB5C0E" w:rsidRDefault="00684C21" w:rsidP="006F23D2">
      <w:pPr>
        <w:rPr>
          <w:lang w:val="en-US"/>
        </w:rPr>
      </w:pPr>
    </w:p>
    <w:p w14:paraId="63A9BE2C" w14:textId="77777777" w:rsidR="006F23D2" w:rsidRPr="00FB5C0E" w:rsidRDefault="006F23D2" w:rsidP="006F23D2">
      <w:pPr>
        <w:rPr>
          <w:lang w:val="en-US"/>
        </w:rPr>
      </w:pPr>
    </w:p>
    <w:p w14:paraId="5EE0070C" w14:textId="7E0909E9" w:rsidR="001D4E67" w:rsidRPr="006F23D2" w:rsidRDefault="001D4E67" w:rsidP="006F23D2">
      <w:pPr>
        <w:spacing w:line="480" w:lineRule="auto"/>
        <w:jc w:val="both"/>
        <w:rPr>
          <w:lang w:val="en-US"/>
        </w:rPr>
      </w:pPr>
      <w:r w:rsidRPr="006F23D2">
        <w:rPr>
          <w:b/>
          <w:bCs/>
          <w:lang w:val="en-US"/>
        </w:rPr>
        <w:t>Fig. 3</w:t>
      </w:r>
      <w:r w:rsidRPr="006F23D2">
        <w:rPr>
          <w:lang w:val="en-US"/>
        </w:rPr>
        <w:t xml:space="preserve"> Relative taxonomic abundance of bacterial ASVs in maize and bean crop soils: </w:t>
      </w:r>
      <w:r w:rsidRPr="006F23D2">
        <w:rPr>
          <w:b/>
          <w:bCs/>
          <w:lang w:val="en-US"/>
        </w:rPr>
        <w:t>a)</w:t>
      </w:r>
      <w:r w:rsidRPr="006F23D2">
        <w:rPr>
          <w:lang w:val="en-US"/>
        </w:rPr>
        <w:t xml:space="preserve"> Phylum, </w:t>
      </w:r>
      <w:r w:rsidRPr="006F23D2">
        <w:rPr>
          <w:b/>
          <w:bCs/>
          <w:lang w:val="en-US"/>
        </w:rPr>
        <w:t>b)</w:t>
      </w:r>
      <w:r w:rsidRPr="006F23D2">
        <w:rPr>
          <w:lang w:val="en-US"/>
        </w:rPr>
        <w:t xml:space="preserve"> Genus. Relative taxonomic abundance of fungal ASVs in maize and bean crop soils:</w:t>
      </w:r>
      <w:r w:rsidRPr="006F23D2">
        <w:rPr>
          <w:b/>
          <w:bCs/>
          <w:lang w:val="en-US"/>
        </w:rPr>
        <w:t xml:space="preserve"> c) </w:t>
      </w:r>
      <w:r w:rsidRPr="006F23D2">
        <w:rPr>
          <w:lang w:val="en-US"/>
        </w:rPr>
        <w:t xml:space="preserve">Phylum, </w:t>
      </w:r>
      <w:r w:rsidRPr="006F23D2">
        <w:rPr>
          <w:b/>
          <w:bCs/>
          <w:lang w:val="en-US"/>
        </w:rPr>
        <w:t>d)</w:t>
      </w:r>
      <w:r w:rsidRPr="006F23D2">
        <w:rPr>
          <w:lang w:val="en-US"/>
        </w:rPr>
        <w:t xml:space="preserve"> Genus. Bars designated as "Other" indicate ASVs with a relative abundance of less than 1</w:t>
      </w:r>
      <w:r w:rsidR="006F23D2" w:rsidRPr="006F23D2">
        <w:rPr>
          <w:lang w:val="en-US"/>
        </w:rPr>
        <w:t xml:space="preserve"> </w:t>
      </w:r>
      <w:r w:rsidRPr="006F23D2">
        <w:rPr>
          <w:lang w:val="en-US"/>
        </w:rPr>
        <w:t>%.</w:t>
      </w:r>
    </w:p>
    <w:p w14:paraId="1D37441E" w14:textId="7B324572" w:rsidR="00C143C0" w:rsidRPr="001D4E67" w:rsidRDefault="00C143C0" w:rsidP="006F23D2">
      <w:pPr>
        <w:rPr>
          <w:color w:val="111111"/>
          <w:lang w:val="en-US"/>
        </w:rPr>
      </w:pPr>
    </w:p>
    <w:p w14:paraId="6C3CFD0A" w14:textId="67E5C565" w:rsidR="00C143C0" w:rsidRPr="001D4E67" w:rsidRDefault="00361B89" w:rsidP="006F23D2">
      <w:pPr>
        <w:rPr>
          <w:color w:val="111111"/>
          <w:lang w:val="en-US"/>
        </w:rPr>
      </w:pPr>
      <w:r w:rsidRPr="001D4E67">
        <w:rPr>
          <w:noProof/>
          <w:color w:val="111111"/>
          <w:lang w:val="en-US"/>
        </w:rPr>
        <w:drawing>
          <wp:anchor distT="0" distB="0" distL="114300" distR="114300" simplePos="0" relativeHeight="251662848" behindDoc="1" locked="0" layoutInCell="1" allowOverlap="1" wp14:anchorId="731C86BB" wp14:editId="239856C4">
            <wp:simplePos x="0" y="0"/>
            <wp:positionH relativeFrom="column">
              <wp:posOffset>161156</wp:posOffset>
            </wp:positionH>
            <wp:positionV relativeFrom="paragraph">
              <wp:posOffset>-296411</wp:posOffset>
            </wp:positionV>
            <wp:extent cx="6232091" cy="4267019"/>
            <wp:effectExtent l="0" t="0" r="3810" b="635"/>
            <wp:wrapNone/>
            <wp:docPr id="2083137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37909" name=""/>
                    <pic:cNvPicPr/>
                  </pic:nvPicPr>
                  <pic:blipFill rotWithShape="1">
                    <a:blip r:embed="rId50" cstate="print">
                      <a:extLst>
                        <a:ext uri="{28A0092B-C50C-407E-A947-70E740481C1C}">
                          <a14:useLocalDpi xmlns:a14="http://schemas.microsoft.com/office/drawing/2010/main" val="0"/>
                        </a:ext>
                      </a:extLst>
                    </a:blip>
                    <a:srcRect/>
                    <a:stretch/>
                  </pic:blipFill>
                  <pic:spPr bwMode="auto">
                    <a:xfrm>
                      <a:off x="0" y="0"/>
                      <a:ext cx="6232091" cy="42670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C44B6C" w14:textId="3E7D4C52" w:rsidR="00C143C0" w:rsidRPr="001D4E67" w:rsidRDefault="00C143C0" w:rsidP="006F23D2">
      <w:pPr>
        <w:rPr>
          <w:color w:val="111111"/>
          <w:lang w:val="en-US"/>
        </w:rPr>
      </w:pPr>
    </w:p>
    <w:p w14:paraId="578E6E49" w14:textId="77777777" w:rsidR="00C143C0" w:rsidRPr="001D4E67" w:rsidRDefault="00C143C0" w:rsidP="006F23D2">
      <w:pPr>
        <w:rPr>
          <w:color w:val="111111"/>
          <w:lang w:val="en-US"/>
        </w:rPr>
      </w:pPr>
    </w:p>
    <w:p w14:paraId="0E29D0B2" w14:textId="77777777" w:rsidR="00C143C0" w:rsidRPr="001D4E67" w:rsidRDefault="00C143C0" w:rsidP="006F23D2">
      <w:pPr>
        <w:rPr>
          <w:color w:val="111111"/>
          <w:lang w:val="en-US"/>
        </w:rPr>
      </w:pPr>
    </w:p>
    <w:p w14:paraId="7537FEE6" w14:textId="77777777" w:rsidR="00C143C0" w:rsidRPr="001D4E67" w:rsidRDefault="00C143C0" w:rsidP="006F23D2">
      <w:pPr>
        <w:rPr>
          <w:color w:val="111111"/>
          <w:lang w:val="en-US"/>
        </w:rPr>
      </w:pPr>
    </w:p>
    <w:p w14:paraId="003AAD47" w14:textId="77777777" w:rsidR="00C143C0" w:rsidRPr="001D4E67" w:rsidRDefault="00C143C0" w:rsidP="006F23D2">
      <w:pPr>
        <w:rPr>
          <w:color w:val="111111"/>
          <w:lang w:val="en-US"/>
        </w:rPr>
      </w:pPr>
    </w:p>
    <w:p w14:paraId="661629AC" w14:textId="77777777" w:rsidR="00C143C0" w:rsidRPr="001D4E67" w:rsidRDefault="00C143C0" w:rsidP="006F23D2">
      <w:pPr>
        <w:rPr>
          <w:color w:val="111111"/>
          <w:lang w:val="en-US"/>
        </w:rPr>
      </w:pPr>
    </w:p>
    <w:p w14:paraId="7B49A41E" w14:textId="77777777" w:rsidR="00C143C0" w:rsidRPr="001D4E67" w:rsidRDefault="00C143C0" w:rsidP="006F23D2">
      <w:pPr>
        <w:rPr>
          <w:color w:val="111111"/>
          <w:lang w:val="en-US"/>
        </w:rPr>
      </w:pPr>
    </w:p>
    <w:p w14:paraId="532A0C0F" w14:textId="77777777" w:rsidR="00C143C0" w:rsidRPr="001D4E67" w:rsidRDefault="00C143C0" w:rsidP="006F23D2">
      <w:pPr>
        <w:rPr>
          <w:color w:val="111111"/>
          <w:lang w:val="en-US"/>
        </w:rPr>
      </w:pPr>
    </w:p>
    <w:p w14:paraId="0F1D6A5A" w14:textId="77777777" w:rsidR="00C143C0" w:rsidRPr="001D4E67" w:rsidRDefault="00C143C0" w:rsidP="00C143C0">
      <w:pPr>
        <w:pStyle w:val="BodyA"/>
        <w:spacing w:line="480" w:lineRule="auto"/>
        <w:jc w:val="both"/>
        <w:rPr>
          <w:rFonts w:ascii="Times New Roman" w:hAnsi="Times New Roman" w:cs="Times New Roman"/>
          <w:color w:val="111111"/>
          <w:sz w:val="24"/>
          <w:szCs w:val="24"/>
          <w:lang w:val="en-US"/>
        </w:rPr>
      </w:pPr>
    </w:p>
    <w:p w14:paraId="7685BC6F" w14:textId="77777777" w:rsidR="00C143C0" w:rsidRPr="001D4E67" w:rsidRDefault="00C143C0" w:rsidP="002C3682">
      <w:pPr>
        <w:pStyle w:val="BodyA"/>
        <w:jc w:val="both"/>
        <w:rPr>
          <w:rFonts w:ascii="Times New Roman" w:hAnsi="Times New Roman" w:cs="Times New Roman"/>
          <w:color w:val="111111"/>
          <w:sz w:val="24"/>
          <w:szCs w:val="24"/>
          <w:lang w:val="en-US"/>
        </w:rPr>
      </w:pPr>
    </w:p>
    <w:p w14:paraId="24042411" w14:textId="77777777" w:rsidR="00C143C0" w:rsidRPr="001D4E67" w:rsidRDefault="00C143C0" w:rsidP="00C143C0">
      <w:pPr>
        <w:pStyle w:val="BodyA"/>
        <w:spacing w:line="480" w:lineRule="auto"/>
        <w:jc w:val="both"/>
        <w:rPr>
          <w:rFonts w:ascii="Times New Roman" w:hAnsi="Times New Roman" w:cs="Times New Roman"/>
          <w:color w:val="111111"/>
          <w:sz w:val="24"/>
          <w:szCs w:val="24"/>
          <w:lang w:val="en-US"/>
        </w:rPr>
      </w:pPr>
    </w:p>
    <w:p w14:paraId="4DE85620" w14:textId="77777777" w:rsidR="005828FB" w:rsidRPr="001D4E67" w:rsidRDefault="005828FB" w:rsidP="00C143C0">
      <w:pPr>
        <w:pStyle w:val="BodyA"/>
        <w:spacing w:line="480" w:lineRule="auto"/>
        <w:jc w:val="both"/>
        <w:rPr>
          <w:rFonts w:ascii="Times New Roman" w:hAnsi="Times New Roman" w:cs="Times New Roman"/>
          <w:color w:val="111111"/>
          <w:sz w:val="24"/>
          <w:szCs w:val="24"/>
          <w:lang w:val="en-US"/>
        </w:rPr>
      </w:pPr>
    </w:p>
    <w:p w14:paraId="653CDB12" w14:textId="77777777" w:rsidR="005828FB" w:rsidRPr="001D4E67" w:rsidRDefault="005828FB" w:rsidP="00C143C0">
      <w:pPr>
        <w:pStyle w:val="BodyA"/>
        <w:spacing w:line="480" w:lineRule="auto"/>
        <w:jc w:val="both"/>
        <w:rPr>
          <w:rFonts w:ascii="Times New Roman" w:hAnsi="Times New Roman" w:cs="Times New Roman"/>
          <w:color w:val="111111"/>
          <w:sz w:val="24"/>
          <w:szCs w:val="24"/>
          <w:lang w:val="en-US"/>
        </w:rPr>
      </w:pPr>
    </w:p>
    <w:p w14:paraId="6AAD2C62" w14:textId="77777777" w:rsidR="00C143C0" w:rsidRPr="001D4E67" w:rsidRDefault="00C143C0" w:rsidP="00C143C0">
      <w:pPr>
        <w:pStyle w:val="BodyA"/>
        <w:spacing w:line="480" w:lineRule="auto"/>
        <w:jc w:val="both"/>
        <w:rPr>
          <w:rFonts w:ascii="Times New Roman" w:hAnsi="Times New Roman" w:cs="Times New Roman"/>
          <w:color w:val="111111"/>
          <w:sz w:val="24"/>
          <w:szCs w:val="24"/>
          <w:lang w:val="en-US"/>
        </w:rPr>
      </w:pPr>
    </w:p>
    <w:p w14:paraId="2A474CE6" w14:textId="227E9533" w:rsidR="00C143C0" w:rsidRPr="00DD3BC7" w:rsidRDefault="00C143C0" w:rsidP="00C62203">
      <w:pPr>
        <w:shd w:val="clear" w:color="auto" w:fill="FFFFFF"/>
        <w:spacing w:line="480" w:lineRule="auto"/>
        <w:rPr>
          <w:rFonts w:ascii="Ancizar Sans" w:hAnsi="Ancizar Sans"/>
          <w:bCs/>
          <w:color w:val="000000"/>
          <w:u w:color="000000"/>
          <w:lang w:val="en-US" w:eastAsia="es-ES"/>
        </w:rPr>
      </w:pPr>
    </w:p>
    <w:sectPr w:rsidR="00C143C0" w:rsidRPr="00DD3BC7" w:rsidSect="001D4E67">
      <w:headerReference w:type="even" r:id="rId51"/>
      <w:headerReference w:type="default" r:id="rId52"/>
      <w:headerReference w:type="first" r:id="rId53"/>
      <w:type w:val="continuous"/>
      <w:pgSz w:w="12240" w:h="15840" w:code="1"/>
      <w:pgMar w:top="1701" w:right="1701" w:bottom="1701" w:left="1701" w:header="708" w:footer="708" w:gutter="0"/>
      <w:cols w:space="6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C645" w14:textId="77777777" w:rsidR="00EC4CC0" w:rsidRDefault="00EC4CC0" w:rsidP="004167FD">
      <w:r>
        <w:separator/>
      </w:r>
    </w:p>
  </w:endnote>
  <w:endnote w:type="continuationSeparator" w:id="0">
    <w:p w14:paraId="37495055" w14:textId="77777777" w:rsidR="00EC4CC0" w:rsidRDefault="00EC4CC0" w:rsidP="0041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ncizar Sans">
    <w:altName w:val="Calibri"/>
    <w:panose1 w:val="020B0802040300000003"/>
    <w:charset w:val="00"/>
    <w:family w:val="swiss"/>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664A" w14:textId="77777777" w:rsidR="00EC4CC0" w:rsidRDefault="00EC4CC0" w:rsidP="004167FD">
      <w:r>
        <w:separator/>
      </w:r>
    </w:p>
  </w:footnote>
  <w:footnote w:type="continuationSeparator" w:id="0">
    <w:p w14:paraId="6DD63567" w14:textId="77777777" w:rsidR="00EC4CC0" w:rsidRDefault="00EC4CC0" w:rsidP="00416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791F" w14:textId="77777777" w:rsidR="00796D6D" w:rsidRDefault="00EC4CC0">
    <w:pPr>
      <w:pStyle w:val="Encabezado"/>
    </w:pPr>
    <w:r>
      <w:rPr>
        <w:noProof/>
      </w:rPr>
      <w:pict w14:anchorId="4AEB2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204" o:spid="_x0000_s2051" type="#_x0000_t136" alt="" style="position:absolute;margin-left:0;margin-top:0;width:613.6pt;height:96.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ANUSCRITO ACEP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DF4F" w14:textId="77777777" w:rsidR="00796D6D" w:rsidRDefault="00EC4CC0">
    <w:pPr>
      <w:pStyle w:val="Encabezado"/>
    </w:pPr>
    <w:r>
      <w:rPr>
        <w:noProof/>
      </w:rPr>
      <w:pict w14:anchorId="3A08F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205" o:spid="_x0000_s2050" type="#_x0000_t136" alt="" style="position:absolute;margin-left:0;margin-top:0;width:613.6pt;height:96.8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ANUSCRITO ACEP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BC81" w14:textId="77777777" w:rsidR="00796D6D" w:rsidRDefault="00EC4CC0">
    <w:pPr>
      <w:pStyle w:val="Encabezado"/>
    </w:pPr>
    <w:r>
      <w:rPr>
        <w:noProof/>
      </w:rPr>
      <w:pict w14:anchorId="0571A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203" o:spid="_x0000_s2049" type="#_x0000_t136" alt="" style="position:absolute;margin-left:0;margin-top:0;width:613.6pt;height:96.8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MANUSCRITO ACEP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86B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06972"/>
    <w:multiLevelType w:val="hybridMultilevel"/>
    <w:tmpl w:val="A43AD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2347C2"/>
    <w:multiLevelType w:val="multilevel"/>
    <w:tmpl w:val="4C3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42C6D"/>
    <w:multiLevelType w:val="multilevel"/>
    <w:tmpl w:val="3B2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23053"/>
    <w:multiLevelType w:val="multilevel"/>
    <w:tmpl w:val="4D3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022AA"/>
    <w:multiLevelType w:val="multilevel"/>
    <w:tmpl w:val="28F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64593"/>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1079DA"/>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846CCF"/>
    <w:multiLevelType w:val="multilevel"/>
    <w:tmpl w:val="FF9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17ED6"/>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531EA3"/>
    <w:multiLevelType w:val="hybridMultilevel"/>
    <w:tmpl w:val="10DAD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5A35CD"/>
    <w:multiLevelType w:val="multilevel"/>
    <w:tmpl w:val="586C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0594F"/>
    <w:multiLevelType w:val="multilevel"/>
    <w:tmpl w:val="FBE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37F12"/>
    <w:multiLevelType w:val="multilevel"/>
    <w:tmpl w:val="552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1135AB"/>
    <w:multiLevelType w:val="multilevel"/>
    <w:tmpl w:val="2BD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554A11"/>
    <w:multiLevelType w:val="multilevel"/>
    <w:tmpl w:val="780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ED1AA8"/>
    <w:multiLevelType w:val="multilevel"/>
    <w:tmpl w:val="AF6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FA1122"/>
    <w:multiLevelType w:val="multilevel"/>
    <w:tmpl w:val="F252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615491"/>
    <w:multiLevelType w:val="multilevel"/>
    <w:tmpl w:val="EEB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3B6B37"/>
    <w:multiLevelType w:val="multilevel"/>
    <w:tmpl w:val="D14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C20660"/>
    <w:multiLevelType w:val="multilevel"/>
    <w:tmpl w:val="63F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2003B2"/>
    <w:multiLevelType w:val="multilevel"/>
    <w:tmpl w:val="1108CC32"/>
    <w:styleLink w:val="List0"/>
    <w:lvl w:ilvl="0">
      <w:start w:val="1"/>
      <w:numFmt w:val="decimal"/>
      <w:lvlText w:val="%1."/>
      <w:lvlJc w:val="left"/>
      <w:rPr>
        <w:rFonts w:ascii="Trebuchet MS" w:eastAsia="Trebuchet MS" w:hAnsi="Trebuchet MS" w:cs="Trebuchet MS"/>
        <w:position w:val="0"/>
        <w:rtl w:val="0"/>
      </w:rPr>
    </w:lvl>
    <w:lvl w:ilvl="1">
      <w:start w:val="1"/>
      <w:numFmt w:val="lowerLetter"/>
      <w:lvlText w:val="%2."/>
      <w:lvlJc w:val="left"/>
      <w:rPr>
        <w:rFonts w:ascii="Trebuchet MS" w:eastAsia="Trebuchet MS" w:hAnsi="Trebuchet MS" w:cs="Trebuchet MS"/>
        <w:position w:val="0"/>
        <w:rtl w:val="0"/>
      </w:rPr>
    </w:lvl>
    <w:lvl w:ilvl="2">
      <w:start w:val="1"/>
      <w:numFmt w:val="lowerRoman"/>
      <w:lvlText w:val="%3."/>
      <w:lvlJc w:val="left"/>
      <w:rPr>
        <w:rFonts w:ascii="Trebuchet MS" w:eastAsia="Trebuchet MS" w:hAnsi="Trebuchet MS" w:cs="Trebuchet MS"/>
        <w:position w:val="0"/>
        <w:rtl w:val="0"/>
      </w:rPr>
    </w:lvl>
    <w:lvl w:ilvl="3">
      <w:start w:val="1"/>
      <w:numFmt w:val="decimal"/>
      <w:lvlText w:val="%4."/>
      <w:lvlJc w:val="left"/>
      <w:rPr>
        <w:rFonts w:ascii="Trebuchet MS" w:eastAsia="Trebuchet MS" w:hAnsi="Trebuchet MS" w:cs="Trebuchet MS"/>
        <w:position w:val="0"/>
        <w:rtl w:val="0"/>
      </w:rPr>
    </w:lvl>
    <w:lvl w:ilvl="4">
      <w:start w:val="1"/>
      <w:numFmt w:val="lowerLetter"/>
      <w:lvlText w:val="%5."/>
      <w:lvlJc w:val="left"/>
      <w:rPr>
        <w:rFonts w:ascii="Trebuchet MS" w:eastAsia="Trebuchet MS" w:hAnsi="Trebuchet MS" w:cs="Trebuchet MS"/>
        <w:position w:val="0"/>
        <w:rtl w:val="0"/>
      </w:rPr>
    </w:lvl>
    <w:lvl w:ilvl="5">
      <w:start w:val="1"/>
      <w:numFmt w:val="lowerRoman"/>
      <w:lvlText w:val="%6."/>
      <w:lvlJc w:val="left"/>
      <w:rPr>
        <w:rFonts w:ascii="Trebuchet MS" w:eastAsia="Trebuchet MS" w:hAnsi="Trebuchet MS" w:cs="Trebuchet MS"/>
        <w:position w:val="0"/>
        <w:rtl w:val="0"/>
      </w:rPr>
    </w:lvl>
    <w:lvl w:ilvl="6">
      <w:start w:val="1"/>
      <w:numFmt w:val="decimal"/>
      <w:lvlText w:val="%7."/>
      <w:lvlJc w:val="left"/>
      <w:rPr>
        <w:rFonts w:ascii="Trebuchet MS" w:eastAsia="Trebuchet MS" w:hAnsi="Trebuchet MS" w:cs="Trebuchet MS"/>
        <w:position w:val="0"/>
        <w:rtl w:val="0"/>
      </w:rPr>
    </w:lvl>
    <w:lvl w:ilvl="7">
      <w:start w:val="1"/>
      <w:numFmt w:val="lowerLetter"/>
      <w:lvlText w:val="%8."/>
      <w:lvlJc w:val="left"/>
      <w:rPr>
        <w:rFonts w:ascii="Trebuchet MS" w:eastAsia="Trebuchet MS" w:hAnsi="Trebuchet MS" w:cs="Trebuchet MS"/>
        <w:position w:val="0"/>
        <w:rtl w:val="0"/>
      </w:rPr>
    </w:lvl>
    <w:lvl w:ilvl="8">
      <w:start w:val="1"/>
      <w:numFmt w:val="lowerRoman"/>
      <w:lvlText w:val="%9."/>
      <w:lvlJc w:val="left"/>
      <w:rPr>
        <w:rFonts w:ascii="Trebuchet MS" w:eastAsia="Trebuchet MS" w:hAnsi="Trebuchet MS" w:cs="Trebuchet MS"/>
        <w:position w:val="0"/>
        <w:rtl w:val="0"/>
      </w:rPr>
    </w:lvl>
  </w:abstractNum>
  <w:abstractNum w:abstractNumId="22" w15:restartNumberingAfterBreak="0">
    <w:nsid w:val="6DC157CD"/>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4E33E5"/>
    <w:multiLevelType w:val="multilevel"/>
    <w:tmpl w:val="3CE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4C3480"/>
    <w:multiLevelType w:val="multilevel"/>
    <w:tmpl w:val="873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3"/>
  </w:num>
  <w:num w:numId="3">
    <w:abstractNumId w:val="20"/>
  </w:num>
  <w:num w:numId="4">
    <w:abstractNumId w:val="18"/>
  </w:num>
  <w:num w:numId="5">
    <w:abstractNumId w:val="2"/>
  </w:num>
  <w:num w:numId="6">
    <w:abstractNumId w:val="5"/>
  </w:num>
  <w:num w:numId="7">
    <w:abstractNumId w:val="14"/>
  </w:num>
  <w:num w:numId="8">
    <w:abstractNumId w:val="3"/>
  </w:num>
  <w:num w:numId="9">
    <w:abstractNumId w:val="4"/>
  </w:num>
  <w:num w:numId="10">
    <w:abstractNumId w:val="16"/>
  </w:num>
  <w:num w:numId="11">
    <w:abstractNumId w:val="11"/>
  </w:num>
  <w:num w:numId="12">
    <w:abstractNumId w:val="24"/>
  </w:num>
  <w:num w:numId="13">
    <w:abstractNumId w:val="15"/>
  </w:num>
  <w:num w:numId="14">
    <w:abstractNumId w:val="13"/>
  </w:num>
  <w:num w:numId="15">
    <w:abstractNumId w:val="17"/>
  </w:num>
  <w:num w:numId="16">
    <w:abstractNumId w:val="8"/>
  </w:num>
  <w:num w:numId="17">
    <w:abstractNumId w:val="12"/>
  </w:num>
  <w:num w:numId="18">
    <w:abstractNumId w:val="10"/>
  </w:num>
  <w:num w:numId="19">
    <w:abstractNumId w:val="1"/>
  </w:num>
  <w:num w:numId="20">
    <w:abstractNumId w:val="6"/>
  </w:num>
  <w:num w:numId="21">
    <w:abstractNumId w:val="9"/>
  </w:num>
  <w:num w:numId="22">
    <w:abstractNumId w:val="22"/>
  </w:num>
  <w:num w:numId="23">
    <w:abstractNumId w:val="7"/>
  </w:num>
  <w:num w:numId="24">
    <w:abstractNumId w:val="0"/>
  </w:num>
  <w:num w:numId="25">
    <w:abstractNumId w:val="21"/>
    <w:lvlOverride w:ilvl="0">
      <w:lvl w:ilvl="0">
        <w:start w:val="1"/>
        <w:numFmt w:val="decimal"/>
        <w:lvlText w:val="%1."/>
        <w:lvlJc w:val="left"/>
        <w:rPr>
          <w:rFonts w:ascii="Times New Roman" w:eastAsia="Trebuchet MS" w:hAnsi="Times New Roman" w:cs="Times New Roman" w:hint="default"/>
          <w:position w:val="0"/>
          <w:rtl w:val="0"/>
        </w:rPr>
      </w:lvl>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n-U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CO" w:vendorID="64" w:dllVersion="0" w:nlCheck="1" w:checkStyle="0"/>
  <w:activeWritingStyle w:appName="MSWord" w:lang="de-CH" w:vendorID="64" w:dllVersion="4096"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33"/>
    <w:rsid w:val="00014EA0"/>
    <w:rsid w:val="00026CFC"/>
    <w:rsid w:val="000410E6"/>
    <w:rsid w:val="0006030A"/>
    <w:rsid w:val="00063CCB"/>
    <w:rsid w:val="0008739A"/>
    <w:rsid w:val="000B6244"/>
    <w:rsid w:val="000D5DB6"/>
    <w:rsid w:val="000E5273"/>
    <w:rsid w:val="001047D7"/>
    <w:rsid w:val="00112784"/>
    <w:rsid w:val="00126558"/>
    <w:rsid w:val="00135FA8"/>
    <w:rsid w:val="00147A12"/>
    <w:rsid w:val="00152B47"/>
    <w:rsid w:val="001530D9"/>
    <w:rsid w:val="0015631F"/>
    <w:rsid w:val="00164C37"/>
    <w:rsid w:val="00166E9C"/>
    <w:rsid w:val="0019447F"/>
    <w:rsid w:val="001A01FF"/>
    <w:rsid w:val="001A65DF"/>
    <w:rsid w:val="001B0563"/>
    <w:rsid w:val="001B459F"/>
    <w:rsid w:val="001B4B27"/>
    <w:rsid w:val="001D07D7"/>
    <w:rsid w:val="001D4E67"/>
    <w:rsid w:val="001E11FD"/>
    <w:rsid w:val="001E5BA4"/>
    <w:rsid w:val="00206E75"/>
    <w:rsid w:val="00221C9E"/>
    <w:rsid w:val="00255EB5"/>
    <w:rsid w:val="00284AB4"/>
    <w:rsid w:val="00292B23"/>
    <w:rsid w:val="002A200D"/>
    <w:rsid w:val="002B250C"/>
    <w:rsid w:val="002B5950"/>
    <w:rsid w:val="002C2E96"/>
    <w:rsid w:val="002C3682"/>
    <w:rsid w:val="002E32D4"/>
    <w:rsid w:val="003135B9"/>
    <w:rsid w:val="00322B29"/>
    <w:rsid w:val="0033555F"/>
    <w:rsid w:val="00361B89"/>
    <w:rsid w:val="00361E2D"/>
    <w:rsid w:val="00374E92"/>
    <w:rsid w:val="00380689"/>
    <w:rsid w:val="00382450"/>
    <w:rsid w:val="00395620"/>
    <w:rsid w:val="003A5202"/>
    <w:rsid w:val="003E116E"/>
    <w:rsid w:val="003E7A9B"/>
    <w:rsid w:val="004167AB"/>
    <w:rsid w:val="004167FD"/>
    <w:rsid w:val="004264AE"/>
    <w:rsid w:val="004327F8"/>
    <w:rsid w:val="00437F6B"/>
    <w:rsid w:val="00445E67"/>
    <w:rsid w:val="0044675A"/>
    <w:rsid w:val="00460472"/>
    <w:rsid w:val="004706F8"/>
    <w:rsid w:val="00476D66"/>
    <w:rsid w:val="00490CB4"/>
    <w:rsid w:val="00491D17"/>
    <w:rsid w:val="004C292E"/>
    <w:rsid w:val="004D4A63"/>
    <w:rsid w:val="004F45AC"/>
    <w:rsid w:val="00512AE1"/>
    <w:rsid w:val="005155FB"/>
    <w:rsid w:val="00525B82"/>
    <w:rsid w:val="00527744"/>
    <w:rsid w:val="00581B97"/>
    <w:rsid w:val="005828FB"/>
    <w:rsid w:val="00593067"/>
    <w:rsid w:val="005D3C6A"/>
    <w:rsid w:val="005D7147"/>
    <w:rsid w:val="005E78B6"/>
    <w:rsid w:val="005E7FCE"/>
    <w:rsid w:val="00601731"/>
    <w:rsid w:val="00630AEB"/>
    <w:rsid w:val="00662320"/>
    <w:rsid w:val="00674530"/>
    <w:rsid w:val="00684C21"/>
    <w:rsid w:val="00692A36"/>
    <w:rsid w:val="006A73F6"/>
    <w:rsid w:val="006E0633"/>
    <w:rsid w:val="006F23D2"/>
    <w:rsid w:val="00717540"/>
    <w:rsid w:val="00731A47"/>
    <w:rsid w:val="00752DCE"/>
    <w:rsid w:val="00762ECB"/>
    <w:rsid w:val="00774C03"/>
    <w:rsid w:val="0077537E"/>
    <w:rsid w:val="007833ED"/>
    <w:rsid w:val="0079625D"/>
    <w:rsid w:val="00796D6D"/>
    <w:rsid w:val="007B1417"/>
    <w:rsid w:val="007B613D"/>
    <w:rsid w:val="007C1E46"/>
    <w:rsid w:val="007C7915"/>
    <w:rsid w:val="007D5038"/>
    <w:rsid w:val="007E026F"/>
    <w:rsid w:val="00801707"/>
    <w:rsid w:val="008018D0"/>
    <w:rsid w:val="00810F0F"/>
    <w:rsid w:val="00823637"/>
    <w:rsid w:val="008310B1"/>
    <w:rsid w:val="00834DB8"/>
    <w:rsid w:val="0083677B"/>
    <w:rsid w:val="00847979"/>
    <w:rsid w:val="0085589E"/>
    <w:rsid w:val="00870658"/>
    <w:rsid w:val="00870EDD"/>
    <w:rsid w:val="008732F4"/>
    <w:rsid w:val="00881057"/>
    <w:rsid w:val="00887441"/>
    <w:rsid w:val="008A1E13"/>
    <w:rsid w:val="008E0EC8"/>
    <w:rsid w:val="008E7C70"/>
    <w:rsid w:val="008F52AD"/>
    <w:rsid w:val="0093765C"/>
    <w:rsid w:val="009376A3"/>
    <w:rsid w:val="00944E6F"/>
    <w:rsid w:val="009503E6"/>
    <w:rsid w:val="00956856"/>
    <w:rsid w:val="00977662"/>
    <w:rsid w:val="009878A0"/>
    <w:rsid w:val="009B32C9"/>
    <w:rsid w:val="00A00BEA"/>
    <w:rsid w:val="00A10C6C"/>
    <w:rsid w:val="00A23597"/>
    <w:rsid w:val="00A31748"/>
    <w:rsid w:val="00A32FCE"/>
    <w:rsid w:val="00A51441"/>
    <w:rsid w:val="00A60965"/>
    <w:rsid w:val="00A70A5C"/>
    <w:rsid w:val="00A946E0"/>
    <w:rsid w:val="00A97F6B"/>
    <w:rsid w:val="00AB7357"/>
    <w:rsid w:val="00AE57AC"/>
    <w:rsid w:val="00AF0476"/>
    <w:rsid w:val="00AF6A7B"/>
    <w:rsid w:val="00B00AAB"/>
    <w:rsid w:val="00B0199A"/>
    <w:rsid w:val="00B21C94"/>
    <w:rsid w:val="00B26266"/>
    <w:rsid w:val="00B40CCC"/>
    <w:rsid w:val="00B53C9D"/>
    <w:rsid w:val="00B857F6"/>
    <w:rsid w:val="00BA2B33"/>
    <w:rsid w:val="00BB0744"/>
    <w:rsid w:val="00BD1EEC"/>
    <w:rsid w:val="00BD327C"/>
    <w:rsid w:val="00BE0032"/>
    <w:rsid w:val="00BE6F24"/>
    <w:rsid w:val="00C110D9"/>
    <w:rsid w:val="00C143C0"/>
    <w:rsid w:val="00C21E10"/>
    <w:rsid w:val="00C2743D"/>
    <w:rsid w:val="00C318F7"/>
    <w:rsid w:val="00C41BFA"/>
    <w:rsid w:val="00C60771"/>
    <w:rsid w:val="00C61D88"/>
    <w:rsid w:val="00C62203"/>
    <w:rsid w:val="00C651A4"/>
    <w:rsid w:val="00C72CE4"/>
    <w:rsid w:val="00C94A2B"/>
    <w:rsid w:val="00CA4D9A"/>
    <w:rsid w:val="00CA7445"/>
    <w:rsid w:val="00CB40A0"/>
    <w:rsid w:val="00CB4A90"/>
    <w:rsid w:val="00CD2199"/>
    <w:rsid w:val="00CD4A89"/>
    <w:rsid w:val="00CD52AA"/>
    <w:rsid w:val="00CE14B3"/>
    <w:rsid w:val="00CF4C1C"/>
    <w:rsid w:val="00D30AAB"/>
    <w:rsid w:val="00D4360A"/>
    <w:rsid w:val="00D54A4A"/>
    <w:rsid w:val="00D60EE8"/>
    <w:rsid w:val="00D74414"/>
    <w:rsid w:val="00D81AC3"/>
    <w:rsid w:val="00DB0333"/>
    <w:rsid w:val="00DD3BC7"/>
    <w:rsid w:val="00DE0CE4"/>
    <w:rsid w:val="00DE645A"/>
    <w:rsid w:val="00DF33B2"/>
    <w:rsid w:val="00E00A84"/>
    <w:rsid w:val="00E40C75"/>
    <w:rsid w:val="00E83408"/>
    <w:rsid w:val="00E95296"/>
    <w:rsid w:val="00E96671"/>
    <w:rsid w:val="00E96E1A"/>
    <w:rsid w:val="00EB2079"/>
    <w:rsid w:val="00EB2D6F"/>
    <w:rsid w:val="00EB69B6"/>
    <w:rsid w:val="00EC4CC0"/>
    <w:rsid w:val="00EC70AD"/>
    <w:rsid w:val="00EE52CC"/>
    <w:rsid w:val="00F069DB"/>
    <w:rsid w:val="00F076B8"/>
    <w:rsid w:val="00F1329D"/>
    <w:rsid w:val="00F15443"/>
    <w:rsid w:val="00F26AC0"/>
    <w:rsid w:val="00F41257"/>
    <w:rsid w:val="00F53774"/>
    <w:rsid w:val="00F57491"/>
    <w:rsid w:val="00F80A53"/>
    <w:rsid w:val="00F903BA"/>
    <w:rsid w:val="00F9445F"/>
    <w:rsid w:val="00FB2494"/>
    <w:rsid w:val="00FB5C0E"/>
    <w:rsid w:val="00FD093B"/>
    <w:rsid w:val="00FE2564"/>
    <w:rsid w:val="00FE42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686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9A"/>
    <w:rPr>
      <w:rFonts w:ascii="Times New Roman" w:eastAsia="Times New Roman" w:hAnsi="Times New Roman"/>
      <w:sz w:val="24"/>
      <w:szCs w:val="24"/>
      <w:lang w:val="es-MX" w:eastAsia="es-MX"/>
    </w:rPr>
  </w:style>
  <w:style w:type="paragraph" w:styleId="Ttulo1">
    <w:name w:val="heading 1"/>
    <w:basedOn w:val="Normal"/>
    <w:link w:val="Ttulo1Car"/>
    <w:uiPriority w:val="9"/>
    <w:qFormat/>
    <w:rsid w:val="00CE14B3"/>
    <w:pPr>
      <w:spacing w:before="100" w:beforeAutospacing="1" w:after="100" w:afterAutospacing="1"/>
      <w:outlineLvl w:val="0"/>
    </w:pPr>
    <w:rPr>
      <w:b/>
      <w:bCs/>
      <w:kern w:val="36"/>
      <w:sz w:val="48"/>
      <w:szCs w:val="48"/>
      <w:lang w:eastAsia="es-CO"/>
    </w:rPr>
  </w:style>
  <w:style w:type="paragraph" w:styleId="Ttulo4">
    <w:name w:val="heading 4"/>
    <w:basedOn w:val="Normal"/>
    <w:next w:val="Normal"/>
    <w:link w:val="Ttulo4Car"/>
    <w:uiPriority w:val="9"/>
    <w:semiHidden/>
    <w:unhideWhenUsed/>
    <w:qFormat/>
    <w:rsid w:val="002E32D4"/>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A2B33"/>
    <w:pPr>
      <w:jc w:val="center"/>
    </w:pPr>
    <w:rPr>
      <w:rFonts w:ascii="Tahoma" w:hAnsi="Tahoma"/>
      <w:b/>
      <w:bCs/>
      <w:color w:val="000000"/>
      <w:u w:color="000000"/>
      <w:lang w:val="es-ES" w:eastAsia="es-ES"/>
    </w:rPr>
  </w:style>
  <w:style w:type="character" w:customStyle="1" w:styleId="TtuloCar">
    <w:name w:val="Título Car"/>
    <w:link w:val="Ttulo"/>
    <w:rsid w:val="00BA2B33"/>
    <w:rPr>
      <w:rFonts w:ascii="Tahoma" w:eastAsia="Times New Roman" w:hAnsi="Tahoma"/>
      <w:b/>
      <w:bCs/>
      <w:color w:val="000000"/>
      <w:sz w:val="24"/>
      <w:szCs w:val="24"/>
      <w:u w:color="000000"/>
      <w:lang w:val="es-ES" w:eastAsia="es-ES"/>
    </w:rPr>
  </w:style>
  <w:style w:type="paragraph" w:styleId="NormalWeb">
    <w:name w:val="Normal (Web)"/>
    <w:basedOn w:val="Normal"/>
    <w:uiPriority w:val="99"/>
    <w:semiHidden/>
    <w:unhideWhenUsed/>
    <w:rsid w:val="00BA2B33"/>
    <w:pPr>
      <w:spacing w:before="100" w:beforeAutospacing="1" w:after="100" w:afterAutospacing="1"/>
    </w:pPr>
    <w:rPr>
      <w:lang w:eastAsia="es-CO"/>
    </w:rPr>
  </w:style>
  <w:style w:type="paragraph" w:customStyle="1" w:styleId="Default">
    <w:name w:val="Default"/>
    <w:rsid w:val="00FD093B"/>
    <w:pPr>
      <w:autoSpaceDE w:val="0"/>
      <w:autoSpaceDN w:val="0"/>
      <w:adjustRightInd w:val="0"/>
    </w:pPr>
    <w:rPr>
      <w:rFonts w:cs="Calibri"/>
      <w:color w:val="000000"/>
      <w:sz w:val="24"/>
      <w:szCs w:val="24"/>
    </w:rPr>
  </w:style>
  <w:style w:type="paragraph" w:styleId="Encabezado">
    <w:name w:val="header"/>
    <w:basedOn w:val="Normal"/>
    <w:link w:val="EncabezadoCar"/>
    <w:uiPriority w:val="99"/>
    <w:rsid w:val="0083677B"/>
    <w:pPr>
      <w:tabs>
        <w:tab w:val="center" w:pos="4252"/>
        <w:tab w:val="right" w:pos="8504"/>
      </w:tabs>
    </w:pPr>
    <w:rPr>
      <w:szCs w:val="20"/>
      <w:lang w:eastAsia="es-ES"/>
    </w:rPr>
  </w:style>
  <w:style w:type="character" w:customStyle="1" w:styleId="EncabezadoCar">
    <w:name w:val="Encabezado Car"/>
    <w:link w:val="Encabezado"/>
    <w:uiPriority w:val="99"/>
    <w:rsid w:val="0083677B"/>
    <w:rPr>
      <w:rFonts w:ascii="Times New Roman" w:eastAsia="Times New Roman" w:hAnsi="Times New Roman"/>
      <w:sz w:val="24"/>
      <w:lang w:eastAsia="es-ES"/>
    </w:rPr>
  </w:style>
  <w:style w:type="paragraph" w:styleId="Piedepgina">
    <w:name w:val="footer"/>
    <w:basedOn w:val="Normal"/>
    <w:link w:val="PiedepginaCar"/>
    <w:uiPriority w:val="99"/>
    <w:unhideWhenUsed/>
    <w:rsid w:val="004167FD"/>
    <w:pPr>
      <w:tabs>
        <w:tab w:val="center" w:pos="4419"/>
        <w:tab w:val="right" w:pos="8838"/>
      </w:tabs>
    </w:pPr>
  </w:style>
  <w:style w:type="character" w:customStyle="1" w:styleId="PiedepginaCar">
    <w:name w:val="Pie de página Car"/>
    <w:link w:val="Piedepgina"/>
    <w:uiPriority w:val="99"/>
    <w:rsid w:val="004167FD"/>
    <w:rPr>
      <w:sz w:val="22"/>
      <w:szCs w:val="22"/>
      <w:lang w:eastAsia="en-US"/>
    </w:rPr>
  </w:style>
  <w:style w:type="table" w:styleId="Tablaconcuadrcula">
    <w:name w:val="Table Grid"/>
    <w:basedOn w:val="Tablanormal"/>
    <w:uiPriority w:val="59"/>
    <w:rsid w:val="0041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06E75"/>
    <w:rPr>
      <w:sz w:val="18"/>
      <w:szCs w:val="18"/>
    </w:rPr>
  </w:style>
  <w:style w:type="paragraph" w:styleId="Textocomentario">
    <w:name w:val="annotation text"/>
    <w:basedOn w:val="Normal"/>
    <w:link w:val="TextocomentarioCar"/>
    <w:uiPriority w:val="99"/>
    <w:unhideWhenUsed/>
    <w:rsid w:val="00206E75"/>
  </w:style>
  <w:style w:type="character" w:customStyle="1" w:styleId="TextocomentarioCar">
    <w:name w:val="Texto comentario Car"/>
    <w:link w:val="Textocomentario"/>
    <w:uiPriority w:val="99"/>
    <w:rsid w:val="00206E75"/>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206E75"/>
    <w:rPr>
      <w:b/>
      <w:bCs/>
      <w:sz w:val="20"/>
      <w:szCs w:val="20"/>
    </w:rPr>
  </w:style>
  <w:style w:type="character" w:customStyle="1" w:styleId="AsuntodelcomentarioCar">
    <w:name w:val="Asunto del comentario Car"/>
    <w:link w:val="Asuntodelcomentario"/>
    <w:uiPriority w:val="99"/>
    <w:semiHidden/>
    <w:rsid w:val="00206E75"/>
    <w:rPr>
      <w:b/>
      <w:bCs/>
      <w:sz w:val="24"/>
      <w:szCs w:val="24"/>
      <w:lang w:val="es-CO" w:eastAsia="en-US"/>
    </w:rPr>
  </w:style>
  <w:style w:type="paragraph" w:styleId="Textodeglobo">
    <w:name w:val="Balloon Text"/>
    <w:basedOn w:val="Normal"/>
    <w:link w:val="TextodegloboCar"/>
    <w:uiPriority w:val="99"/>
    <w:semiHidden/>
    <w:unhideWhenUsed/>
    <w:rsid w:val="00206E75"/>
    <w:rPr>
      <w:sz w:val="18"/>
      <w:szCs w:val="18"/>
    </w:rPr>
  </w:style>
  <w:style w:type="character" w:customStyle="1" w:styleId="TextodegloboCar">
    <w:name w:val="Texto de globo Car"/>
    <w:link w:val="Textodeglobo"/>
    <w:uiPriority w:val="99"/>
    <w:semiHidden/>
    <w:rsid w:val="00206E75"/>
    <w:rPr>
      <w:rFonts w:ascii="Times New Roman" w:hAnsi="Times New Roman"/>
      <w:sz w:val="18"/>
      <w:szCs w:val="18"/>
      <w:lang w:val="es-CO" w:eastAsia="en-US"/>
    </w:rPr>
  </w:style>
  <w:style w:type="character" w:styleId="Hipervnculo">
    <w:name w:val="Hyperlink"/>
    <w:uiPriority w:val="99"/>
    <w:unhideWhenUsed/>
    <w:rsid w:val="003E116E"/>
    <w:rPr>
      <w:color w:val="0563C1"/>
      <w:u w:val="single"/>
    </w:rPr>
  </w:style>
  <w:style w:type="paragraph" w:customStyle="1" w:styleId="EstiloActa">
    <w:name w:val="Estilo Acta"/>
    <w:basedOn w:val="Normal"/>
    <w:link w:val="EstiloActaCar"/>
    <w:qFormat/>
    <w:rsid w:val="00B40CCC"/>
    <w:pPr>
      <w:spacing w:line="480" w:lineRule="auto"/>
    </w:pPr>
    <w:rPr>
      <w:lang w:eastAsia="es-CO"/>
    </w:rPr>
  </w:style>
  <w:style w:type="character" w:customStyle="1" w:styleId="EstiloActaCar">
    <w:name w:val="Estilo Acta Car"/>
    <w:link w:val="EstiloActa"/>
    <w:rsid w:val="00B40CCC"/>
    <w:rPr>
      <w:rFonts w:ascii="Times New Roman" w:eastAsia="Times New Roman" w:hAnsi="Times New Roman"/>
      <w:sz w:val="24"/>
      <w:szCs w:val="22"/>
    </w:rPr>
  </w:style>
  <w:style w:type="paragraph" w:customStyle="1" w:styleId="BodyA">
    <w:name w:val="Body A"/>
    <w:rsid w:val="00B40CCC"/>
    <w:pPr>
      <w:pBdr>
        <w:top w:val="nil"/>
        <w:left w:val="nil"/>
        <w:bottom w:val="nil"/>
        <w:right w:val="nil"/>
        <w:between w:val="nil"/>
        <w:bar w:val="nil"/>
      </w:pBdr>
      <w:spacing w:after="200" w:line="276" w:lineRule="auto"/>
    </w:pPr>
    <w:rPr>
      <w:rFonts w:cs="Calibri"/>
      <w:color w:val="000000"/>
      <w:sz w:val="22"/>
      <w:szCs w:val="22"/>
      <w:u w:color="000000"/>
      <w:bdr w:val="nil"/>
      <w:lang w:val="es-ES_tradnl" w:eastAsia="es-ES"/>
    </w:rPr>
  </w:style>
  <w:style w:type="paragraph" w:customStyle="1" w:styleId="MDPI13authornames">
    <w:name w:val="MDPI_1.3_authornames"/>
    <w:next w:val="Normal"/>
    <w:qFormat/>
    <w:rsid w:val="00512AE1"/>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21heading1">
    <w:name w:val="MDPI_2.1_heading1"/>
    <w:qFormat/>
    <w:rsid w:val="00152B4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character" w:customStyle="1" w:styleId="Cuadrculamedia11">
    <w:name w:val="Cuadrícula media 11"/>
    <w:uiPriority w:val="99"/>
    <w:semiHidden/>
    <w:rsid w:val="00C61D88"/>
    <w:rPr>
      <w:color w:val="808080"/>
    </w:rPr>
  </w:style>
  <w:style w:type="paragraph" w:customStyle="1" w:styleId="MDPI22heading2">
    <w:name w:val="MDPI_2.2_heading2"/>
    <w:qFormat/>
    <w:rsid w:val="00CE14B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character" w:customStyle="1" w:styleId="Ttulo1Car">
    <w:name w:val="Título 1 Car"/>
    <w:link w:val="Ttulo1"/>
    <w:uiPriority w:val="9"/>
    <w:rsid w:val="00CE14B3"/>
    <w:rPr>
      <w:rFonts w:ascii="Times New Roman" w:eastAsia="Times New Roman" w:hAnsi="Times New Roman"/>
      <w:b/>
      <w:bCs/>
      <w:kern w:val="36"/>
      <w:sz w:val="48"/>
      <w:szCs w:val="48"/>
      <w:lang w:val="es-CO" w:eastAsia="es-CO"/>
    </w:rPr>
  </w:style>
  <w:style w:type="character" w:customStyle="1" w:styleId="apple-converted-space">
    <w:name w:val="apple-converted-space"/>
    <w:basedOn w:val="Fuentedeprrafopredeter"/>
    <w:rsid w:val="00CE14B3"/>
  </w:style>
  <w:style w:type="paragraph" w:customStyle="1" w:styleId="Listavistosa-nfasis11">
    <w:name w:val="Lista vistosa - Énfasis 11"/>
    <w:basedOn w:val="Normal"/>
    <w:link w:val="Listavistosa-nfasis1Car"/>
    <w:uiPriority w:val="34"/>
    <w:qFormat/>
    <w:rsid w:val="00CE14B3"/>
    <w:pPr>
      <w:ind w:left="720"/>
      <w:contextualSpacing/>
    </w:pPr>
    <w:rPr>
      <w:lang w:eastAsia="es-CO"/>
    </w:rPr>
  </w:style>
  <w:style w:type="character" w:customStyle="1" w:styleId="EstiloActa2">
    <w:name w:val="Estilo Acta 2"/>
    <w:uiPriority w:val="1"/>
    <w:rsid w:val="00CE14B3"/>
    <w:rPr>
      <w:rFonts w:ascii="Times New Roman" w:hAnsi="Times New Roman"/>
      <w:caps/>
      <w:smallCaps w:val="0"/>
      <w:sz w:val="24"/>
    </w:rPr>
  </w:style>
  <w:style w:type="paragraph" w:customStyle="1" w:styleId="Estilo1">
    <w:name w:val="Estilo1"/>
    <w:basedOn w:val="Listavistosa-nfasis11"/>
    <w:link w:val="Estilo1Car"/>
    <w:rsid w:val="00CE14B3"/>
    <w:rPr>
      <w:color w:val="0070C0"/>
      <w:u w:val="single"/>
    </w:rPr>
  </w:style>
  <w:style w:type="character" w:customStyle="1" w:styleId="EstiloActa3">
    <w:name w:val="Estilo Acta 3"/>
    <w:uiPriority w:val="1"/>
    <w:rsid w:val="00CE14B3"/>
    <w:rPr>
      <w:rFonts w:ascii="Times New Roman" w:hAnsi="Times New Roman"/>
      <w:sz w:val="24"/>
      <w:lang w:val="en-US"/>
    </w:rPr>
  </w:style>
  <w:style w:type="character" w:customStyle="1" w:styleId="Listavistosa-nfasis1Car">
    <w:name w:val="Lista vistosa - Énfasis 1 Car"/>
    <w:link w:val="Listavistosa-nfasis11"/>
    <w:uiPriority w:val="34"/>
    <w:rsid w:val="00CE14B3"/>
    <w:rPr>
      <w:rFonts w:eastAsia="Times New Roman"/>
      <w:sz w:val="22"/>
      <w:szCs w:val="22"/>
      <w:lang w:val="es-CO" w:eastAsia="es-CO"/>
    </w:rPr>
  </w:style>
  <w:style w:type="character" w:customStyle="1" w:styleId="Estilo1Car">
    <w:name w:val="Estilo1 Car"/>
    <w:link w:val="Estilo1"/>
    <w:rsid w:val="00CE14B3"/>
    <w:rPr>
      <w:rFonts w:ascii="Times New Roman" w:eastAsia="Times New Roman" w:hAnsi="Times New Roman"/>
      <w:color w:val="0070C0"/>
      <w:sz w:val="24"/>
      <w:szCs w:val="22"/>
      <w:u w:val="single"/>
      <w:lang w:val="es-CO" w:eastAsia="es-CO"/>
    </w:rPr>
  </w:style>
  <w:style w:type="character" w:customStyle="1" w:styleId="ActaIngles">
    <w:name w:val="Acta Ingles"/>
    <w:uiPriority w:val="1"/>
    <w:rsid w:val="00CE14B3"/>
    <w:rPr>
      <w:rFonts w:ascii="Times New Roman" w:hAnsi="Times New Roman"/>
      <w:sz w:val="24"/>
      <w:lang w:val="en-US"/>
    </w:rPr>
  </w:style>
  <w:style w:type="character" w:customStyle="1" w:styleId="ActaPort">
    <w:name w:val="Acta Port"/>
    <w:uiPriority w:val="1"/>
    <w:rsid w:val="00CE14B3"/>
    <w:rPr>
      <w:rFonts w:ascii="Times New Roman" w:hAnsi="Times New Roman"/>
      <w:sz w:val="24"/>
      <w:lang w:val="pt-BR"/>
    </w:rPr>
  </w:style>
  <w:style w:type="character" w:customStyle="1" w:styleId="Estilo2">
    <w:name w:val="Estilo2"/>
    <w:uiPriority w:val="1"/>
    <w:rsid w:val="00CE14B3"/>
    <w:rPr>
      <w:rFonts w:ascii="Times New Roman" w:hAnsi="Times New Roman"/>
      <w:b/>
      <w:caps/>
      <w:smallCaps w:val="0"/>
      <w:sz w:val="24"/>
    </w:rPr>
  </w:style>
  <w:style w:type="character" w:customStyle="1" w:styleId="Estilo3">
    <w:name w:val="Estilo3"/>
    <w:uiPriority w:val="1"/>
    <w:rsid w:val="00CE14B3"/>
    <w:rPr>
      <w:rFonts w:ascii="Times New Roman" w:hAnsi="Times New Roman"/>
      <w:b/>
      <w:sz w:val="24"/>
    </w:rPr>
  </w:style>
  <w:style w:type="character" w:styleId="Nmerodelnea">
    <w:name w:val="line number"/>
    <w:basedOn w:val="Fuentedeprrafopredeter"/>
    <w:uiPriority w:val="99"/>
    <w:semiHidden/>
    <w:unhideWhenUsed/>
    <w:rsid w:val="00CE14B3"/>
  </w:style>
  <w:style w:type="character" w:styleId="Textoennegrita">
    <w:name w:val="Strong"/>
    <w:uiPriority w:val="22"/>
    <w:qFormat/>
    <w:rsid w:val="00CE14B3"/>
    <w:rPr>
      <w:b/>
      <w:bCs/>
    </w:rPr>
  </w:style>
  <w:style w:type="character" w:customStyle="1" w:styleId="Hyperlink1">
    <w:name w:val="Hyperlink.1"/>
    <w:rsid w:val="00CE14B3"/>
    <w:rPr>
      <w:rFonts w:ascii="Trebuchet MS" w:eastAsia="Trebuchet MS" w:hAnsi="Trebuchet MS" w:cs="Trebuchet MS"/>
      <w:color w:val="0000FF"/>
      <w:u w:val="single" w:color="0000FF"/>
    </w:rPr>
  </w:style>
  <w:style w:type="character" w:styleId="nfasis">
    <w:name w:val="Emphasis"/>
    <w:uiPriority w:val="20"/>
    <w:qFormat/>
    <w:rsid w:val="00CE14B3"/>
    <w:rPr>
      <w:i/>
      <w:iCs/>
    </w:rPr>
  </w:style>
  <w:style w:type="numbering" w:customStyle="1" w:styleId="List0">
    <w:name w:val="List 0"/>
    <w:basedOn w:val="Sinlista"/>
    <w:rsid w:val="00CE14B3"/>
    <w:pPr>
      <w:numPr>
        <w:numId w:val="26"/>
      </w:numPr>
    </w:pPr>
  </w:style>
  <w:style w:type="paragraph" w:customStyle="1" w:styleId="bodya0">
    <w:name w:val="bodya"/>
    <w:basedOn w:val="Normal"/>
    <w:rsid w:val="00CE14B3"/>
    <w:pPr>
      <w:spacing w:before="100" w:beforeAutospacing="1" w:after="100" w:afterAutospacing="1"/>
    </w:pPr>
    <w:rPr>
      <w:rFonts w:ascii="Verdana" w:hAnsi="Verdana" w:cs="Verdana"/>
      <w:lang w:eastAsia="es-CO"/>
    </w:rPr>
  </w:style>
  <w:style w:type="character" w:styleId="Mencinsinresolver">
    <w:name w:val="Unresolved Mention"/>
    <w:uiPriority w:val="99"/>
    <w:semiHidden/>
    <w:unhideWhenUsed/>
    <w:rsid w:val="00CE14B3"/>
    <w:rPr>
      <w:color w:val="605E5C"/>
      <w:shd w:val="clear" w:color="auto" w:fill="E1DFDD"/>
    </w:rPr>
  </w:style>
  <w:style w:type="paragraph" w:customStyle="1" w:styleId="c-bibliographic-informationcitation">
    <w:name w:val="c-bibliographic-information__citation"/>
    <w:basedOn w:val="Normal"/>
    <w:rsid w:val="00CE14B3"/>
    <w:pPr>
      <w:spacing w:before="100" w:beforeAutospacing="1" w:after="100" w:afterAutospacing="1"/>
    </w:pPr>
  </w:style>
  <w:style w:type="character" w:styleId="Hipervnculovisitado">
    <w:name w:val="FollowedHyperlink"/>
    <w:uiPriority w:val="99"/>
    <w:semiHidden/>
    <w:unhideWhenUsed/>
    <w:rsid w:val="00CE14B3"/>
    <w:rPr>
      <w:color w:val="96607D"/>
      <w:u w:val="single"/>
    </w:rPr>
  </w:style>
  <w:style w:type="character" w:customStyle="1" w:styleId="il">
    <w:name w:val="il"/>
    <w:basedOn w:val="Fuentedeprrafopredeter"/>
    <w:rsid w:val="00692A36"/>
  </w:style>
  <w:style w:type="paragraph" w:styleId="Revisin">
    <w:name w:val="Revision"/>
    <w:hidden/>
    <w:uiPriority w:val="71"/>
    <w:rsid w:val="007833ED"/>
    <w:rPr>
      <w:sz w:val="22"/>
      <w:szCs w:val="22"/>
      <w:lang w:eastAsia="en-US"/>
    </w:rPr>
  </w:style>
  <w:style w:type="character" w:customStyle="1" w:styleId="Ttulo4Car">
    <w:name w:val="Título 4 Car"/>
    <w:basedOn w:val="Fuentedeprrafopredeter"/>
    <w:link w:val="Ttulo4"/>
    <w:uiPriority w:val="9"/>
    <w:semiHidden/>
    <w:rsid w:val="002E32D4"/>
    <w:rPr>
      <w:rFonts w:asciiTheme="majorHAnsi" w:eastAsiaTheme="majorEastAsia" w:hAnsiTheme="majorHAnsi" w:cstheme="majorBidi"/>
      <w:i/>
      <w:iCs/>
      <w:color w:val="0F4761" w:themeColor="accent1" w:themeShade="BF"/>
      <w:sz w:val="22"/>
      <w:szCs w:val="22"/>
      <w:lang w:eastAsia="en-US"/>
    </w:rPr>
  </w:style>
  <w:style w:type="character" w:customStyle="1" w:styleId="vkekvd">
    <w:name w:val="vkekvd"/>
    <w:basedOn w:val="Fuentedeprrafopredeter"/>
    <w:rsid w:val="000B6244"/>
  </w:style>
  <w:style w:type="paragraph" w:customStyle="1" w:styleId="MDPI62BackMatter">
    <w:name w:val="MDPI_6.2_BackMatter"/>
    <w:qFormat/>
    <w:rsid w:val="00944E6F"/>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p1">
    <w:name w:val="p1"/>
    <w:basedOn w:val="Normal"/>
    <w:rsid w:val="009B32C9"/>
    <w:rPr>
      <w:rFonts w:ascii="Helvetica" w:hAnsi="Helvetica"/>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9448">
      <w:bodyDiv w:val="1"/>
      <w:marLeft w:val="0"/>
      <w:marRight w:val="0"/>
      <w:marTop w:val="0"/>
      <w:marBottom w:val="0"/>
      <w:divBdr>
        <w:top w:val="none" w:sz="0" w:space="0" w:color="auto"/>
        <w:left w:val="none" w:sz="0" w:space="0" w:color="auto"/>
        <w:bottom w:val="none" w:sz="0" w:space="0" w:color="auto"/>
        <w:right w:val="none" w:sz="0" w:space="0" w:color="auto"/>
      </w:divBdr>
    </w:div>
    <w:div w:id="215051552">
      <w:bodyDiv w:val="1"/>
      <w:marLeft w:val="0"/>
      <w:marRight w:val="0"/>
      <w:marTop w:val="0"/>
      <w:marBottom w:val="0"/>
      <w:divBdr>
        <w:top w:val="none" w:sz="0" w:space="0" w:color="auto"/>
        <w:left w:val="none" w:sz="0" w:space="0" w:color="auto"/>
        <w:bottom w:val="none" w:sz="0" w:space="0" w:color="auto"/>
        <w:right w:val="none" w:sz="0" w:space="0" w:color="auto"/>
      </w:divBdr>
    </w:div>
    <w:div w:id="836848472">
      <w:bodyDiv w:val="1"/>
      <w:marLeft w:val="0"/>
      <w:marRight w:val="0"/>
      <w:marTop w:val="0"/>
      <w:marBottom w:val="0"/>
      <w:divBdr>
        <w:top w:val="none" w:sz="0" w:space="0" w:color="auto"/>
        <w:left w:val="none" w:sz="0" w:space="0" w:color="auto"/>
        <w:bottom w:val="none" w:sz="0" w:space="0" w:color="auto"/>
        <w:right w:val="none" w:sz="0" w:space="0" w:color="auto"/>
      </w:divBdr>
      <w:divsChild>
        <w:div w:id="1388800709">
          <w:marLeft w:val="0"/>
          <w:marRight w:val="0"/>
          <w:marTop w:val="0"/>
          <w:marBottom w:val="0"/>
          <w:divBdr>
            <w:top w:val="none" w:sz="0" w:space="0" w:color="auto"/>
            <w:left w:val="none" w:sz="0" w:space="0" w:color="auto"/>
            <w:bottom w:val="none" w:sz="0" w:space="0" w:color="auto"/>
            <w:right w:val="none" w:sz="0" w:space="0" w:color="auto"/>
          </w:divBdr>
          <w:divsChild>
            <w:div w:id="310182042">
              <w:marLeft w:val="0"/>
              <w:marRight w:val="0"/>
              <w:marTop w:val="0"/>
              <w:marBottom w:val="0"/>
              <w:divBdr>
                <w:top w:val="none" w:sz="0" w:space="0" w:color="auto"/>
                <w:left w:val="none" w:sz="0" w:space="0" w:color="auto"/>
                <w:bottom w:val="none" w:sz="0" w:space="0" w:color="auto"/>
                <w:right w:val="none" w:sz="0" w:space="0" w:color="auto"/>
              </w:divBdr>
            </w:div>
            <w:div w:id="3732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4039">
      <w:bodyDiv w:val="1"/>
      <w:marLeft w:val="0"/>
      <w:marRight w:val="0"/>
      <w:marTop w:val="0"/>
      <w:marBottom w:val="0"/>
      <w:divBdr>
        <w:top w:val="none" w:sz="0" w:space="0" w:color="auto"/>
        <w:left w:val="none" w:sz="0" w:space="0" w:color="auto"/>
        <w:bottom w:val="none" w:sz="0" w:space="0" w:color="auto"/>
        <w:right w:val="none" w:sz="0" w:space="0" w:color="auto"/>
      </w:divBdr>
      <w:divsChild>
        <w:div w:id="397170145">
          <w:marLeft w:val="0"/>
          <w:marRight w:val="0"/>
          <w:marTop w:val="0"/>
          <w:marBottom w:val="0"/>
          <w:divBdr>
            <w:top w:val="none" w:sz="0" w:space="0" w:color="auto"/>
            <w:left w:val="none" w:sz="0" w:space="0" w:color="auto"/>
            <w:bottom w:val="none" w:sz="0" w:space="0" w:color="auto"/>
            <w:right w:val="none" w:sz="0" w:space="0" w:color="auto"/>
          </w:divBdr>
        </w:div>
        <w:div w:id="920915384">
          <w:marLeft w:val="0"/>
          <w:marRight w:val="0"/>
          <w:marTop w:val="0"/>
          <w:marBottom w:val="0"/>
          <w:divBdr>
            <w:top w:val="none" w:sz="0" w:space="0" w:color="auto"/>
            <w:left w:val="none" w:sz="0" w:space="0" w:color="auto"/>
            <w:bottom w:val="none" w:sz="0" w:space="0" w:color="auto"/>
            <w:right w:val="none" w:sz="0" w:space="0" w:color="auto"/>
          </w:divBdr>
        </w:div>
      </w:divsChild>
    </w:div>
    <w:div w:id="1335035015">
      <w:bodyDiv w:val="1"/>
      <w:marLeft w:val="0"/>
      <w:marRight w:val="0"/>
      <w:marTop w:val="0"/>
      <w:marBottom w:val="0"/>
      <w:divBdr>
        <w:top w:val="none" w:sz="0" w:space="0" w:color="auto"/>
        <w:left w:val="none" w:sz="0" w:space="0" w:color="auto"/>
        <w:bottom w:val="none" w:sz="0" w:space="0" w:color="auto"/>
        <w:right w:val="none" w:sz="0" w:space="0" w:color="auto"/>
      </w:divBdr>
    </w:div>
    <w:div w:id="1851025628">
      <w:bodyDiv w:val="1"/>
      <w:marLeft w:val="0"/>
      <w:marRight w:val="0"/>
      <w:marTop w:val="0"/>
      <w:marBottom w:val="0"/>
      <w:divBdr>
        <w:top w:val="none" w:sz="0" w:space="0" w:color="auto"/>
        <w:left w:val="none" w:sz="0" w:space="0" w:color="auto"/>
        <w:bottom w:val="none" w:sz="0" w:space="0" w:color="auto"/>
        <w:right w:val="none" w:sz="0" w:space="0" w:color="auto"/>
      </w:divBdr>
      <w:divsChild>
        <w:div w:id="467017863">
          <w:marLeft w:val="0"/>
          <w:marRight w:val="0"/>
          <w:marTop w:val="0"/>
          <w:marBottom w:val="0"/>
          <w:divBdr>
            <w:top w:val="none" w:sz="0" w:space="0" w:color="auto"/>
            <w:left w:val="none" w:sz="0" w:space="0" w:color="auto"/>
            <w:bottom w:val="none" w:sz="0" w:space="0" w:color="auto"/>
            <w:right w:val="none" w:sz="0" w:space="0" w:color="auto"/>
          </w:divBdr>
        </w:div>
      </w:divsChild>
    </w:div>
    <w:div w:id="20121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1441-9411" TargetMode="External"/><Relationship Id="rId18" Type="http://schemas.openxmlformats.org/officeDocument/2006/relationships/hyperlink" Target="https://orcid.org/0000-0001-7847-2970" TargetMode="External"/><Relationship Id="rId26" Type="http://schemas.openxmlformats.org/officeDocument/2006/relationships/hyperlink" Target="https://doi.org/10.3390/ijms23062990" TargetMode="External"/><Relationship Id="rId39" Type="http://schemas.openxmlformats.org/officeDocument/2006/relationships/hyperlink" Target="https://doi.org/10.1128/spectrum.01645-21" TargetMode="External"/><Relationship Id="rId21" Type="http://schemas.openxmlformats.org/officeDocument/2006/relationships/hyperlink" Target="https://doi.org/10.1002/cbdv.202201243" TargetMode="External"/><Relationship Id="rId34" Type="http://schemas.openxmlformats.org/officeDocument/2006/relationships/hyperlink" Target="https://doi.org/10.3390/molecules28217433" TargetMode="External"/><Relationship Id="rId42" Type="http://schemas.openxmlformats.org/officeDocument/2006/relationships/hyperlink" Target="https://doi.org/10.7717/peerj.2584" TargetMode="External"/><Relationship Id="rId47" Type="http://schemas.openxmlformats.org/officeDocument/2006/relationships/hyperlink" Target="https://doi.org/10.3390/rs13245090" TargetMode="External"/><Relationship Id="rId50" Type="http://schemas.openxmlformats.org/officeDocument/2006/relationships/image" Target="media/image4.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ul.espinosa@unach.mx" TargetMode="External"/><Relationship Id="rId29" Type="http://schemas.openxmlformats.org/officeDocument/2006/relationships/hyperlink" Target="https://doi.org/10.1007/978-3-031-93444-5_14" TargetMode="External"/><Relationship Id="rId11" Type="http://schemas.openxmlformats.org/officeDocument/2006/relationships/hyperlink" Target="https://orcid.org/0000-0003-1065-4211" TargetMode="External"/><Relationship Id="rId24" Type="http://schemas.openxmlformats.org/officeDocument/2006/relationships/hyperlink" Target="https://doi.org/10.29312/remexca.v12i5.2905" TargetMode="External"/><Relationship Id="rId32" Type="http://schemas.openxmlformats.org/officeDocument/2006/relationships/hyperlink" Target="https://doi.org/10.3390/crops4020013" TargetMode="External"/><Relationship Id="rId37" Type="http://schemas.openxmlformats.org/officeDocument/2006/relationships/hyperlink" Target="https://doi.org/10.1128/spectrum.00795-22" TargetMode="External"/><Relationship Id="rId40" Type="http://schemas.openxmlformats.org/officeDocument/2006/relationships/hyperlink" Target="https://doi.org/10.3390/agronomy10020309" TargetMode="External"/><Relationship Id="rId45" Type="http://schemas.openxmlformats.org/officeDocument/2006/relationships/hyperlink" Target="https://doi.org/10.1016/j.steroids.2017.06.004"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orcid.org/0000-0001-8462-0984" TargetMode="External"/><Relationship Id="rId19" Type="http://schemas.openxmlformats.org/officeDocument/2006/relationships/hyperlink" Target="https://doi.org/10.2903/j.efsa.2020.6132" TargetMode="External"/><Relationship Id="rId31" Type="http://schemas.openxmlformats.org/officeDocument/2006/relationships/hyperlink" Target="https://doi.org/10.1093/nar/gks808" TargetMode="External"/><Relationship Id="rId44" Type="http://schemas.openxmlformats.org/officeDocument/2006/relationships/hyperlink" Target="https://doi.org/10.3389/fmicb.2023.1036905"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2-4199-0632" TargetMode="External"/><Relationship Id="rId14" Type="http://schemas.openxmlformats.org/officeDocument/2006/relationships/hyperlink" Target="https://orcid.org/0000-0003-1449-4139" TargetMode="External"/><Relationship Id="rId22" Type="http://schemas.openxmlformats.org/officeDocument/2006/relationships/hyperlink" Target="https://doi.org/10.7717/peerj.9593" TargetMode="External"/><Relationship Id="rId27" Type="http://schemas.openxmlformats.org/officeDocument/2006/relationships/hyperlink" Target="https://doi.org/10.3390/plants13213082" TargetMode="External"/><Relationship Id="rId30" Type="http://schemas.openxmlformats.org/officeDocument/2006/relationships/hyperlink" Target="https://doi.org/10.1093/bib/bbn013" TargetMode="External"/><Relationship Id="rId35" Type="http://schemas.openxmlformats.org/officeDocument/2006/relationships/hyperlink" Target="https://doi.org/10.1093/nar/gky1022" TargetMode="External"/><Relationship Id="rId43" Type="http://schemas.openxmlformats.org/officeDocument/2006/relationships/hyperlink" Target="https://doi.org/10.1080/07388551.2021.1888066" TargetMode="External"/><Relationship Id="rId48" Type="http://schemas.openxmlformats.org/officeDocument/2006/relationships/image" Target="media/image2.tiff"/><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rcid.org/0000-0003-1544-5662" TargetMode="External"/><Relationship Id="rId17" Type="http://schemas.openxmlformats.org/officeDocument/2006/relationships/hyperlink" Target="https://orcid.org/0000-0001-7683-7382" TargetMode="External"/><Relationship Id="rId25" Type="http://schemas.openxmlformats.org/officeDocument/2006/relationships/hyperlink" Target="https://doi.org/10.3390/plants10050995" TargetMode="External"/><Relationship Id="rId33" Type="http://schemas.openxmlformats.org/officeDocument/2006/relationships/hyperlink" Target="https://doi.org/10.1186/s13059-014-0550-8" TargetMode="External"/><Relationship Id="rId38" Type="http://schemas.openxmlformats.org/officeDocument/2006/relationships/hyperlink" Target="https://doi.org/10.1016/j.scitotenv.2024.176594" TargetMode="External"/><Relationship Id="rId46" Type="http://schemas.openxmlformats.org/officeDocument/2006/relationships/hyperlink" Target="https://doi.org/10.1016/j.steroids.2015.03.005" TargetMode="External"/><Relationship Id="rId20" Type="http://schemas.openxmlformats.org/officeDocument/2006/relationships/hyperlink" Target="https://doi.org/10.1080/1040841X.2020.1828816" TargetMode="External"/><Relationship Id="rId41" Type="http://schemas.openxmlformats.org/officeDocument/2006/relationships/hyperlink" Target="https://doi.org/10.3390/plants1111141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1760-775X" TargetMode="External"/><Relationship Id="rId23" Type="http://schemas.openxmlformats.org/officeDocument/2006/relationships/hyperlink" Target="https://doi.org/10.1093/pcp/pcae044" TargetMode="External"/><Relationship Id="rId28" Type="http://schemas.openxmlformats.org/officeDocument/2006/relationships/hyperlink" Target="https://doi.org/10.1016/j.jbiotec.2017.06.1198" TargetMode="External"/><Relationship Id="rId36" Type="http://schemas.openxmlformats.org/officeDocument/2006/relationships/hyperlink" Target="https://doi.org/10.1371/journal.pone.0009490" TargetMode="External"/><Relationship Id="rId4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A21-69CC-44CF-8D4E-9DC30293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5489</Words>
  <Characters>30194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35612</CharactersWithSpaces>
  <SharedDoc>false</SharedDoc>
  <HLinks>
    <vt:vector size="186" baseType="variant">
      <vt:variant>
        <vt:i4>7077924</vt:i4>
      </vt:variant>
      <vt:variant>
        <vt:i4>90</vt:i4>
      </vt:variant>
      <vt:variant>
        <vt:i4>0</vt:i4>
      </vt:variant>
      <vt:variant>
        <vt:i4>5</vt:i4>
      </vt:variant>
      <vt:variant>
        <vt:lpwstr>https://doi.org/10.3390/rs13245090</vt:lpwstr>
      </vt:variant>
      <vt:variant>
        <vt:lpwstr/>
      </vt:variant>
      <vt:variant>
        <vt:i4>3866670</vt:i4>
      </vt:variant>
      <vt:variant>
        <vt:i4>87</vt:i4>
      </vt:variant>
      <vt:variant>
        <vt:i4>0</vt:i4>
      </vt:variant>
      <vt:variant>
        <vt:i4>5</vt:i4>
      </vt:variant>
      <vt:variant>
        <vt:lpwstr>https://doi.org/10.1016/j.steroids.2015.03.005</vt:lpwstr>
      </vt:variant>
      <vt:variant>
        <vt:lpwstr/>
      </vt:variant>
      <vt:variant>
        <vt:i4>4128812</vt:i4>
      </vt:variant>
      <vt:variant>
        <vt:i4>84</vt:i4>
      </vt:variant>
      <vt:variant>
        <vt:i4>0</vt:i4>
      </vt:variant>
      <vt:variant>
        <vt:i4>5</vt:i4>
      </vt:variant>
      <vt:variant>
        <vt:lpwstr>https://doi.org/10.1016/j.steroids.2017.06.004</vt:lpwstr>
      </vt:variant>
      <vt:variant>
        <vt:lpwstr/>
      </vt:variant>
      <vt:variant>
        <vt:i4>3407909</vt:i4>
      </vt:variant>
      <vt:variant>
        <vt:i4>81</vt:i4>
      </vt:variant>
      <vt:variant>
        <vt:i4>0</vt:i4>
      </vt:variant>
      <vt:variant>
        <vt:i4>5</vt:i4>
      </vt:variant>
      <vt:variant>
        <vt:lpwstr>https://doi.org/10.3389/fmicb.2023.1036905</vt:lpwstr>
      </vt:variant>
      <vt:variant>
        <vt:lpwstr/>
      </vt:variant>
      <vt:variant>
        <vt:i4>524354</vt:i4>
      </vt:variant>
      <vt:variant>
        <vt:i4>78</vt:i4>
      </vt:variant>
      <vt:variant>
        <vt:i4>0</vt:i4>
      </vt:variant>
      <vt:variant>
        <vt:i4>5</vt:i4>
      </vt:variant>
      <vt:variant>
        <vt:lpwstr>https://doi.org/10.1080/07388551.2021.1888066</vt:lpwstr>
      </vt:variant>
      <vt:variant>
        <vt:lpwstr/>
      </vt:variant>
      <vt:variant>
        <vt:i4>2883631</vt:i4>
      </vt:variant>
      <vt:variant>
        <vt:i4>75</vt:i4>
      </vt:variant>
      <vt:variant>
        <vt:i4>0</vt:i4>
      </vt:variant>
      <vt:variant>
        <vt:i4>5</vt:i4>
      </vt:variant>
      <vt:variant>
        <vt:lpwstr>https://doi.org/10.7717/peerj.2584</vt:lpwstr>
      </vt:variant>
      <vt:variant>
        <vt:lpwstr/>
      </vt:variant>
      <vt:variant>
        <vt:i4>6881340</vt:i4>
      </vt:variant>
      <vt:variant>
        <vt:i4>72</vt:i4>
      </vt:variant>
      <vt:variant>
        <vt:i4>0</vt:i4>
      </vt:variant>
      <vt:variant>
        <vt:i4>5</vt:i4>
      </vt:variant>
      <vt:variant>
        <vt:lpwstr>https://doi.org/10.3390/plants11111414</vt:lpwstr>
      </vt:variant>
      <vt:variant>
        <vt:lpwstr/>
      </vt:variant>
      <vt:variant>
        <vt:i4>917576</vt:i4>
      </vt:variant>
      <vt:variant>
        <vt:i4>69</vt:i4>
      </vt:variant>
      <vt:variant>
        <vt:i4>0</vt:i4>
      </vt:variant>
      <vt:variant>
        <vt:i4>5</vt:i4>
      </vt:variant>
      <vt:variant>
        <vt:lpwstr>https://doi.org/10.3390/agronomy10020309</vt:lpwstr>
      </vt:variant>
      <vt:variant>
        <vt:lpwstr/>
      </vt:variant>
      <vt:variant>
        <vt:i4>1835074</vt:i4>
      </vt:variant>
      <vt:variant>
        <vt:i4>66</vt:i4>
      </vt:variant>
      <vt:variant>
        <vt:i4>0</vt:i4>
      </vt:variant>
      <vt:variant>
        <vt:i4>5</vt:i4>
      </vt:variant>
      <vt:variant>
        <vt:lpwstr>https://doi.org/10.1128/spectrum.01645-21</vt:lpwstr>
      </vt:variant>
      <vt:variant>
        <vt:lpwstr/>
      </vt:variant>
      <vt:variant>
        <vt:i4>2424956</vt:i4>
      </vt:variant>
      <vt:variant>
        <vt:i4>63</vt:i4>
      </vt:variant>
      <vt:variant>
        <vt:i4>0</vt:i4>
      </vt:variant>
      <vt:variant>
        <vt:i4>5</vt:i4>
      </vt:variant>
      <vt:variant>
        <vt:lpwstr>https://doi.org/10.1016/j.scitotenv.2024.176594</vt:lpwstr>
      </vt:variant>
      <vt:variant>
        <vt:lpwstr/>
      </vt:variant>
      <vt:variant>
        <vt:i4>1900622</vt:i4>
      </vt:variant>
      <vt:variant>
        <vt:i4>60</vt:i4>
      </vt:variant>
      <vt:variant>
        <vt:i4>0</vt:i4>
      </vt:variant>
      <vt:variant>
        <vt:i4>5</vt:i4>
      </vt:variant>
      <vt:variant>
        <vt:lpwstr>https://doi.org/10.1128/spectrum.00795-22</vt:lpwstr>
      </vt:variant>
      <vt:variant>
        <vt:lpwstr/>
      </vt:variant>
      <vt:variant>
        <vt:i4>4718661</vt:i4>
      </vt:variant>
      <vt:variant>
        <vt:i4>57</vt:i4>
      </vt:variant>
      <vt:variant>
        <vt:i4>0</vt:i4>
      </vt:variant>
      <vt:variant>
        <vt:i4>5</vt:i4>
      </vt:variant>
      <vt:variant>
        <vt:lpwstr>https://doi.org/10.1371/journal.pone.0009490</vt:lpwstr>
      </vt:variant>
      <vt:variant>
        <vt:lpwstr/>
      </vt:variant>
      <vt:variant>
        <vt:i4>3932267</vt:i4>
      </vt:variant>
      <vt:variant>
        <vt:i4>54</vt:i4>
      </vt:variant>
      <vt:variant>
        <vt:i4>0</vt:i4>
      </vt:variant>
      <vt:variant>
        <vt:i4>5</vt:i4>
      </vt:variant>
      <vt:variant>
        <vt:lpwstr>https://doi.org/10.1093/nar/gky1022</vt:lpwstr>
      </vt:variant>
      <vt:variant>
        <vt:lpwstr/>
      </vt:variant>
      <vt:variant>
        <vt:i4>393241</vt:i4>
      </vt:variant>
      <vt:variant>
        <vt:i4>51</vt:i4>
      </vt:variant>
      <vt:variant>
        <vt:i4>0</vt:i4>
      </vt:variant>
      <vt:variant>
        <vt:i4>5</vt:i4>
      </vt:variant>
      <vt:variant>
        <vt:lpwstr>https://doi.org/10.3390/molecules28217433</vt:lpwstr>
      </vt:variant>
      <vt:variant>
        <vt:lpwstr/>
      </vt:variant>
      <vt:variant>
        <vt:i4>983068</vt:i4>
      </vt:variant>
      <vt:variant>
        <vt:i4>48</vt:i4>
      </vt:variant>
      <vt:variant>
        <vt:i4>0</vt:i4>
      </vt:variant>
      <vt:variant>
        <vt:i4>5</vt:i4>
      </vt:variant>
      <vt:variant>
        <vt:lpwstr>https://doi.org/10.1186/s13059-014-0550-8</vt:lpwstr>
      </vt:variant>
      <vt:variant>
        <vt:lpwstr/>
      </vt:variant>
      <vt:variant>
        <vt:i4>2031639</vt:i4>
      </vt:variant>
      <vt:variant>
        <vt:i4>45</vt:i4>
      </vt:variant>
      <vt:variant>
        <vt:i4>0</vt:i4>
      </vt:variant>
      <vt:variant>
        <vt:i4>5</vt:i4>
      </vt:variant>
      <vt:variant>
        <vt:lpwstr>https://doi.org/10.3390/crops4020013</vt:lpwstr>
      </vt:variant>
      <vt:variant>
        <vt:lpwstr/>
      </vt:variant>
      <vt:variant>
        <vt:i4>4128865</vt:i4>
      </vt:variant>
      <vt:variant>
        <vt:i4>42</vt:i4>
      </vt:variant>
      <vt:variant>
        <vt:i4>0</vt:i4>
      </vt:variant>
      <vt:variant>
        <vt:i4>5</vt:i4>
      </vt:variant>
      <vt:variant>
        <vt:lpwstr>https://doi.org/10.1093/nar/gks808</vt:lpwstr>
      </vt:variant>
      <vt:variant>
        <vt:lpwstr/>
      </vt:variant>
      <vt:variant>
        <vt:i4>3997796</vt:i4>
      </vt:variant>
      <vt:variant>
        <vt:i4>39</vt:i4>
      </vt:variant>
      <vt:variant>
        <vt:i4>0</vt:i4>
      </vt:variant>
      <vt:variant>
        <vt:i4>5</vt:i4>
      </vt:variant>
      <vt:variant>
        <vt:lpwstr>https://doi.org/10.1093/bib/bbn013</vt:lpwstr>
      </vt:variant>
      <vt:variant>
        <vt:lpwstr/>
      </vt:variant>
      <vt:variant>
        <vt:i4>8061011</vt:i4>
      </vt:variant>
      <vt:variant>
        <vt:i4>36</vt:i4>
      </vt:variant>
      <vt:variant>
        <vt:i4>0</vt:i4>
      </vt:variant>
      <vt:variant>
        <vt:i4>5</vt:i4>
      </vt:variant>
      <vt:variant>
        <vt:lpwstr>https://doi.org/10.1007/978-3-031-93444-5_14</vt:lpwstr>
      </vt:variant>
      <vt:variant>
        <vt:lpwstr/>
      </vt:variant>
      <vt:variant>
        <vt:i4>6946865</vt:i4>
      </vt:variant>
      <vt:variant>
        <vt:i4>33</vt:i4>
      </vt:variant>
      <vt:variant>
        <vt:i4>0</vt:i4>
      </vt:variant>
      <vt:variant>
        <vt:i4>5</vt:i4>
      </vt:variant>
      <vt:variant>
        <vt:lpwstr>https://doi.org/10.1016/j.jbiotec.2017.06.1198</vt:lpwstr>
      </vt:variant>
      <vt:variant>
        <vt:lpwstr/>
      </vt:variant>
      <vt:variant>
        <vt:i4>6881332</vt:i4>
      </vt:variant>
      <vt:variant>
        <vt:i4>30</vt:i4>
      </vt:variant>
      <vt:variant>
        <vt:i4>0</vt:i4>
      </vt:variant>
      <vt:variant>
        <vt:i4>5</vt:i4>
      </vt:variant>
      <vt:variant>
        <vt:lpwstr>https://doi.org/10.3390/plants13213082</vt:lpwstr>
      </vt:variant>
      <vt:variant>
        <vt:lpwstr/>
      </vt:variant>
      <vt:variant>
        <vt:i4>852052</vt:i4>
      </vt:variant>
      <vt:variant>
        <vt:i4>27</vt:i4>
      </vt:variant>
      <vt:variant>
        <vt:i4>0</vt:i4>
      </vt:variant>
      <vt:variant>
        <vt:i4>5</vt:i4>
      </vt:variant>
      <vt:variant>
        <vt:lpwstr>https://doi.org/10.3390/ijms23062990</vt:lpwstr>
      </vt:variant>
      <vt:variant>
        <vt:lpwstr/>
      </vt:variant>
      <vt:variant>
        <vt:i4>6291508</vt:i4>
      </vt:variant>
      <vt:variant>
        <vt:i4>24</vt:i4>
      </vt:variant>
      <vt:variant>
        <vt:i4>0</vt:i4>
      </vt:variant>
      <vt:variant>
        <vt:i4>5</vt:i4>
      </vt:variant>
      <vt:variant>
        <vt:lpwstr>https://doi.org/10.3390/plants10050995</vt:lpwstr>
      </vt:variant>
      <vt:variant>
        <vt:lpwstr/>
      </vt:variant>
      <vt:variant>
        <vt:i4>8061055</vt:i4>
      </vt:variant>
      <vt:variant>
        <vt:i4>21</vt:i4>
      </vt:variant>
      <vt:variant>
        <vt:i4>0</vt:i4>
      </vt:variant>
      <vt:variant>
        <vt:i4>5</vt:i4>
      </vt:variant>
      <vt:variant>
        <vt:lpwstr>https://doi.org/10.29312/remexca.v12i5.2905</vt:lpwstr>
      </vt:variant>
      <vt:variant>
        <vt:lpwstr/>
      </vt:variant>
      <vt:variant>
        <vt:i4>6553720</vt:i4>
      </vt:variant>
      <vt:variant>
        <vt:i4>18</vt:i4>
      </vt:variant>
      <vt:variant>
        <vt:i4>0</vt:i4>
      </vt:variant>
      <vt:variant>
        <vt:i4>5</vt:i4>
      </vt:variant>
      <vt:variant>
        <vt:lpwstr>https://doi.org/10.1093/pcp/pcae044</vt:lpwstr>
      </vt:variant>
      <vt:variant>
        <vt:lpwstr/>
      </vt:variant>
      <vt:variant>
        <vt:i4>2818085</vt:i4>
      </vt:variant>
      <vt:variant>
        <vt:i4>15</vt:i4>
      </vt:variant>
      <vt:variant>
        <vt:i4>0</vt:i4>
      </vt:variant>
      <vt:variant>
        <vt:i4>5</vt:i4>
      </vt:variant>
      <vt:variant>
        <vt:lpwstr>https://doi.org/10.7717/peerj.9593</vt:lpwstr>
      </vt:variant>
      <vt:variant>
        <vt:lpwstr/>
      </vt:variant>
      <vt:variant>
        <vt:i4>3539062</vt:i4>
      </vt:variant>
      <vt:variant>
        <vt:i4>12</vt:i4>
      </vt:variant>
      <vt:variant>
        <vt:i4>0</vt:i4>
      </vt:variant>
      <vt:variant>
        <vt:i4>5</vt:i4>
      </vt:variant>
      <vt:variant>
        <vt:lpwstr>https://doi.org/10.1002/cbdv.202201243</vt:lpwstr>
      </vt:variant>
      <vt:variant>
        <vt:lpwstr/>
      </vt:variant>
      <vt:variant>
        <vt:i4>4718659</vt:i4>
      </vt:variant>
      <vt:variant>
        <vt:i4>9</vt:i4>
      </vt:variant>
      <vt:variant>
        <vt:i4>0</vt:i4>
      </vt:variant>
      <vt:variant>
        <vt:i4>5</vt:i4>
      </vt:variant>
      <vt:variant>
        <vt:lpwstr>https://doi.org/10.1080/1040841X.2020.1828816</vt:lpwstr>
      </vt:variant>
      <vt:variant>
        <vt:lpwstr/>
      </vt:variant>
      <vt:variant>
        <vt:i4>1310727</vt:i4>
      </vt:variant>
      <vt:variant>
        <vt:i4>6</vt:i4>
      </vt:variant>
      <vt:variant>
        <vt:i4>0</vt:i4>
      </vt:variant>
      <vt:variant>
        <vt:i4>5</vt:i4>
      </vt:variant>
      <vt:variant>
        <vt:lpwstr>https://doi.org/10.2903/j.efsa.2020.6132</vt:lpwstr>
      </vt:variant>
      <vt:variant>
        <vt:lpwstr/>
      </vt:variant>
      <vt:variant>
        <vt:i4>5505040</vt:i4>
      </vt:variant>
      <vt:variant>
        <vt:i4>3</vt:i4>
      </vt:variant>
      <vt:variant>
        <vt:i4>0</vt:i4>
      </vt:variant>
      <vt:variant>
        <vt:i4>5</vt:i4>
      </vt:variant>
      <vt:variant>
        <vt:lpwstr>https://orcid.org/0000-0002-1849-5748</vt:lpwstr>
      </vt:variant>
      <vt:variant>
        <vt:lpwstr/>
      </vt:variant>
      <vt:variant>
        <vt:i4>6225945</vt:i4>
      </vt:variant>
      <vt:variant>
        <vt:i4>0</vt:i4>
      </vt:variant>
      <vt:variant>
        <vt:i4>0</vt:i4>
      </vt:variant>
      <vt:variant>
        <vt:i4>5</vt:i4>
      </vt:variant>
      <vt:variant>
        <vt:lpwstr>https://orcid.org/0000-0002-4199-0632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2026-01-23T22:12:00Z</dcterms:created>
  <dcterms:modified xsi:type="dcterms:W3CDTF">2026-01-23T22:16:00Z</dcterms:modified>
</cp:coreProperties>
</file>