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6C" w:rsidRPr="00ED54FD" w:rsidRDefault="00636C6C" w:rsidP="0050126E">
      <w:pPr>
        <w:spacing w:line="480" w:lineRule="auto"/>
      </w:pPr>
    </w:p>
    <w:p w:rsidR="00636C6C" w:rsidRPr="00ED54FD" w:rsidRDefault="00636C6C" w:rsidP="00C9399F">
      <w:pPr>
        <w:spacing w:line="480" w:lineRule="auto"/>
        <w:jc w:val="center"/>
      </w:pPr>
      <w:r w:rsidRPr="00ED54FD">
        <w:t xml:space="preserve">Identificación por PCR-SSCP de genes de cefotaximasas en aislamientos hospitalarios de </w:t>
      </w:r>
      <w:r w:rsidRPr="00ED54FD">
        <w:rPr>
          <w:i/>
        </w:rPr>
        <w:t>Enterobacteriaceae</w:t>
      </w:r>
    </w:p>
    <w:p w:rsidR="00636C6C" w:rsidRPr="00ED54FD" w:rsidRDefault="00636C6C" w:rsidP="00C9399F">
      <w:pPr>
        <w:spacing w:line="480" w:lineRule="auto"/>
        <w:jc w:val="center"/>
      </w:pPr>
    </w:p>
    <w:p w:rsidR="00636C6C" w:rsidRPr="00ED54FD" w:rsidRDefault="00636C6C" w:rsidP="00C9399F">
      <w:pPr>
        <w:spacing w:line="480" w:lineRule="auto"/>
        <w:jc w:val="center"/>
        <w:rPr>
          <w:lang w:val="en-US"/>
        </w:rPr>
      </w:pPr>
      <w:r w:rsidRPr="00ED54FD">
        <w:rPr>
          <w:lang w:val="en-US"/>
        </w:rPr>
        <w:t xml:space="preserve">Identification of genes for cefotaximases in hospital isolates of </w:t>
      </w:r>
      <w:r w:rsidRPr="00ED54FD">
        <w:rPr>
          <w:i/>
          <w:lang w:val="en-US"/>
        </w:rPr>
        <w:t>Enterobacteriaceae</w:t>
      </w:r>
      <w:r w:rsidRPr="00ED54FD">
        <w:rPr>
          <w:lang w:val="en-US"/>
        </w:rPr>
        <w:t xml:space="preserve"> by PCR-SSCP</w:t>
      </w:r>
    </w:p>
    <w:p w:rsidR="00636C6C" w:rsidRPr="00ED54FD" w:rsidRDefault="00636C6C" w:rsidP="00C9399F">
      <w:pPr>
        <w:spacing w:line="480" w:lineRule="auto"/>
        <w:jc w:val="center"/>
        <w:rPr>
          <w:lang w:val="en-US"/>
        </w:rPr>
      </w:pPr>
    </w:p>
    <w:p w:rsidR="00636C6C" w:rsidRPr="00ED54FD" w:rsidRDefault="00636C6C" w:rsidP="00C9399F">
      <w:pPr>
        <w:spacing w:line="480" w:lineRule="auto"/>
      </w:pPr>
      <w:r>
        <w:rPr>
          <w:b/>
          <w:highlight w:val="cyan"/>
        </w:rPr>
        <w:t xml:space="preserve">Título corto: </w:t>
      </w:r>
      <w:r w:rsidRPr="006834FE">
        <w:rPr>
          <w:highlight w:val="cyan"/>
        </w:rPr>
        <w:t xml:space="preserve">Identificación por PCR-SSCP de genes </w:t>
      </w:r>
      <w:r w:rsidRPr="006834FE">
        <w:rPr>
          <w:i/>
          <w:highlight w:val="cyan"/>
        </w:rPr>
        <w:t>bla</w:t>
      </w:r>
      <w:r w:rsidRPr="006834FE">
        <w:rPr>
          <w:highlight w:val="cyan"/>
        </w:rPr>
        <w:t>[CTX-M]</w:t>
      </w:r>
    </w:p>
    <w:p w:rsidR="00636C6C" w:rsidRPr="00ED54FD" w:rsidRDefault="00636C6C" w:rsidP="0050126E">
      <w:pPr>
        <w:spacing w:line="480" w:lineRule="auto"/>
      </w:pPr>
    </w:p>
    <w:p w:rsidR="00636C6C" w:rsidRDefault="00636C6C" w:rsidP="006834FE">
      <w:pPr>
        <w:spacing w:line="480" w:lineRule="auto"/>
        <w:jc w:val="center"/>
      </w:pPr>
      <w:r w:rsidRPr="00ED54FD">
        <w:t>José Ramón Mantilla Anaya</w:t>
      </w:r>
      <w:r w:rsidRPr="00ED54FD">
        <w:rPr>
          <w:rStyle w:val="FootnoteReference"/>
        </w:rPr>
        <w:footnoteReference w:customMarkFollows="1" w:id="1"/>
        <w:t>*</w:t>
      </w:r>
      <w:r>
        <w:t>,</w:t>
      </w:r>
      <w:r w:rsidRPr="00ED54FD">
        <w:t>Emiliano Barreto Hernández</w:t>
      </w:r>
      <w:r w:rsidRPr="00ED54FD">
        <w:rPr>
          <w:rStyle w:val="FootnoteReference"/>
        </w:rPr>
        <w:footnoteReference w:customMarkFollows="1" w:id="2"/>
        <w:t>*</w:t>
      </w:r>
      <w:r w:rsidRPr="00ED54FD">
        <w:rPr>
          <w:rStyle w:val="FootnoteReference"/>
        </w:rPr>
        <w:footnoteReference w:customMarkFollows="1" w:id="3"/>
        <w:t>*</w:t>
      </w:r>
      <w:r>
        <w:t>,</w:t>
      </w:r>
      <w:r w:rsidRPr="00ED54FD">
        <w:t>María Teresa Reguero Reza</w:t>
      </w:r>
      <w:r w:rsidRPr="00ED54FD">
        <w:rPr>
          <w:rStyle w:val="FootnoteReference"/>
        </w:rPr>
        <w:footnoteReference w:customMarkFollows="1" w:id="4"/>
        <w:t>*</w:t>
      </w:r>
      <w:r w:rsidRPr="00ED54FD">
        <w:rPr>
          <w:rStyle w:val="FootnoteReference"/>
        </w:rPr>
        <w:footnoteReference w:customMarkFollows="1" w:id="5"/>
        <w:t>*</w:t>
      </w:r>
      <w:r w:rsidRPr="00ED54FD">
        <w:rPr>
          <w:rStyle w:val="FootnoteReference"/>
        </w:rPr>
        <w:footnoteReference w:customMarkFollows="1" w:id="6"/>
        <w:t>*</w:t>
      </w:r>
      <w:r>
        <w:t>,</w:t>
      </w:r>
      <w:r w:rsidRPr="00ED54FD">
        <w:t>Daniel Augusto Velandia Rodríguez</w:t>
      </w:r>
      <w:r w:rsidRPr="00ED54FD">
        <w:rPr>
          <w:rStyle w:val="FootnoteReference"/>
        </w:rPr>
        <w:footnoteReference w:customMarkFollows="1" w:id="7"/>
        <w:t>*</w:t>
      </w:r>
      <w:r w:rsidRPr="00ED54FD">
        <w:rPr>
          <w:rStyle w:val="FootnoteReference"/>
        </w:rPr>
        <w:footnoteReference w:customMarkFollows="1" w:id="8"/>
        <w:t>*</w:t>
      </w:r>
      <w:r w:rsidRPr="00ED54FD">
        <w:rPr>
          <w:rStyle w:val="FootnoteReference"/>
        </w:rPr>
        <w:footnoteReference w:customMarkFollows="1" w:id="9"/>
        <w:t>*</w:t>
      </w:r>
      <w:r w:rsidRPr="00ED54FD">
        <w:rPr>
          <w:rStyle w:val="FootnoteReference"/>
        </w:rPr>
        <w:footnoteReference w:customMarkFollows="1" w:id="10"/>
        <w:t>*</w:t>
      </w:r>
    </w:p>
    <w:p w:rsidR="00636C6C" w:rsidRDefault="00636C6C" w:rsidP="0050126E">
      <w:pPr>
        <w:spacing w:line="480" w:lineRule="auto"/>
      </w:pPr>
    </w:p>
    <w:p w:rsidR="00636C6C" w:rsidRDefault="00636C6C" w:rsidP="0050126E">
      <w:pPr>
        <w:spacing w:line="480" w:lineRule="auto"/>
      </w:pPr>
      <w:r>
        <w:t>Recibido: agosto 21 de 2009</w:t>
      </w:r>
    </w:p>
    <w:p w:rsidR="00636C6C" w:rsidRDefault="00636C6C" w:rsidP="0050126E">
      <w:pPr>
        <w:spacing w:line="480" w:lineRule="auto"/>
      </w:pPr>
      <w:r>
        <w:t>Aprobado: noviembre 12 de 2009</w:t>
      </w:r>
    </w:p>
    <w:p w:rsidR="00636C6C" w:rsidRPr="00ED54FD" w:rsidRDefault="00636C6C" w:rsidP="0050126E">
      <w:pPr>
        <w:spacing w:line="480" w:lineRule="auto"/>
      </w:pPr>
    </w:p>
    <w:p w:rsidR="00636C6C" w:rsidRPr="00ED54FD" w:rsidRDefault="00636C6C" w:rsidP="0050126E">
      <w:pPr>
        <w:spacing w:line="480" w:lineRule="auto"/>
        <w:rPr>
          <w:b/>
        </w:rPr>
      </w:pPr>
      <w:r w:rsidRPr="00ED54FD">
        <w:rPr>
          <w:b/>
        </w:rPr>
        <w:t xml:space="preserve">Resumen </w:t>
      </w:r>
    </w:p>
    <w:p w:rsidR="00636C6C" w:rsidRPr="00ED54FD" w:rsidRDefault="00636C6C" w:rsidP="0050126E">
      <w:pPr>
        <w:spacing w:line="480" w:lineRule="auto"/>
      </w:pPr>
      <w:r w:rsidRPr="00ED54FD">
        <w:t xml:space="preserve">Las cefotaximasas (CTX-M) son las beta-lactamasas de espectro extendido más ampliamente diseminadas entre especies de </w:t>
      </w:r>
      <w:smartTag w:uri="urn:schemas-microsoft-com:office:smarttags" w:element="PersonName">
        <w:smartTagPr>
          <w:attr w:name="ProductID" w:val="la familia Enterobacteriaceae"/>
        </w:smartTagPr>
        <w:r w:rsidRPr="00ED54FD">
          <w:t xml:space="preserve">la familia </w:t>
        </w:r>
        <w:r w:rsidRPr="006C5AC7">
          <w:rPr>
            <w:i/>
          </w:rPr>
          <w:t>Enterobacteriaceae</w:t>
        </w:r>
      </w:smartTag>
      <w:r>
        <w:t>,</w:t>
      </w:r>
      <w:r w:rsidRPr="00ED54FD">
        <w:t xml:space="preserve"> y son la causa principal de resistencia en aislamientos causantes de infección intrahospitalaria. El objetivo del presente trabajo fue identificar variantes de cefotaximasas del grupo CTX-M-1 mediante el análisis del polimorfismo conformacional de cadena sencilla (SSCP) de fragmentos de restricción provenientes de los productos de la amplificación por PCR de los genes </w:t>
      </w:r>
      <w:r w:rsidRPr="00ED54FD">
        <w:rPr>
          <w:i/>
        </w:rPr>
        <w:t>bla</w:t>
      </w:r>
      <w:r w:rsidRPr="00ED54FD">
        <w:rPr>
          <w:vertAlign w:val="subscript"/>
        </w:rPr>
        <w:t>CTX-M</w:t>
      </w:r>
      <w:r>
        <w:t xml:space="preserve">. </w:t>
      </w:r>
      <w:r w:rsidRPr="00ED54FD">
        <w:t>Con el procedimiento PCR-SSCP estandarizado</w:t>
      </w:r>
      <w:r>
        <w:t>,</w:t>
      </w:r>
      <w:r w:rsidRPr="00ED54FD">
        <w:t xml:space="preserve"> en este trabajo se analizaron 49 aislamientos de enterobacterias recolectados en 8 hospitales de Bogotá, D.C., adscritos a </w:t>
      </w:r>
      <w:smartTag w:uri="urn:schemas-microsoft-com:office:smarttags" w:element="PersonName">
        <w:smartTagPr>
          <w:attr w:name="ProductID" w:val="la Secretar￭a Distrital"/>
        </w:smartTagPr>
        <w:r w:rsidRPr="00ED54FD">
          <w:t>la Secretaría Distrital</w:t>
        </w:r>
      </w:smartTag>
      <w:r w:rsidRPr="00ED54FD">
        <w:t xml:space="preserve"> de Salud. Se detectaron las variantes CTX-M-12, CTX-M-15, CTX-M-12a, y CTX-M-1 y una nueva variante denominada CTX-M-60. Todas las variantes fueron detectadas tanto en aislamientos intrahospitalarios como de la comunidad</w:t>
      </w:r>
      <w:r>
        <w:t>,</w:t>
      </w:r>
      <w:r w:rsidRPr="00ED54FD">
        <w:t xml:space="preserve"> lo que indica posible movilidad de estos genes desde y hacia los centros hospitalarios. Esta publicación constituye el primer reporte en Colombia de </w:t>
      </w:r>
      <w:smartTag w:uri="urn:schemas-microsoft-com:office:smarttags" w:element="PersonName">
        <w:smartTagPr>
          <w:attr w:name="ProductID" w:val="la variante CTXM-12"/>
        </w:smartTagPr>
        <w:r w:rsidRPr="00ED54FD">
          <w:t>la variante CTXM-12</w:t>
        </w:r>
      </w:smartTag>
      <w:r w:rsidRPr="00ED54FD">
        <w:t xml:space="preserve">a y la nueva variante evolutiva CTX-M-60. </w:t>
      </w:r>
    </w:p>
    <w:p w:rsidR="00636C6C" w:rsidRPr="00ED54FD" w:rsidRDefault="00636C6C" w:rsidP="0050126E">
      <w:pPr>
        <w:spacing w:line="480" w:lineRule="auto"/>
        <w:rPr>
          <w:b/>
        </w:rPr>
      </w:pPr>
      <w:r w:rsidRPr="00ED54FD">
        <w:rPr>
          <w:b/>
        </w:rPr>
        <w:br w:type="page"/>
      </w:r>
    </w:p>
    <w:p w:rsidR="00636C6C" w:rsidRPr="00ED54FD" w:rsidRDefault="00636C6C" w:rsidP="0050126E">
      <w:pPr>
        <w:spacing w:line="480" w:lineRule="auto"/>
      </w:pPr>
      <w:r w:rsidRPr="00ED54FD">
        <w:rPr>
          <w:b/>
        </w:rPr>
        <w:t>Palabras clave</w:t>
      </w:r>
      <w:r w:rsidRPr="006834FE">
        <w:t>:</w:t>
      </w:r>
      <w:r>
        <w:t xml:space="preserve"> r</w:t>
      </w:r>
      <w:r w:rsidRPr="00ED54FD">
        <w:t>esistencia microbiana, cefotaximasas (CTX-M), polimorfismo conformacional de cadena sencilla (SSCP), beta-lactamasas de espectro extendido (BLEE), infección hospitalaria.</w:t>
      </w:r>
      <w:r w:rsidRPr="00ED54FD" w:rsidDel="00F777DE">
        <w:t xml:space="preserve"> </w:t>
      </w:r>
    </w:p>
    <w:p w:rsidR="00636C6C" w:rsidRPr="00ED54FD" w:rsidRDefault="00636C6C" w:rsidP="0050126E">
      <w:pPr>
        <w:spacing w:line="480" w:lineRule="auto"/>
      </w:pPr>
    </w:p>
    <w:p w:rsidR="00636C6C" w:rsidRPr="006834FE" w:rsidRDefault="00636C6C" w:rsidP="0050126E">
      <w:pPr>
        <w:spacing w:line="480" w:lineRule="auto"/>
        <w:rPr>
          <w:b/>
          <w:lang w:val="en-US"/>
        </w:rPr>
      </w:pPr>
      <w:r w:rsidRPr="006834FE">
        <w:rPr>
          <w:b/>
          <w:lang w:val="en-US"/>
        </w:rPr>
        <w:t>Abstract</w:t>
      </w:r>
    </w:p>
    <w:p w:rsidR="00636C6C" w:rsidRPr="00ED54FD" w:rsidRDefault="00636C6C" w:rsidP="0050126E">
      <w:pPr>
        <w:spacing w:line="480" w:lineRule="auto"/>
        <w:rPr>
          <w:lang w:val="en-GB"/>
        </w:rPr>
      </w:pPr>
      <w:r w:rsidRPr="00ED54FD">
        <w:rPr>
          <w:lang w:val="en-GB"/>
        </w:rPr>
        <w:t xml:space="preserve">CTX-M cefotaximases are the most widely distributed extended-spectrum beta-lactamases among </w:t>
      </w:r>
      <w:r w:rsidRPr="00ED54FD">
        <w:rPr>
          <w:i/>
          <w:lang w:val="en-GB"/>
        </w:rPr>
        <w:t>Enterobacteriaceae</w:t>
      </w:r>
      <w:r w:rsidRPr="00ED54FD">
        <w:rPr>
          <w:lang w:val="en-GB"/>
        </w:rPr>
        <w:t xml:space="preserve"> and they are an important cause of microbial resistance in nosocomial infection-causing isolates. The objective of this work was to identify variants of group 1 CTX-M cefotaximases, through </w:t>
      </w:r>
      <w:r w:rsidRPr="00ED54FD">
        <w:rPr>
          <w:bCs/>
          <w:lang w:val="en-GB"/>
        </w:rPr>
        <w:t>Single-Stranded Conformational </w:t>
      </w:r>
      <w:r w:rsidRPr="00ED54FD">
        <w:rPr>
          <w:lang w:val="en-GB"/>
        </w:rPr>
        <w:t>P</w:t>
      </w:r>
      <w:r w:rsidRPr="00ED54FD">
        <w:rPr>
          <w:bCs/>
          <w:lang w:val="en-GB"/>
        </w:rPr>
        <w:t xml:space="preserve">olymorphism of Restriction Fragments (RF-SSCP), from PCR amplified </w:t>
      </w:r>
      <w:r w:rsidRPr="00ED54FD">
        <w:rPr>
          <w:i/>
          <w:lang w:val="en-GB"/>
        </w:rPr>
        <w:t>bla</w:t>
      </w:r>
      <w:r w:rsidRPr="00ED54FD">
        <w:rPr>
          <w:vertAlign w:val="subscript"/>
          <w:lang w:val="en-GB"/>
        </w:rPr>
        <w:t xml:space="preserve">CTX-M </w:t>
      </w:r>
      <w:r w:rsidRPr="00ED54FD">
        <w:rPr>
          <w:lang w:val="en-GB"/>
        </w:rPr>
        <w:t xml:space="preserve">genes. With the RF-SSCP procedure that was standardized in this work, we analyzed 49 Enterobacteria isolates collected in eight hospitals attached to the Health Secretariat of Bogota city (Secretaría Distrital de Salud). CTX-M-12, CTX-M-15, CTX-M-12a and CTX-M-1 variants were detected as well as a new one designated as CTX-M-60. All variants were detected in isolates from hospital and community which indicates a possible high mobility of these genes from and towards hospital centers. This study represents the first report in </w:t>
      </w:r>
      <w:smartTag w:uri="urn:schemas-microsoft-com:office:smarttags" w:element="country-region">
        <w:smartTag w:uri="urn:schemas-microsoft-com:office:smarttags" w:element="place">
          <w:r w:rsidRPr="00ED54FD">
            <w:rPr>
              <w:lang w:val="en-GB"/>
            </w:rPr>
            <w:t>Colombia</w:t>
          </w:r>
        </w:smartTag>
      </w:smartTag>
      <w:r w:rsidRPr="00ED54FD">
        <w:rPr>
          <w:lang w:val="en-GB"/>
        </w:rPr>
        <w:t xml:space="preserve"> of CTXM-12a and of the new evolutive variant CTX-M-60. </w:t>
      </w:r>
    </w:p>
    <w:p w:rsidR="00636C6C" w:rsidRPr="00ED54FD" w:rsidRDefault="00636C6C" w:rsidP="0050126E">
      <w:pPr>
        <w:spacing w:line="480" w:lineRule="auto"/>
        <w:rPr>
          <w:lang w:val="en-GB"/>
        </w:rPr>
      </w:pPr>
    </w:p>
    <w:p w:rsidR="00636C6C" w:rsidRPr="00ED54FD" w:rsidRDefault="00636C6C" w:rsidP="0050126E">
      <w:pPr>
        <w:spacing w:line="480" w:lineRule="auto"/>
        <w:rPr>
          <w:lang w:val="en-GB"/>
        </w:rPr>
      </w:pPr>
      <w:r w:rsidRPr="00ED54FD">
        <w:rPr>
          <w:b/>
          <w:lang w:val="en-GB"/>
        </w:rPr>
        <w:t>Key words</w:t>
      </w:r>
      <w:r w:rsidRPr="006834FE">
        <w:rPr>
          <w:lang w:val="en-GB"/>
        </w:rPr>
        <w:t>:</w:t>
      </w:r>
      <w:r>
        <w:rPr>
          <w:lang w:val="en-GB"/>
        </w:rPr>
        <w:t xml:space="preserve"> </w:t>
      </w:r>
      <w:r w:rsidRPr="00ED54FD">
        <w:rPr>
          <w:bCs/>
          <w:lang w:val="en-GB"/>
        </w:rPr>
        <w:t>Drug resistance</w:t>
      </w:r>
      <w:r>
        <w:rPr>
          <w:bCs/>
          <w:lang w:val="en-GB"/>
        </w:rPr>
        <w:t>,</w:t>
      </w:r>
      <w:r w:rsidRPr="00ED54FD">
        <w:rPr>
          <w:bCs/>
          <w:lang w:val="en-GB"/>
        </w:rPr>
        <w:t xml:space="preserve"> cefotaximase (CTX-M)</w:t>
      </w:r>
      <w:r>
        <w:rPr>
          <w:bCs/>
          <w:lang w:val="en-GB"/>
        </w:rPr>
        <w:t>,</w:t>
      </w:r>
      <w:r w:rsidRPr="00ED54FD">
        <w:rPr>
          <w:bCs/>
          <w:lang w:val="en-GB"/>
        </w:rPr>
        <w:t xml:space="preserve"> single-strand conformational </w:t>
      </w:r>
      <w:r w:rsidRPr="00ED54FD">
        <w:rPr>
          <w:lang w:val="en-GB"/>
        </w:rPr>
        <w:t>p</w:t>
      </w:r>
      <w:r w:rsidRPr="00ED54FD">
        <w:rPr>
          <w:bCs/>
          <w:lang w:val="en-GB"/>
        </w:rPr>
        <w:t>olymorphism (SSCP)</w:t>
      </w:r>
      <w:r>
        <w:rPr>
          <w:bCs/>
          <w:lang w:val="en-GB"/>
        </w:rPr>
        <w:t>,</w:t>
      </w:r>
      <w:r w:rsidRPr="00ED54FD">
        <w:rPr>
          <w:bCs/>
          <w:lang w:val="en-GB"/>
        </w:rPr>
        <w:t xml:space="preserve"> </w:t>
      </w:r>
      <w:r w:rsidRPr="005E6ABB">
        <w:rPr>
          <w:rStyle w:val="searchmatch"/>
          <w:lang w:val="en-US"/>
        </w:rPr>
        <w:t>extended-spectrum</w:t>
      </w:r>
      <w:r w:rsidRPr="005E6ABB">
        <w:rPr>
          <w:lang w:val="en-US"/>
        </w:rPr>
        <w:t xml:space="preserve"> </w:t>
      </w:r>
      <w:r w:rsidRPr="005E6ABB">
        <w:rPr>
          <w:rStyle w:val="searchmatch"/>
          <w:lang w:val="en-US"/>
        </w:rPr>
        <w:t>beta-lactamase</w:t>
      </w:r>
      <w:r w:rsidRPr="005E6ABB">
        <w:rPr>
          <w:lang w:val="en-US"/>
        </w:rPr>
        <w:t xml:space="preserve"> (ESBL)</w:t>
      </w:r>
      <w:r>
        <w:rPr>
          <w:bCs/>
          <w:lang w:val="en-GB"/>
        </w:rPr>
        <w:t>,</w:t>
      </w:r>
      <w:r w:rsidRPr="00ED54FD">
        <w:rPr>
          <w:bCs/>
          <w:lang w:val="en-GB"/>
        </w:rPr>
        <w:t xml:space="preserve"> hospital infections</w:t>
      </w:r>
      <w:r>
        <w:rPr>
          <w:bCs/>
          <w:lang w:val="en-GB"/>
        </w:rPr>
        <w:t>.</w:t>
      </w:r>
    </w:p>
    <w:p w:rsidR="00636C6C" w:rsidRPr="00ED54FD" w:rsidRDefault="00636C6C" w:rsidP="0050126E">
      <w:pPr>
        <w:spacing w:line="480" w:lineRule="auto"/>
        <w:rPr>
          <w:lang w:val="en-GB"/>
        </w:rPr>
      </w:pPr>
    </w:p>
    <w:p w:rsidR="00636C6C" w:rsidRPr="00ED54FD" w:rsidRDefault="00636C6C" w:rsidP="0050126E">
      <w:pPr>
        <w:spacing w:line="480" w:lineRule="auto"/>
        <w:rPr>
          <w:b/>
        </w:rPr>
      </w:pPr>
      <w:r w:rsidRPr="00ED54FD">
        <w:rPr>
          <w:b/>
        </w:rPr>
        <w:t xml:space="preserve">Introducción </w:t>
      </w:r>
    </w:p>
    <w:p w:rsidR="00636C6C" w:rsidRPr="00ED54FD" w:rsidRDefault="00636C6C" w:rsidP="0050126E">
      <w:pPr>
        <w:spacing w:line="480" w:lineRule="auto"/>
      </w:pPr>
      <w:r w:rsidRPr="00ED54FD">
        <w:t>Las beta-lactamasas del tipo CTX-M, denominadas cefotaximasas, se caracterizan por hidrolizar eficientemente a cefotaxima. Estas beta-lactamasas de espectro extendido (BLEE) pueden conferir a las bacterias que las producen altos niveles de resistencia contra cefalosporinas de tercera generación (tales como cefotaxima y ceftriaxona) y monobactámicos (aztreonam)</w:t>
      </w:r>
      <w:r>
        <w:t>,</w:t>
      </w:r>
      <w:r w:rsidRPr="00ED54FD">
        <w:t xml:space="preserve"> y niveles variables de resistencia contra cefalosporinas de cuarta generación (cefepime y cefpirome). Aunque la mayoría de </w:t>
      </w:r>
      <w:smartTag w:uri="urn:schemas-microsoft-com:office:smarttags" w:element="PersonName">
        <w:smartTagPr>
          <w:attr w:name="ProductID" w:val="la enzimas CTX-M"/>
        </w:smartTagPr>
        <w:r w:rsidRPr="00ED54FD">
          <w:t>la enzimas CTX-M</w:t>
        </w:r>
      </w:smartTag>
      <w:r w:rsidRPr="00ED54FD">
        <w:t xml:space="preserve"> se caracterizan por tener mayor actividad sobre cefotaxima que sobre ceftazidima, también se han descrito variantes que muestran un perfil de actividad diferente. Así, en las variantes CTX-M-15, CTX-M-16 y CTX-M-27, la presencia de glicina en la posición 240 confiere un incremento significativo en los niveles de resistencia contra ceftazidima</w:t>
      </w:r>
      <w:r>
        <w:t>,</w:t>
      </w:r>
      <w:r w:rsidRPr="00ED54FD">
        <w:t xml:space="preserve"> y la presencia de serina en la posición 167, localizada en el “omega-loop”, le confiere a </w:t>
      </w:r>
      <w:smartTag w:uri="urn:schemas-microsoft-com:office:smarttags" w:element="PersonName">
        <w:smartTagPr>
          <w:attr w:name="ProductID" w:val="la variante CTX-M"/>
        </w:smartTagPr>
        <w:r w:rsidRPr="00ED54FD">
          <w:t>la variante CTX-M</w:t>
        </w:r>
      </w:smartTag>
      <w:r w:rsidRPr="00ED54FD">
        <w:t xml:space="preserve">-19 un mayor nivel de resistencia hacia ceftazidima que hacia cefotaxima (Bonnet </w:t>
      </w:r>
      <w:r w:rsidRPr="006834FE">
        <w:rPr>
          <w:i/>
        </w:rPr>
        <w:t>et al.</w:t>
      </w:r>
      <w:r w:rsidRPr="00ED54FD">
        <w:t xml:space="preserve">, 2001; Bonnet </w:t>
      </w:r>
      <w:r w:rsidRPr="009C61F7">
        <w:rPr>
          <w:i/>
        </w:rPr>
        <w:t>et al.</w:t>
      </w:r>
      <w:r w:rsidRPr="00ED54FD">
        <w:t xml:space="preserve">, 2003; Karim </w:t>
      </w:r>
      <w:r w:rsidRPr="009C61F7">
        <w:rPr>
          <w:i/>
        </w:rPr>
        <w:t>et al.</w:t>
      </w:r>
      <w:r w:rsidRPr="00ED54FD">
        <w:t xml:space="preserve">, 2001; Poirel </w:t>
      </w:r>
      <w:r w:rsidRPr="009C61F7">
        <w:rPr>
          <w:i/>
        </w:rPr>
        <w:t>et al.</w:t>
      </w:r>
      <w:r w:rsidRPr="00ED54FD">
        <w:t>, 2001).</w:t>
      </w:r>
    </w:p>
    <w:p w:rsidR="00636C6C" w:rsidRPr="00ED54FD" w:rsidRDefault="00636C6C" w:rsidP="0050126E">
      <w:pPr>
        <w:spacing w:line="480" w:lineRule="auto"/>
      </w:pPr>
    </w:p>
    <w:p w:rsidR="00636C6C" w:rsidRPr="00ED54FD" w:rsidRDefault="00636C6C" w:rsidP="0050126E">
      <w:pPr>
        <w:spacing w:line="480" w:lineRule="auto"/>
      </w:pPr>
      <w:r w:rsidRPr="00ED54FD">
        <w:t>En la actualidad</w:t>
      </w:r>
      <w:r>
        <w:t>,</w:t>
      </w:r>
      <w:r w:rsidRPr="00ED54FD">
        <w:t xml:space="preserve"> las beta-lactamasas CTX-M son consideradas como las BLEE más ampliamente diseminadas en diferentes partes del mundo</w:t>
      </w:r>
      <w:r>
        <w:t>,</w:t>
      </w:r>
      <w:r w:rsidRPr="00ED54FD">
        <w:t xml:space="preserve"> y son las más prevalentes en países de Europa y Sur América (Canton</w:t>
      </w:r>
      <w:r>
        <w:t>,</w:t>
      </w:r>
      <w:r w:rsidRPr="00ED54FD">
        <w:t xml:space="preserve"> 2006; Mella</w:t>
      </w:r>
      <w:r>
        <w:t>,</w:t>
      </w:r>
      <w:r w:rsidRPr="00ED54FD">
        <w:t xml:space="preserve"> 2001; Valenzuela </w:t>
      </w:r>
      <w:r w:rsidRPr="009C61F7">
        <w:rPr>
          <w:i/>
        </w:rPr>
        <w:t>et al.</w:t>
      </w:r>
      <w:r w:rsidRPr="00ED54FD">
        <w:t>,, 2005;</w:t>
      </w:r>
      <w:r>
        <w:t xml:space="preserve"> </w:t>
      </w:r>
      <w:r w:rsidRPr="00ED54FD">
        <w:t xml:space="preserve">Quinteros </w:t>
      </w:r>
      <w:r w:rsidRPr="009C61F7">
        <w:rPr>
          <w:i/>
        </w:rPr>
        <w:t>et al.</w:t>
      </w:r>
      <w:r w:rsidRPr="00ED54FD">
        <w:t xml:space="preserve">, 2003). </w:t>
      </w:r>
    </w:p>
    <w:p w:rsidR="00636C6C" w:rsidRPr="00ED54FD" w:rsidRDefault="00636C6C" w:rsidP="0050126E">
      <w:pPr>
        <w:spacing w:line="480" w:lineRule="auto"/>
      </w:pPr>
    </w:p>
    <w:p w:rsidR="00636C6C" w:rsidRPr="00ED54FD" w:rsidRDefault="00636C6C" w:rsidP="0050126E">
      <w:pPr>
        <w:pStyle w:val="Pa9"/>
        <w:tabs>
          <w:tab w:val="left" w:pos="8504"/>
        </w:tabs>
        <w:spacing w:line="480" w:lineRule="auto"/>
        <w:ind w:right="-1"/>
      </w:pPr>
      <w:r w:rsidRPr="00ED54FD">
        <w:t xml:space="preserve">Desde cuando </w:t>
      </w:r>
      <w:r w:rsidRPr="009C61F7">
        <w:t>Bauerfeind</w:t>
      </w:r>
      <w:r w:rsidRPr="00ED54FD">
        <w:t xml:space="preserve"> </w:t>
      </w:r>
      <w:r w:rsidRPr="009C61F7">
        <w:rPr>
          <w:i/>
        </w:rPr>
        <w:t>et al.</w:t>
      </w:r>
      <w:r w:rsidRPr="00ED54FD">
        <w:t xml:space="preserve"> (1990) describieron </w:t>
      </w:r>
      <w:smartTag w:uri="urn:schemas-microsoft-com:office:smarttags" w:element="PersonName">
        <w:smartTagPr>
          <w:attr w:name="ProductID" w:val="la primera CTX-M"/>
        </w:smartTagPr>
        <w:r w:rsidRPr="00ED54FD">
          <w:t>la primera CTX-M</w:t>
        </w:r>
      </w:smartTag>
      <w:r w:rsidRPr="00ED54FD">
        <w:t>,</w:t>
      </w:r>
      <w:r>
        <w:t xml:space="preserve"> </w:t>
      </w:r>
      <w:r w:rsidRPr="00ED54FD">
        <w:t>se ha observado una rápida y extensa aparición de nuevas CTX-M y</w:t>
      </w:r>
      <w:r>
        <w:t>,</w:t>
      </w:r>
      <w:r w:rsidRPr="00ED54FD">
        <w:t xml:space="preserve"> a la fecha</w:t>
      </w:r>
      <w:r>
        <w:t>,</w:t>
      </w:r>
      <w:r w:rsidRPr="00ED54FD">
        <w:t xml:space="preserve"> ya se han descrito más de 110 variantes, clasificadas de acuerdo con la similitud de sus secuencias en cinco grupos filogenéticos (CTX-M-1, CTX-M-2, CTX-M-8, CTX-M-9 y CTX-M-25) (Bonnet</w:t>
      </w:r>
      <w:r>
        <w:t>,</w:t>
      </w:r>
      <w:r w:rsidRPr="00ED54FD">
        <w:t xml:space="preserve"> 2004; Grupo de Bioinformática, </w:t>
      </w:r>
      <w:r>
        <w:t xml:space="preserve">s. f.) </w:t>
      </w:r>
    </w:p>
    <w:p w:rsidR="00636C6C" w:rsidRPr="00ED54FD" w:rsidRDefault="00636C6C" w:rsidP="0050126E">
      <w:pPr>
        <w:spacing w:line="480" w:lineRule="auto"/>
      </w:pPr>
    </w:p>
    <w:p w:rsidR="00636C6C" w:rsidRPr="00ED54FD" w:rsidRDefault="00636C6C" w:rsidP="0050126E">
      <w:pPr>
        <w:spacing w:line="480" w:lineRule="auto"/>
      </w:pPr>
      <w:r w:rsidRPr="00ED54FD">
        <w:t>En estudios de epidemiología molecular de la resistencia bacteriana no solo es importante identificar los determinantes genéticos de resistencia</w:t>
      </w:r>
      <w:r>
        <w:t>,</w:t>
      </w:r>
      <w:r w:rsidRPr="00ED54FD">
        <w:t xml:space="preserve"> sino que además es conveniente reconocer las variantes que puedan estar asociadas con aislamientos causantes de brotes infecciosos, identificar nuevas variantes que pueden estar comenzando a prevalecer en un ambiente determinado</w:t>
      </w:r>
      <w:r>
        <w:t>,</w:t>
      </w:r>
      <w:r w:rsidRPr="00ED54FD">
        <w:t xml:space="preserve"> y reconocer aqu</w:t>
      </w:r>
      <w:r>
        <w:t>é</w:t>
      </w:r>
      <w:r w:rsidRPr="00ED54FD">
        <w:t xml:space="preserve">llas con cambios en el espectro de actividad e incrementos de </w:t>
      </w:r>
      <w:smartTag w:uri="urn:schemas-microsoft-com:office:smarttags" w:element="PersonName">
        <w:smartTagPr>
          <w:attr w:name="ProductID" w:val="la actividad. Para"/>
        </w:smartTagPr>
        <w:r w:rsidRPr="00ED54FD">
          <w:t>la actividad. Para</w:t>
        </w:r>
      </w:smartTag>
      <w:r w:rsidRPr="00ED54FD">
        <w:t xml:space="preserve"> la identificación de variantes de β-lactamasas se sugiere el análisis del polimorfismo del gen amplificado por PCR (PCR-RFLP) </w:t>
      </w:r>
      <w:r w:rsidRPr="00ED54FD">
        <w:rPr>
          <w:b/>
        </w:rPr>
        <w:t>(</w:t>
      </w:r>
      <w:r w:rsidRPr="00ED54FD">
        <w:rPr>
          <w:rStyle w:val="Strong"/>
          <w:b w:val="0"/>
        </w:rPr>
        <w:t>Arlet,</w:t>
      </w:r>
      <w:r w:rsidRPr="00ED54FD">
        <w:rPr>
          <w:rStyle w:val="Strong"/>
        </w:rPr>
        <w:t xml:space="preserve"> </w:t>
      </w:r>
      <w:r w:rsidRPr="00ED54FD">
        <w:t>1995</w:t>
      </w:r>
      <w:r>
        <w:t>;</w:t>
      </w:r>
      <w:r w:rsidRPr="00ED54FD">
        <w:t xml:space="preserve"> Bradford, 2001), sin embargo</w:t>
      </w:r>
      <w:r>
        <w:t>,</w:t>
      </w:r>
      <w:r w:rsidRPr="00ED54FD">
        <w:t xml:space="preserve"> estas técnicas carecen de suficiente sensibilidad para diferenciar enzimas con alto grado de similitud</w:t>
      </w:r>
      <w:r>
        <w:t>,</w:t>
      </w:r>
      <w:r w:rsidRPr="00ED54FD">
        <w:t xml:space="preserve"> por lo cual la secuenciación del gen sigue siendo la técnica de referencia.</w:t>
      </w:r>
    </w:p>
    <w:p w:rsidR="00636C6C" w:rsidRPr="00ED54FD" w:rsidRDefault="00636C6C" w:rsidP="0050126E">
      <w:pPr>
        <w:spacing w:line="480" w:lineRule="auto"/>
        <w:rPr>
          <w:b/>
        </w:rPr>
      </w:pPr>
    </w:p>
    <w:p w:rsidR="00636C6C" w:rsidRPr="00ED54FD" w:rsidRDefault="00636C6C" w:rsidP="0050126E">
      <w:pPr>
        <w:spacing w:line="480" w:lineRule="auto"/>
      </w:pPr>
      <w:r w:rsidRPr="00ED54FD">
        <w:t xml:space="preserve">Según Orita </w:t>
      </w:r>
      <w:r w:rsidRPr="006834FE">
        <w:rPr>
          <w:i/>
        </w:rPr>
        <w:t>et al.</w:t>
      </w:r>
      <w:r w:rsidRPr="00ED54FD">
        <w:t xml:space="preserve"> (1989), el análisis del polimorfismo conformacional de cadenas sencillas de ADN (SSCP por las siglas del inglés: Single Strand Chain Polymorphism) ofrece un alto grado de sensibilidad para la detección de mutaciones puntuales en el ADN, puesto que permite detectar diferencias hasta de una base, por lo que la SSCP se ha considerado equivalente a la secuenciación de genes (Hennessy </w:t>
      </w:r>
      <w:r w:rsidRPr="00EE0C32">
        <w:rPr>
          <w:i/>
        </w:rPr>
        <w:t>et al</w:t>
      </w:r>
      <w:r>
        <w:t>.</w:t>
      </w:r>
      <w:r w:rsidRPr="00ED54FD">
        <w:t xml:space="preserve">, 1998). Esta técnica se ha utilizado con éxito para la identificación de variantes de beta-lactamasas de las familias TEM, SHV y OXA (M'Zali </w:t>
      </w:r>
      <w:r w:rsidRPr="006834FE">
        <w:rPr>
          <w:i/>
        </w:rPr>
        <w:t xml:space="preserve">et </w:t>
      </w:r>
      <w:r>
        <w:rPr>
          <w:i/>
        </w:rPr>
        <w:t>a</w:t>
      </w:r>
      <w:r w:rsidRPr="006834FE">
        <w:rPr>
          <w:i/>
        </w:rPr>
        <w:t>l.</w:t>
      </w:r>
      <w:r w:rsidRPr="00EE0C32">
        <w:t>,</w:t>
      </w:r>
      <w:r w:rsidRPr="00ED54FD">
        <w:t xml:space="preserve"> 1996</w:t>
      </w:r>
      <w:r>
        <w:t>,</w:t>
      </w:r>
      <w:r w:rsidRPr="00ED54FD">
        <w:t xml:space="preserve"> 1998; Speldooren </w:t>
      </w:r>
      <w:r w:rsidRPr="00EE0C32">
        <w:rPr>
          <w:i/>
        </w:rPr>
        <w:t xml:space="preserve">et </w:t>
      </w:r>
      <w:r>
        <w:rPr>
          <w:i/>
        </w:rPr>
        <w:t>a</w:t>
      </w:r>
      <w:r w:rsidRPr="00EE0C32">
        <w:rPr>
          <w:i/>
        </w:rPr>
        <w:t>l.</w:t>
      </w:r>
      <w:r w:rsidRPr="00EE0C32">
        <w:t>,</w:t>
      </w:r>
      <w:r w:rsidRPr="00ED54FD">
        <w:t xml:space="preserve"> 1998).</w:t>
      </w:r>
      <w:r>
        <w:t xml:space="preserve"> </w:t>
      </w:r>
    </w:p>
    <w:p w:rsidR="00636C6C" w:rsidRPr="00ED54FD" w:rsidRDefault="00636C6C" w:rsidP="0050126E">
      <w:pPr>
        <w:spacing w:line="480" w:lineRule="auto"/>
      </w:pPr>
    </w:p>
    <w:p w:rsidR="00636C6C" w:rsidRPr="00ED54FD" w:rsidRDefault="00636C6C" w:rsidP="0050126E">
      <w:pPr>
        <w:spacing w:line="480" w:lineRule="auto"/>
      </w:pPr>
      <w:r w:rsidRPr="00ED54FD">
        <w:t xml:space="preserve">Este trabajo describe una metodología para la identificación de genes que codifican cefotaximasas, basada en el análisis por SSCP de fragmentos de restricción de ADN obtenidos por amplificación por PCR de genes </w:t>
      </w:r>
      <w:r w:rsidRPr="00ED54FD">
        <w:rPr>
          <w:i/>
        </w:rPr>
        <w:t>bla</w:t>
      </w:r>
      <w:r w:rsidRPr="00ED54FD">
        <w:rPr>
          <w:vertAlign w:val="subscript"/>
        </w:rPr>
        <w:t>CTX-M</w:t>
      </w:r>
      <w:r w:rsidRPr="00ED54FD">
        <w:t xml:space="preserve"> del grupo CTX-M-1. Esta metodología permitió analizar toda la región que codifica el gen </w:t>
      </w:r>
      <w:r w:rsidRPr="00ED54FD">
        <w:rPr>
          <w:i/>
        </w:rPr>
        <w:t>bla</w:t>
      </w:r>
      <w:r w:rsidRPr="00ED54FD">
        <w:rPr>
          <w:vertAlign w:val="subscript"/>
        </w:rPr>
        <w:t>CTX-M</w:t>
      </w:r>
      <w:r w:rsidRPr="00ED54FD">
        <w:t xml:space="preserve"> y asignar un único perfil electroforético por SSCP a cada una de las variantes de cefotaximasas del grupo CTX-M-1 identificadas en este estudio.</w:t>
      </w:r>
    </w:p>
    <w:p w:rsidR="00636C6C" w:rsidRPr="00ED54FD" w:rsidRDefault="00636C6C" w:rsidP="0050126E">
      <w:pPr>
        <w:spacing w:line="480" w:lineRule="auto"/>
        <w:rPr>
          <w:b/>
        </w:rPr>
      </w:pPr>
    </w:p>
    <w:p w:rsidR="00636C6C" w:rsidRPr="00ED54FD" w:rsidRDefault="00636C6C" w:rsidP="0050126E">
      <w:pPr>
        <w:spacing w:line="480" w:lineRule="auto"/>
        <w:rPr>
          <w:b/>
        </w:rPr>
      </w:pPr>
    </w:p>
    <w:p w:rsidR="00636C6C" w:rsidRPr="00ED54FD" w:rsidRDefault="00636C6C" w:rsidP="0050126E">
      <w:pPr>
        <w:spacing w:line="480" w:lineRule="auto"/>
        <w:rPr>
          <w:b/>
        </w:rPr>
      </w:pPr>
      <w:r w:rsidRPr="00ED54FD">
        <w:rPr>
          <w:b/>
        </w:rPr>
        <w:t xml:space="preserve">Materiales y </w:t>
      </w:r>
      <w:r>
        <w:rPr>
          <w:b/>
        </w:rPr>
        <w:t>m</w:t>
      </w:r>
      <w:r w:rsidRPr="00ED54FD">
        <w:rPr>
          <w:b/>
        </w:rPr>
        <w:t>étodos</w:t>
      </w:r>
      <w:r>
        <w:rPr>
          <w:b/>
        </w:rPr>
        <w:t xml:space="preserve"> </w:t>
      </w:r>
    </w:p>
    <w:p w:rsidR="00636C6C" w:rsidRPr="00ED54FD" w:rsidRDefault="00636C6C" w:rsidP="0050126E">
      <w:pPr>
        <w:spacing w:line="480" w:lineRule="auto"/>
        <w:rPr>
          <w:b/>
        </w:rPr>
      </w:pPr>
    </w:p>
    <w:p w:rsidR="00636C6C" w:rsidRPr="00ED54FD" w:rsidRDefault="00636C6C" w:rsidP="0050126E">
      <w:pPr>
        <w:spacing w:line="480" w:lineRule="auto"/>
        <w:rPr>
          <w:b/>
        </w:rPr>
      </w:pPr>
      <w:r w:rsidRPr="00ED54FD">
        <w:rPr>
          <w:b/>
        </w:rPr>
        <w:t xml:space="preserve">Material biológico </w:t>
      </w:r>
    </w:p>
    <w:p w:rsidR="00636C6C" w:rsidRPr="00ED54FD" w:rsidRDefault="00636C6C" w:rsidP="0050126E">
      <w:pPr>
        <w:spacing w:line="480" w:lineRule="auto"/>
        <w:rPr>
          <w:b/>
        </w:rPr>
      </w:pPr>
    </w:p>
    <w:p w:rsidR="00636C6C" w:rsidRPr="00ED54FD" w:rsidRDefault="00636C6C" w:rsidP="0050126E">
      <w:pPr>
        <w:spacing w:line="480" w:lineRule="auto"/>
        <w:rPr>
          <w:kern w:val="28"/>
        </w:rPr>
      </w:pPr>
      <w:r w:rsidRPr="00ED54FD">
        <w:rPr>
          <w:kern w:val="28"/>
        </w:rPr>
        <w:t xml:space="preserve">En el estudio se incluyeron 49 aislamientos de enterobacterias portadores de genes </w:t>
      </w:r>
      <w:r w:rsidRPr="00ED54FD">
        <w:rPr>
          <w:i/>
        </w:rPr>
        <w:t>bla</w:t>
      </w:r>
      <w:r w:rsidRPr="00ED54FD">
        <w:rPr>
          <w:vertAlign w:val="subscript"/>
        </w:rPr>
        <w:t>CTX-M</w:t>
      </w:r>
      <w:r w:rsidRPr="00ED54FD">
        <w:t xml:space="preserve"> </w:t>
      </w:r>
      <w:r w:rsidRPr="00ED54FD">
        <w:rPr>
          <w:kern w:val="28"/>
        </w:rPr>
        <w:t>que codifican para beta-lactamasas del grupo CTX-M-1; 38 asociados con infección intrahospitalaria (IIH)</w:t>
      </w:r>
      <w:r>
        <w:rPr>
          <w:kern w:val="28"/>
        </w:rPr>
        <w:t>,</w:t>
      </w:r>
      <w:r w:rsidRPr="00ED54FD">
        <w:rPr>
          <w:kern w:val="28"/>
        </w:rPr>
        <w:t xml:space="preserve"> y 11 aislados de pacientes de consulta externa, denominados en el texto como de la comunidad (C), pertenecientes a las</w:t>
      </w:r>
      <w:r>
        <w:rPr>
          <w:kern w:val="28"/>
        </w:rPr>
        <w:t xml:space="preserve"> </w:t>
      </w:r>
      <w:r w:rsidRPr="00ED54FD">
        <w:rPr>
          <w:kern w:val="28"/>
        </w:rPr>
        <w:t xml:space="preserve">especies </w:t>
      </w:r>
      <w:r w:rsidRPr="00ED54FD">
        <w:rPr>
          <w:i/>
          <w:kern w:val="28"/>
        </w:rPr>
        <w:t>Klebsiella pneumoniae</w:t>
      </w:r>
      <w:r w:rsidRPr="00ED54FD">
        <w:rPr>
          <w:kern w:val="28"/>
        </w:rPr>
        <w:t xml:space="preserve"> (n=28; 23 IIH y </w:t>
      </w:r>
      <w:smartTag w:uri="urn:schemas-microsoft-com:office:smarttags" w:element="metricconverter">
        <w:smartTagPr>
          <w:attr w:name="ProductID" w:val="5 C"/>
        </w:smartTagPr>
        <w:r w:rsidRPr="00ED54FD">
          <w:rPr>
            <w:kern w:val="28"/>
          </w:rPr>
          <w:t>5 C</w:t>
        </w:r>
      </w:smartTag>
      <w:r w:rsidRPr="00ED54FD">
        <w:rPr>
          <w:kern w:val="28"/>
        </w:rPr>
        <w:t xml:space="preserve">), </w:t>
      </w:r>
      <w:r w:rsidRPr="00ED54FD">
        <w:rPr>
          <w:i/>
          <w:kern w:val="28"/>
        </w:rPr>
        <w:t>Klebsiella oxytoca</w:t>
      </w:r>
      <w:r w:rsidRPr="00ED54FD">
        <w:rPr>
          <w:kern w:val="28"/>
        </w:rPr>
        <w:t xml:space="preserve"> (n=8; 6 IIH y </w:t>
      </w:r>
      <w:smartTag w:uri="urn:schemas-microsoft-com:office:smarttags" w:element="metricconverter">
        <w:smartTagPr>
          <w:attr w:name="ProductID" w:val="2 C"/>
        </w:smartTagPr>
        <w:r w:rsidRPr="00ED54FD">
          <w:rPr>
            <w:kern w:val="28"/>
          </w:rPr>
          <w:t>2 C</w:t>
        </w:r>
      </w:smartTag>
      <w:r w:rsidRPr="00ED54FD">
        <w:rPr>
          <w:kern w:val="28"/>
        </w:rPr>
        <w:t xml:space="preserve">), </w:t>
      </w:r>
      <w:r w:rsidRPr="00ED54FD">
        <w:rPr>
          <w:i/>
          <w:kern w:val="28"/>
        </w:rPr>
        <w:t>Escherichia coli</w:t>
      </w:r>
      <w:r w:rsidRPr="00ED54FD">
        <w:rPr>
          <w:kern w:val="28"/>
        </w:rPr>
        <w:t xml:space="preserve"> (n=8; 6 IIH y </w:t>
      </w:r>
      <w:smartTag w:uri="urn:schemas-microsoft-com:office:smarttags" w:element="metricconverter">
        <w:smartTagPr>
          <w:attr w:name="ProductID" w:val="2 C"/>
        </w:smartTagPr>
        <w:r w:rsidRPr="00ED54FD">
          <w:rPr>
            <w:kern w:val="28"/>
          </w:rPr>
          <w:t>2 C</w:t>
        </w:r>
      </w:smartTag>
      <w:r w:rsidRPr="00ED54FD">
        <w:rPr>
          <w:kern w:val="28"/>
        </w:rPr>
        <w:t xml:space="preserve">) y </w:t>
      </w:r>
      <w:r w:rsidRPr="00ED54FD">
        <w:rPr>
          <w:i/>
          <w:kern w:val="28"/>
        </w:rPr>
        <w:t>Enterobacter cloacae</w:t>
      </w:r>
      <w:r w:rsidRPr="00ED54FD">
        <w:rPr>
          <w:kern w:val="28"/>
        </w:rPr>
        <w:t xml:space="preserve"> (n=5; 3 IIH y </w:t>
      </w:r>
      <w:smartTag w:uri="urn:schemas-microsoft-com:office:smarttags" w:element="metricconverter">
        <w:smartTagPr>
          <w:attr w:name="ProductID" w:val="2 C"/>
        </w:smartTagPr>
        <w:r w:rsidRPr="00ED54FD">
          <w:rPr>
            <w:kern w:val="28"/>
          </w:rPr>
          <w:t>2 C</w:t>
        </w:r>
      </w:smartTag>
      <w:r w:rsidRPr="00ED54FD">
        <w:rPr>
          <w:kern w:val="28"/>
        </w:rPr>
        <w:t>). Todos los aislamientos fueron recolectados durante los años 2004 y 2005</w:t>
      </w:r>
      <w:r>
        <w:rPr>
          <w:kern w:val="28"/>
        </w:rPr>
        <w:t>,</w:t>
      </w:r>
      <w:r w:rsidRPr="00ED54FD">
        <w:rPr>
          <w:kern w:val="28"/>
        </w:rPr>
        <w:t xml:space="preserve"> y criopreservados por el Laboratorio de Epidemiología Molecular del Instituto de Biotecnología de </w:t>
      </w:r>
      <w:smartTag w:uri="urn:schemas-microsoft-com:office:smarttags" w:element="PersonName">
        <w:smartTagPr>
          <w:attr w:name="ProductID" w:val="la Universidad Nacional"/>
        </w:smartTagPr>
        <w:r w:rsidRPr="00ED54FD">
          <w:rPr>
            <w:kern w:val="28"/>
          </w:rPr>
          <w:t>la Universidad Nacional</w:t>
        </w:r>
      </w:smartTag>
      <w:r w:rsidRPr="00ED54FD">
        <w:rPr>
          <w:kern w:val="28"/>
        </w:rPr>
        <w:t xml:space="preserve"> de Colombia.</w:t>
      </w:r>
    </w:p>
    <w:p w:rsidR="00636C6C" w:rsidRPr="00ED54FD" w:rsidRDefault="00636C6C" w:rsidP="0050126E">
      <w:pPr>
        <w:spacing w:line="480" w:lineRule="auto"/>
        <w:rPr>
          <w:kern w:val="28"/>
        </w:rPr>
      </w:pPr>
    </w:p>
    <w:p w:rsidR="00636C6C" w:rsidRPr="00ED54FD" w:rsidRDefault="00636C6C" w:rsidP="0050126E">
      <w:pPr>
        <w:spacing w:line="480" w:lineRule="auto"/>
        <w:rPr>
          <w:kern w:val="28"/>
        </w:rPr>
      </w:pPr>
      <w:r w:rsidRPr="00ED54FD">
        <w:rPr>
          <w:kern w:val="28"/>
        </w:rPr>
        <w:t xml:space="preserve">El control positivo para amplificación de genes </w:t>
      </w:r>
      <w:r w:rsidRPr="00ED54FD">
        <w:rPr>
          <w:i/>
        </w:rPr>
        <w:t>bla</w:t>
      </w:r>
      <w:r w:rsidRPr="00ED54FD">
        <w:rPr>
          <w:vertAlign w:val="subscript"/>
        </w:rPr>
        <w:t>CTX-M</w:t>
      </w:r>
      <w:r w:rsidRPr="00ED54FD">
        <w:t xml:space="preserve"> del grupo CTX-M-1 </w:t>
      </w:r>
      <w:r w:rsidRPr="00ED54FD">
        <w:rPr>
          <w:kern w:val="28"/>
        </w:rPr>
        <w:t xml:space="preserve">fue </w:t>
      </w:r>
      <w:r w:rsidRPr="00ED54FD">
        <w:rPr>
          <w:i/>
          <w:kern w:val="28"/>
        </w:rPr>
        <w:t>K.</w:t>
      </w:r>
      <w:r>
        <w:rPr>
          <w:i/>
          <w:kern w:val="28"/>
        </w:rPr>
        <w:t xml:space="preserve"> </w:t>
      </w:r>
      <w:r w:rsidRPr="00ED54FD">
        <w:rPr>
          <w:i/>
          <w:kern w:val="28"/>
        </w:rPr>
        <w:t xml:space="preserve">pneumoniae </w:t>
      </w:r>
      <w:r w:rsidRPr="00ED54FD">
        <w:t>(M-12)</w:t>
      </w:r>
      <w:r>
        <w:t>,</w:t>
      </w:r>
      <w:r w:rsidRPr="00ED54FD">
        <w:t xml:space="preserve"> </w:t>
      </w:r>
      <w:r w:rsidRPr="00ED54FD">
        <w:rPr>
          <w:kern w:val="28"/>
        </w:rPr>
        <w:t>portadora</w:t>
      </w:r>
      <w:r>
        <w:rPr>
          <w:kern w:val="28"/>
        </w:rPr>
        <w:t xml:space="preserve"> </w:t>
      </w:r>
      <w:r w:rsidRPr="00ED54FD">
        <w:rPr>
          <w:kern w:val="28"/>
        </w:rPr>
        <w:t xml:space="preserve">del gen </w:t>
      </w:r>
      <w:r w:rsidRPr="00ED54FD">
        <w:rPr>
          <w:i/>
        </w:rPr>
        <w:t>bla</w:t>
      </w:r>
      <w:r w:rsidRPr="00ED54FD">
        <w:rPr>
          <w:vertAlign w:val="subscript"/>
        </w:rPr>
        <w:t>CTX-M-12</w:t>
      </w:r>
      <w:r w:rsidRPr="00ED54FD">
        <w:t>, cepa aislada en un hospital de Bogotá en el 2003</w:t>
      </w:r>
      <w:r>
        <w:t>,</w:t>
      </w:r>
      <w:r w:rsidRPr="00ED54FD">
        <w:t xml:space="preserve"> </w:t>
      </w:r>
      <w:r w:rsidRPr="00ED54FD">
        <w:rPr>
          <w:kern w:val="28"/>
        </w:rPr>
        <w:t xml:space="preserve">y el control negativo de amplificación fue </w:t>
      </w:r>
      <w:r w:rsidRPr="00ED54FD">
        <w:rPr>
          <w:i/>
          <w:kern w:val="28"/>
        </w:rPr>
        <w:t>K. pneumoniae</w:t>
      </w:r>
      <w:r w:rsidRPr="00ED54FD">
        <w:rPr>
          <w:kern w:val="28"/>
        </w:rPr>
        <w:t xml:space="preserve"> (M-2) portadora del gen </w:t>
      </w:r>
      <w:r w:rsidRPr="00ED54FD">
        <w:rPr>
          <w:i/>
        </w:rPr>
        <w:t>bla</w:t>
      </w:r>
      <w:r w:rsidRPr="00ED54FD">
        <w:rPr>
          <w:vertAlign w:val="subscript"/>
        </w:rPr>
        <w:t>CTX-M-2</w:t>
      </w:r>
      <w:r w:rsidRPr="00ED54FD">
        <w:rPr>
          <w:kern w:val="28"/>
        </w:rPr>
        <w:t xml:space="preserve"> (cepa caracterizada bioquímica y molecularmente en la Facultad de Farmacia y Bioquímica de la Universidad de Buenos Aires) (</w:t>
      </w:r>
      <w:r w:rsidRPr="00ED54FD">
        <w:t xml:space="preserve">Quinteros </w:t>
      </w:r>
      <w:r w:rsidRPr="006834FE">
        <w:rPr>
          <w:i/>
        </w:rPr>
        <w:t>et al.</w:t>
      </w:r>
      <w:r w:rsidRPr="00ED54FD">
        <w:t>, 2003)</w:t>
      </w:r>
      <w:r w:rsidRPr="00ED54FD">
        <w:rPr>
          <w:kern w:val="28"/>
        </w:rPr>
        <w:t>.</w:t>
      </w:r>
      <w:r>
        <w:rPr>
          <w:kern w:val="28"/>
        </w:rPr>
        <w:t xml:space="preserve"> </w:t>
      </w:r>
    </w:p>
    <w:p w:rsidR="00636C6C" w:rsidRPr="00ED54FD" w:rsidRDefault="00636C6C" w:rsidP="0050126E">
      <w:pPr>
        <w:spacing w:line="480" w:lineRule="auto"/>
        <w:rPr>
          <w:kern w:val="28"/>
        </w:rPr>
      </w:pPr>
    </w:p>
    <w:p w:rsidR="00636C6C" w:rsidRPr="00ED54FD" w:rsidRDefault="00636C6C" w:rsidP="0050126E">
      <w:pPr>
        <w:spacing w:line="480" w:lineRule="auto"/>
      </w:pPr>
      <w:r w:rsidRPr="00ED54FD">
        <w:t>Los cultivos de las cepas de referencia y los aislamientos en estudio se realizaron en agar Müeller Hinton suplementado con 50 μg/mL de cefotaxima</w:t>
      </w:r>
    </w:p>
    <w:p w:rsidR="00636C6C" w:rsidRPr="00ED54FD" w:rsidRDefault="00636C6C" w:rsidP="0050126E">
      <w:pPr>
        <w:spacing w:line="480" w:lineRule="auto"/>
      </w:pPr>
    </w:p>
    <w:p w:rsidR="00636C6C" w:rsidRPr="00ED54FD" w:rsidRDefault="00636C6C" w:rsidP="0050126E">
      <w:pPr>
        <w:spacing w:line="480" w:lineRule="auto"/>
        <w:rPr>
          <w:b/>
        </w:rPr>
      </w:pPr>
    </w:p>
    <w:p w:rsidR="00636C6C" w:rsidRPr="00ED54FD" w:rsidRDefault="00636C6C" w:rsidP="0050126E">
      <w:pPr>
        <w:spacing w:line="480" w:lineRule="auto"/>
        <w:rPr>
          <w:b/>
        </w:rPr>
      </w:pPr>
      <w:r w:rsidRPr="00ED54FD">
        <w:rPr>
          <w:b/>
        </w:rPr>
        <w:t xml:space="preserve">Amplificación del gen </w:t>
      </w:r>
      <w:r w:rsidRPr="00ED54FD">
        <w:rPr>
          <w:b/>
          <w:i/>
        </w:rPr>
        <w:t xml:space="preserve">bla </w:t>
      </w:r>
      <w:r w:rsidRPr="00ED54FD">
        <w:rPr>
          <w:b/>
        </w:rPr>
        <w:t>por PCR</w:t>
      </w:r>
    </w:p>
    <w:p w:rsidR="00636C6C" w:rsidRPr="00ED54FD" w:rsidRDefault="00636C6C" w:rsidP="0050126E">
      <w:pPr>
        <w:spacing w:line="480" w:lineRule="auto"/>
        <w:rPr>
          <w:b/>
        </w:rPr>
      </w:pPr>
    </w:p>
    <w:p w:rsidR="00636C6C" w:rsidRPr="00ED54FD" w:rsidRDefault="00636C6C" w:rsidP="0050126E">
      <w:pPr>
        <w:spacing w:line="480" w:lineRule="auto"/>
      </w:pPr>
      <w:r w:rsidRPr="00ED54FD">
        <w:t>Para la extracción del ADN las células de un cultivo reciente fueron suspendidas en 1 mL de solución salina estéril hasta densidad óptica de 0,2 absorbancias a 600 nm, luego se centrifugaron a 5.000 x g durante 5 min</w:t>
      </w:r>
      <w:r>
        <w:t>utos</w:t>
      </w:r>
      <w:r w:rsidRPr="00ED54FD">
        <w:t xml:space="preserve"> en tubo de polipropileno de 2 mL (perforado en la tapa); el paquete celular seco se resuspendió en 0,2 mL de agua desionizada estéril. La suspensión celular fue llevada a ebullición durante 10 min</w:t>
      </w:r>
      <w:r>
        <w:t>utos,</w:t>
      </w:r>
      <w:r w:rsidRPr="00ED54FD">
        <w:t xml:space="preserve"> y posteriormente enfriada en hielo durante 5 min</w:t>
      </w:r>
      <w:r>
        <w:t>utos</w:t>
      </w:r>
      <w:r w:rsidRPr="00ED54FD">
        <w:t>. Los residuos celulares fueron separados por centrifugación a 10.000 x g durante 10 min</w:t>
      </w:r>
      <w:r>
        <w:t>utos</w:t>
      </w:r>
      <w:r w:rsidRPr="00ED54FD">
        <w:t xml:space="preserve"> a 4</w:t>
      </w:r>
      <w:r>
        <w:t xml:space="preserve"> </w:t>
      </w:r>
      <w:r w:rsidRPr="00ED54FD">
        <w:t>ºC</w:t>
      </w:r>
      <w:r>
        <w:t>,</w:t>
      </w:r>
      <w:r w:rsidRPr="00ED54FD">
        <w:t xml:space="preserve"> y el ADN disuelto en el sobrenadante fue preservado a -20</w:t>
      </w:r>
      <w:r>
        <w:t xml:space="preserve"> </w:t>
      </w:r>
      <w:r w:rsidRPr="00ED54FD">
        <w:t>ºC. Para la amplificación por PCR se utilizó un volumen de la muestra así obtenida igual al 20% del volumen final de la reacción.</w:t>
      </w:r>
    </w:p>
    <w:p w:rsidR="00636C6C" w:rsidRPr="00ED54FD" w:rsidRDefault="00636C6C" w:rsidP="0050126E">
      <w:pPr>
        <w:spacing w:line="480" w:lineRule="auto"/>
      </w:pPr>
    </w:p>
    <w:p w:rsidR="00636C6C" w:rsidRPr="00ED54FD" w:rsidRDefault="00636C6C" w:rsidP="0050126E">
      <w:pPr>
        <w:spacing w:line="480" w:lineRule="auto"/>
      </w:pPr>
      <w:r w:rsidRPr="00ED54FD">
        <w:t xml:space="preserve">Para la amplificación por PCR del gen </w:t>
      </w:r>
      <w:r w:rsidRPr="00ED54FD">
        <w:rPr>
          <w:i/>
        </w:rPr>
        <w:t xml:space="preserve">bla </w:t>
      </w:r>
      <w:r w:rsidRPr="00ED54FD">
        <w:t xml:space="preserve">se utilizaron los iniciadores Ala2 (5’ ATGGTTAAA AAATCACTGCG 3’) y P2D (5’ CAGCGCTTTTGCCGTCTAAG 3’) informados previamente por Gazouli (1998), los cuales permiten amplificar una región de 940 pb localizada entre las posiciones +1 a +940 con respecto a la región codificante reportada para la secuencia del gen </w:t>
      </w:r>
      <w:r w:rsidRPr="00ED54FD">
        <w:rPr>
          <w:i/>
        </w:rPr>
        <w:t>bla</w:t>
      </w:r>
      <w:r w:rsidRPr="00ED54FD">
        <w:rPr>
          <w:vertAlign w:val="subscript"/>
        </w:rPr>
        <w:t>CTX-M-1</w:t>
      </w:r>
      <w:r w:rsidRPr="00ED54FD">
        <w:t xml:space="preserve"> (AC GenBank X92506). La mezcla de reacción estuvo compuesta por MgCl</w:t>
      </w:r>
      <w:r w:rsidRPr="00ED54FD">
        <w:rPr>
          <w:vertAlign w:val="subscript"/>
        </w:rPr>
        <w:t>2</w:t>
      </w:r>
      <w:r w:rsidRPr="00ED54FD">
        <w:t xml:space="preserve"> 1,5 mM, mezcla de nucleótidos (dNTPs) 100 μM, oligonucleótidos iniciadores (Ala2 y P2D) 1 μM de cada uno, </w:t>
      </w:r>
      <w:r w:rsidRPr="00ED54FD">
        <w:rPr>
          <w:i/>
        </w:rPr>
        <w:t>Taq</w:t>
      </w:r>
      <w:r w:rsidRPr="00ED54FD">
        <w:t xml:space="preserve"> ADN-Polimerasa 0,025 Unidades/μL de solución amortiguadora 1X suministrados por el proveedor (Promega Corp., Madison, WI USA). Para la amplificación en termociclador iCycler® (Bio-Rad Laboratorios) el ADN se desnaturalizó durante 5 min</w:t>
      </w:r>
      <w:r>
        <w:t>utos</w:t>
      </w:r>
      <w:r w:rsidRPr="00ED54FD">
        <w:t xml:space="preserve"> a 95</w:t>
      </w:r>
      <w:r>
        <w:t xml:space="preserve"> </w:t>
      </w:r>
      <w:r w:rsidRPr="00ED54FD">
        <w:t>ºC, luego 30 ciclos de: 30 s a 95</w:t>
      </w:r>
      <w:r>
        <w:t xml:space="preserve"> </w:t>
      </w:r>
      <w:r w:rsidRPr="00ED54FD">
        <w:t>ºC, 30 s a 55</w:t>
      </w:r>
      <w:r>
        <w:t xml:space="preserve"> </w:t>
      </w:r>
      <w:r w:rsidRPr="00ED54FD">
        <w:t>ºC, 60 s a 72</w:t>
      </w:r>
      <w:r>
        <w:t xml:space="preserve"> </w:t>
      </w:r>
      <w:r w:rsidRPr="00ED54FD">
        <w:t>ºC, seguidos de una extensión final a 72</w:t>
      </w:r>
      <w:r>
        <w:t xml:space="preserve"> </w:t>
      </w:r>
      <w:r w:rsidRPr="00ED54FD">
        <w:t>ºC por 5 min</w:t>
      </w:r>
      <w:r>
        <w:t>utos</w:t>
      </w:r>
      <w:r w:rsidRPr="00ED54FD">
        <w:t xml:space="preserve">. </w:t>
      </w:r>
    </w:p>
    <w:p w:rsidR="00636C6C" w:rsidRPr="00ED54FD" w:rsidRDefault="00636C6C" w:rsidP="0050126E">
      <w:pPr>
        <w:spacing w:line="480" w:lineRule="auto"/>
      </w:pPr>
    </w:p>
    <w:p w:rsidR="00636C6C" w:rsidRPr="00ED54FD" w:rsidRDefault="00636C6C" w:rsidP="0050126E">
      <w:pPr>
        <w:spacing w:line="480" w:lineRule="auto"/>
      </w:pPr>
      <w:r w:rsidRPr="00ED54FD">
        <w:t>Los productos de amplificación fueron evaluados por electroforesis horizontal en geles de agarosa al 1,5% en TBE (45 mM Tris-Borato, 1 mM EDTA), utilizando como marcador de peso molecular una escalera de 100 pb (100 pb ladder de Invitrogen®). Las muestras fueron cargadas en el gel con solución de carga tipo I (Ficoll 15%, azul de bromofenol 0,25%)</w:t>
      </w:r>
      <w:r>
        <w:t>,</w:t>
      </w:r>
      <w:r w:rsidRPr="00ED54FD">
        <w:t xml:space="preserve"> y reveladas con bromuro de etidio (0,5 µg/mL).</w:t>
      </w:r>
    </w:p>
    <w:p w:rsidR="00636C6C" w:rsidRPr="00ED54FD" w:rsidRDefault="00636C6C" w:rsidP="0050126E">
      <w:pPr>
        <w:spacing w:line="480" w:lineRule="auto"/>
      </w:pPr>
    </w:p>
    <w:p w:rsidR="00636C6C" w:rsidRPr="00ED54FD" w:rsidRDefault="00636C6C" w:rsidP="0050126E">
      <w:pPr>
        <w:spacing w:line="480" w:lineRule="auto"/>
        <w:rPr>
          <w:b/>
        </w:rPr>
      </w:pPr>
      <w:r w:rsidRPr="00ED54FD">
        <w:rPr>
          <w:b/>
        </w:rPr>
        <w:t>Análisis bioinformático para la elección de enzimas de restricción</w:t>
      </w:r>
      <w:r>
        <w:rPr>
          <w:b/>
        </w:rPr>
        <w:t xml:space="preserve"> </w:t>
      </w:r>
    </w:p>
    <w:p w:rsidR="00636C6C" w:rsidRPr="00ED54FD" w:rsidRDefault="00636C6C" w:rsidP="0050126E">
      <w:pPr>
        <w:spacing w:line="480" w:lineRule="auto"/>
        <w:rPr>
          <w:b/>
        </w:rPr>
      </w:pPr>
    </w:p>
    <w:p w:rsidR="00636C6C" w:rsidRPr="00ED54FD" w:rsidRDefault="00636C6C" w:rsidP="0050126E">
      <w:pPr>
        <w:spacing w:line="480" w:lineRule="auto"/>
      </w:pPr>
      <w:r w:rsidRPr="00ED54FD">
        <w:t xml:space="preserve">La selección de las enzimas de restricción para la obtención de fragmentos adecuados para el análisis por SSCP se realizó a partir del mapa de restricción generado para genes </w:t>
      </w:r>
      <w:r w:rsidRPr="00ED54FD">
        <w:rPr>
          <w:i/>
        </w:rPr>
        <w:t>bla</w:t>
      </w:r>
      <w:r w:rsidRPr="00ED54FD">
        <w:rPr>
          <w:vertAlign w:val="subscript"/>
        </w:rPr>
        <w:t>CTX-M</w:t>
      </w:r>
      <w:r w:rsidRPr="00ED54FD">
        <w:t xml:space="preserve"> del grupo CTX-M-1. El mapa de restricción fue generado con el programa BioEdit v7.0.9 (disponible en: www.mbio.ncsu.edu/BioEdit/BioEdit.html), utilizando las secuencias reportadas en el GenBank para las enzimas CTX-M-01 (X92506); CTX-M-03 (Y10278); CTX-M-10 (AY598759); CTX-M-11 (AJ310929); CTX-M-12 (AF305837); CTX-M-15 (DQ302096); CTX-M-22 (AY954529); CTX-M-23 (AF488377); CTX-M-28 (AJ549244); CTX-M-29 (AY267213); CTX-M-30 (AY292654); CTX-M-32 (AJ557142); CTX-M-33 (AY238472); CTX-M-34 (AY515297); CTX-M-36 (AB177384); CTX-M-37 (AY649755); CTX-M-42 (DQ061159); CTX-M-52 (DQ223685) y CTX-M-53 (DQ268764).</w:t>
      </w:r>
    </w:p>
    <w:p w:rsidR="00636C6C" w:rsidRPr="00ED54FD" w:rsidRDefault="00636C6C" w:rsidP="0050126E">
      <w:pPr>
        <w:spacing w:line="480" w:lineRule="auto"/>
      </w:pPr>
    </w:p>
    <w:p w:rsidR="00636C6C" w:rsidRPr="00ED54FD" w:rsidRDefault="00636C6C" w:rsidP="0050126E">
      <w:pPr>
        <w:spacing w:line="480" w:lineRule="auto"/>
        <w:rPr>
          <w:b/>
        </w:rPr>
      </w:pPr>
      <w:r w:rsidRPr="00ED54FD">
        <w:rPr>
          <w:b/>
        </w:rPr>
        <w:t>Análisis por SSCP de fragmentos de restricción</w:t>
      </w:r>
    </w:p>
    <w:p w:rsidR="00636C6C" w:rsidRPr="00ED54FD" w:rsidRDefault="00636C6C" w:rsidP="0050126E">
      <w:pPr>
        <w:spacing w:line="480" w:lineRule="auto"/>
        <w:rPr>
          <w:b/>
        </w:rPr>
      </w:pPr>
    </w:p>
    <w:p w:rsidR="00636C6C" w:rsidRPr="00ED54FD" w:rsidRDefault="00636C6C" w:rsidP="0050126E">
      <w:pPr>
        <w:spacing w:line="480" w:lineRule="auto"/>
      </w:pPr>
      <w:r w:rsidRPr="00ED54FD">
        <w:t xml:space="preserve">Para la restricción de los productos de amplificación por PCR se usaron las enzimas de restricción </w:t>
      </w:r>
      <w:r w:rsidRPr="00ED54FD">
        <w:rPr>
          <w:i/>
        </w:rPr>
        <w:t>Hinf</w:t>
      </w:r>
      <w:r w:rsidRPr="00ED54FD">
        <w:t xml:space="preserve"> I y </w:t>
      </w:r>
      <w:r w:rsidRPr="00ED54FD">
        <w:rPr>
          <w:i/>
        </w:rPr>
        <w:t xml:space="preserve">Pvu </w:t>
      </w:r>
      <w:r w:rsidRPr="00ED54FD">
        <w:t xml:space="preserve">II (Amersham Laboratories). Se utilizaron 5 μL del producto de amplificación de genes </w:t>
      </w:r>
      <w:r w:rsidRPr="00ED54FD">
        <w:rPr>
          <w:i/>
        </w:rPr>
        <w:t>bla</w:t>
      </w:r>
      <w:r w:rsidRPr="00ED54FD">
        <w:t xml:space="preserve"> de grupo CTX-M-1</w:t>
      </w:r>
      <w:r>
        <w:t>,</w:t>
      </w:r>
      <w:r w:rsidRPr="00ED54FD">
        <w:t xml:space="preserve"> y 1,5 unidades de enzima</w:t>
      </w:r>
      <w:r>
        <w:t xml:space="preserve"> </w:t>
      </w:r>
      <w:r w:rsidRPr="00ED54FD">
        <w:t>para un volumen final de 15 μL. Las reacciones se llevaron a cabo a 37</w:t>
      </w:r>
      <w:r>
        <w:t xml:space="preserve"> </w:t>
      </w:r>
      <w:r w:rsidRPr="00ED54FD">
        <w:t>ºC por 3 horas.</w:t>
      </w:r>
    </w:p>
    <w:p w:rsidR="00636C6C" w:rsidRPr="00ED54FD" w:rsidRDefault="00636C6C" w:rsidP="0050126E">
      <w:pPr>
        <w:spacing w:line="480" w:lineRule="auto"/>
      </w:pPr>
    </w:p>
    <w:p w:rsidR="00636C6C" w:rsidRPr="00ED54FD" w:rsidRDefault="00636C6C" w:rsidP="0050126E">
      <w:pPr>
        <w:spacing w:line="480" w:lineRule="auto"/>
      </w:pPr>
      <w:r w:rsidRPr="00ED54FD">
        <w:t xml:space="preserve">Los patrones de referencia de ADN utilizados para la estandarización de las condiciones de análisis por SSCP fueron seleccionados a partir de la población de estudio mediante ensayos preeliminares, para los cuales se identificaron por secuenciación las variantes </w:t>
      </w:r>
      <w:r w:rsidRPr="00ED54FD">
        <w:rPr>
          <w:i/>
        </w:rPr>
        <w:t>bla</w:t>
      </w:r>
      <w:r w:rsidRPr="00ED54FD">
        <w:rPr>
          <w:vertAlign w:val="subscript"/>
        </w:rPr>
        <w:t>CTX-M-1</w:t>
      </w:r>
      <w:r w:rsidRPr="00ED54FD">
        <w:t xml:space="preserve">, </w:t>
      </w:r>
      <w:r w:rsidRPr="00ED54FD">
        <w:rPr>
          <w:i/>
        </w:rPr>
        <w:t>bla</w:t>
      </w:r>
      <w:r w:rsidRPr="00ED54FD">
        <w:rPr>
          <w:vertAlign w:val="subscript"/>
        </w:rPr>
        <w:t>CTX-M-12</w:t>
      </w:r>
      <w:r w:rsidRPr="00ED54FD">
        <w:t xml:space="preserve"> y</w:t>
      </w:r>
      <w:r w:rsidRPr="00ED54FD">
        <w:rPr>
          <w:i/>
        </w:rPr>
        <w:t xml:space="preserve"> bla</w:t>
      </w:r>
      <w:r w:rsidRPr="00ED54FD">
        <w:rPr>
          <w:vertAlign w:val="subscript"/>
        </w:rPr>
        <w:t>CTX-M-15</w:t>
      </w:r>
      <w:r w:rsidRPr="006834FE">
        <w:t>,</w:t>
      </w:r>
      <w:r>
        <w:rPr>
          <w:vertAlign w:val="subscript"/>
        </w:rPr>
        <w:t xml:space="preserve"> </w:t>
      </w:r>
      <w:r w:rsidRPr="00ED54FD">
        <w:t>denominados en adelante como patrones M1, M12 y M15 respectivamente</w:t>
      </w:r>
      <w:r>
        <w:t>.</w:t>
      </w:r>
      <w:r w:rsidRPr="00ED54FD">
        <w:rPr>
          <w:vertAlign w:val="subscript"/>
        </w:rPr>
        <w:t xml:space="preserve"> </w:t>
      </w:r>
    </w:p>
    <w:p w:rsidR="00636C6C" w:rsidRPr="00ED54FD" w:rsidRDefault="00636C6C" w:rsidP="0050126E">
      <w:pPr>
        <w:spacing w:line="480" w:lineRule="auto"/>
      </w:pPr>
    </w:p>
    <w:p w:rsidR="00636C6C" w:rsidRPr="00ED54FD" w:rsidRDefault="00636C6C" w:rsidP="0050126E">
      <w:pPr>
        <w:spacing w:line="480" w:lineRule="auto"/>
      </w:pPr>
      <w:r w:rsidRPr="00ED54FD">
        <w:t>Para el análisis por SSCP los productos de restricción de las muestras amplificadas fueron mezclados en relación 1:1 con solución de desnaturalización (formamida 95%, azul de bromofenol 0,05%, xylen-cianol 0,05% y EDTA 20 mM), calentados a 95</w:t>
      </w:r>
      <w:r>
        <w:t xml:space="preserve"> </w:t>
      </w:r>
      <w:r w:rsidRPr="00ED54FD">
        <w:t>ºC por 5 min</w:t>
      </w:r>
      <w:r>
        <w:t>utos,</w:t>
      </w:r>
      <w:r w:rsidRPr="00ED54FD">
        <w:t xml:space="preserve"> y enfriados a 4</w:t>
      </w:r>
      <w:r>
        <w:t xml:space="preserve"> </w:t>
      </w:r>
      <w:r w:rsidRPr="00ED54FD">
        <w:t>ºC para la desnaturalización.</w:t>
      </w:r>
    </w:p>
    <w:p w:rsidR="00636C6C" w:rsidRPr="00ED54FD" w:rsidRDefault="00636C6C" w:rsidP="0050126E">
      <w:pPr>
        <w:spacing w:line="480" w:lineRule="auto"/>
      </w:pPr>
    </w:p>
    <w:p w:rsidR="00636C6C" w:rsidRPr="00ED54FD" w:rsidRDefault="00636C6C" w:rsidP="0050126E">
      <w:pPr>
        <w:spacing w:line="480" w:lineRule="auto"/>
      </w:pPr>
      <w:r w:rsidRPr="00ED54FD">
        <w:t>El análisis por SSCP se realizó en geles de poliacriamida no desnaturalizante al 8 y 2,5% de entrecruzamiento, empleando el sistema de electroforesis “</w:t>
      </w:r>
      <w:r w:rsidRPr="00ED54FD">
        <w:rPr>
          <w:i/>
        </w:rPr>
        <w:t>DCode Mutation Detection System</w:t>
      </w:r>
      <w:r w:rsidRPr="006834FE">
        <w:t>”</w:t>
      </w:r>
      <w:r w:rsidRPr="00ED54FD">
        <w:t xml:space="preserve"> de BioRad Laboratories, acoplado a un sistema de enfriamiento por recirculación para el control de temperatura (Isotemp Refrigerated Recirculators de Fisher Scientific). La electroforesis se realizó a 10</w:t>
      </w:r>
      <w:r>
        <w:t xml:space="preserve"> </w:t>
      </w:r>
      <w:r w:rsidRPr="00ED54FD">
        <w:t xml:space="preserve">ºC con buffer TBE 1X a 450 </w:t>
      </w:r>
      <w:r>
        <w:t>v</w:t>
      </w:r>
      <w:r w:rsidRPr="00ED54FD">
        <w:t>oltios durante 270 min</w:t>
      </w:r>
      <w:r>
        <w:t>utos</w:t>
      </w:r>
      <w:r w:rsidRPr="00ED54FD">
        <w:t xml:space="preserve">. Como marcador de peso molecular se utilizó ADN de fago Lambda (12,5 ng/μL) digerido con la enzima de restricción </w:t>
      </w:r>
      <w:r w:rsidRPr="00ED54FD">
        <w:rPr>
          <w:i/>
        </w:rPr>
        <w:t xml:space="preserve">Pst </w:t>
      </w:r>
      <w:r w:rsidRPr="00ED54FD">
        <w:t>I</w:t>
      </w:r>
      <w:r>
        <w:t>.</w:t>
      </w:r>
    </w:p>
    <w:p w:rsidR="00636C6C" w:rsidRPr="00ED54FD" w:rsidRDefault="00636C6C" w:rsidP="0050126E">
      <w:pPr>
        <w:spacing w:line="480" w:lineRule="auto"/>
      </w:pPr>
    </w:p>
    <w:p w:rsidR="00636C6C" w:rsidRPr="00ED54FD" w:rsidRDefault="00636C6C" w:rsidP="0050126E">
      <w:pPr>
        <w:spacing w:line="480" w:lineRule="auto"/>
      </w:pPr>
      <w:r w:rsidRPr="00ED54FD">
        <w:t>Los geles fueron revelados por tinción con plata utilizando el siguiente protocolo,</w:t>
      </w:r>
      <w:r>
        <w:t xml:space="preserve"> </w:t>
      </w:r>
      <w:r w:rsidRPr="00ED54FD">
        <w:t>estandarizado en este trabajo</w:t>
      </w:r>
      <w:r>
        <w:t>:</w:t>
      </w:r>
      <w:r w:rsidRPr="00ED54FD">
        <w:t xml:space="preserve"> </w:t>
      </w:r>
      <w:r>
        <w:t>l</w:t>
      </w:r>
      <w:r w:rsidRPr="00ED54FD">
        <w:t>as bandas de ADN se fijaron sumergiendo el gel en solución de etanol al 10% por 5 min</w:t>
      </w:r>
      <w:r>
        <w:t>utos</w:t>
      </w:r>
      <w:r w:rsidRPr="00ED54FD">
        <w:t>, y luego en</w:t>
      </w:r>
      <w:r>
        <w:t xml:space="preserve"> </w:t>
      </w:r>
      <w:r w:rsidRPr="00ED54FD">
        <w:t>solución de HNO</w:t>
      </w:r>
      <w:r w:rsidRPr="00ED54FD">
        <w:rPr>
          <w:vertAlign w:val="subscript"/>
        </w:rPr>
        <w:t>3</w:t>
      </w:r>
      <w:r w:rsidRPr="00ED54FD">
        <w:t xml:space="preserve"> al 1% p/v por 3 min. La tinción se realizó durante 30 min</w:t>
      </w:r>
      <w:r>
        <w:t>utos</w:t>
      </w:r>
      <w:r w:rsidRPr="00ED54FD">
        <w:t xml:space="preserve"> con una solución fresca de nitrato de plata (0,1% p/v) y formaldehído (0,04%). El revelado se realizó con una solución a 4</w:t>
      </w:r>
      <w:r>
        <w:t xml:space="preserve"> </w:t>
      </w:r>
      <w:r w:rsidRPr="00ED54FD">
        <w:t>ºC de carbonato de sodio al 3%, formaldehído (0,04%) y tiosulfato de sodio (2 mg/L) hasta observar bandas. El revelado fue detenido con solución de ácido acético al 5% v/v.</w:t>
      </w:r>
    </w:p>
    <w:p w:rsidR="00636C6C" w:rsidRPr="00ED54FD" w:rsidRDefault="00636C6C" w:rsidP="0050126E">
      <w:pPr>
        <w:spacing w:line="480" w:lineRule="auto"/>
      </w:pPr>
    </w:p>
    <w:p w:rsidR="00636C6C" w:rsidRPr="00ED54FD" w:rsidRDefault="00636C6C" w:rsidP="0050126E">
      <w:pPr>
        <w:spacing w:line="480" w:lineRule="auto"/>
      </w:pPr>
      <w:r w:rsidRPr="00ED54FD">
        <w:t>Los geles fueron digitalizados en un escáner HP ScanJet2100C a una resolución de 600dpi</w:t>
      </w:r>
      <w:r>
        <w:t>,</w:t>
      </w:r>
      <w:r w:rsidRPr="00ED54FD">
        <w:t xml:space="preserve"> y el análisis de las imágenes se realizó con el programa Quantity One</w:t>
      </w:r>
      <w:r w:rsidRPr="00ED54FD">
        <w:rPr>
          <w:vertAlign w:val="superscript"/>
        </w:rPr>
        <w:t>®</w:t>
      </w:r>
      <w:r w:rsidRPr="00ED54FD">
        <w:t xml:space="preserve"> V. 4.6.1 de Bio-Rad Laboratories.</w:t>
      </w:r>
    </w:p>
    <w:p w:rsidR="00636C6C" w:rsidRPr="00ED54FD" w:rsidRDefault="00636C6C" w:rsidP="0050126E">
      <w:pPr>
        <w:spacing w:line="480" w:lineRule="auto"/>
      </w:pPr>
    </w:p>
    <w:p w:rsidR="00636C6C" w:rsidRPr="00ED54FD" w:rsidRDefault="00636C6C" w:rsidP="0050126E">
      <w:pPr>
        <w:spacing w:line="480" w:lineRule="auto"/>
        <w:rPr>
          <w:b/>
        </w:rPr>
      </w:pPr>
      <w:r w:rsidRPr="00ED54FD">
        <w:rPr>
          <w:b/>
        </w:rPr>
        <w:t xml:space="preserve">Secuenciación del gen </w:t>
      </w:r>
      <w:r w:rsidRPr="00ED54FD">
        <w:rPr>
          <w:b/>
          <w:i/>
        </w:rPr>
        <w:t>bla</w:t>
      </w:r>
      <w:r w:rsidRPr="00ED54FD">
        <w:rPr>
          <w:vertAlign w:val="subscript"/>
        </w:rPr>
        <w:t>CTX-M</w:t>
      </w:r>
      <w:r>
        <w:rPr>
          <w:vertAlign w:val="subscript"/>
        </w:rPr>
        <w:t xml:space="preserve">  </w:t>
      </w:r>
    </w:p>
    <w:p w:rsidR="00636C6C" w:rsidRPr="00ED54FD" w:rsidRDefault="00636C6C" w:rsidP="0050126E">
      <w:pPr>
        <w:spacing w:line="480" w:lineRule="auto"/>
        <w:rPr>
          <w:b/>
        </w:rPr>
      </w:pPr>
    </w:p>
    <w:p w:rsidR="00636C6C" w:rsidRPr="00ED54FD" w:rsidRDefault="00636C6C" w:rsidP="0050126E">
      <w:pPr>
        <w:spacing w:line="480" w:lineRule="auto"/>
      </w:pPr>
      <w:r w:rsidRPr="00ED54FD">
        <w:t xml:space="preserve">Los productos de amplificación del gen </w:t>
      </w:r>
      <w:r w:rsidRPr="00ED54FD">
        <w:rPr>
          <w:i/>
        </w:rPr>
        <w:t>bla</w:t>
      </w:r>
      <w:r w:rsidRPr="00ED54FD">
        <w:rPr>
          <w:vertAlign w:val="subscript"/>
        </w:rPr>
        <w:t xml:space="preserve">CTX-M </w:t>
      </w:r>
      <w:r w:rsidRPr="00ED54FD">
        <w:t>de los aislamientos que mostraron perfiles electroforéticos diferentes fueron secuenciados por un laboratorio independiente en instalaciones externas</w:t>
      </w:r>
      <w:r w:rsidRPr="00ED54FD">
        <w:rPr>
          <w:rFonts w:cs="Arial"/>
          <w:lang w:val="sq-AL"/>
        </w:rPr>
        <w:t xml:space="preserve"> (servicio de secuenciación Macrogen</w:t>
      </w:r>
      <w:r w:rsidRPr="00ED54FD">
        <w:rPr>
          <w:vertAlign w:val="superscript"/>
        </w:rPr>
        <w:t>®</w:t>
      </w:r>
      <w:r w:rsidRPr="00ED54FD">
        <w:rPr>
          <w:rFonts w:cs="Arial"/>
          <w:lang w:val="sq-AL"/>
        </w:rPr>
        <w:t>, Corea ABI3730XL de Applied Biosystems)</w:t>
      </w:r>
      <w:r>
        <w:rPr>
          <w:rFonts w:cs="Arial"/>
          <w:lang w:val="sq-AL"/>
        </w:rPr>
        <w:t>,</w:t>
      </w:r>
      <w:r w:rsidRPr="00ED54FD">
        <w:t xml:space="preserve"> y las secuencias fueron analizadas con el programa MEGA V 3.1 (Kumar, 2004).</w:t>
      </w:r>
    </w:p>
    <w:p w:rsidR="00636C6C" w:rsidRPr="00ED54FD" w:rsidRDefault="00636C6C" w:rsidP="0050126E">
      <w:pPr>
        <w:spacing w:line="480" w:lineRule="auto"/>
      </w:pPr>
    </w:p>
    <w:p w:rsidR="00636C6C" w:rsidRPr="00ED54FD" w:rsidRDefault="00636C6C" w:rsidP="0050126E">
      <w:pPr>
        <w:spacing w:line="480" w:lineRule="auto"/>
      </w:pPr>
      <w:r w:rsidRPr="00ED54FD">
        <w:rPr>
          <w:b/>
        </w:rPr>
        <w:t>Análisis y discusión de los resultados</w:t>
      </w:r>
      <w:r w:rsidRPr="00ED54FD">
        <w:t xml:space="preserve"> </w:t>
      </w:r>
    </w:p>
    <w:p w:rsidR="00636C6C" w:rsidRPr="00ED54FD" w:rsidRDefault="00636C6C" w:rsidP="0050126E">
      <w:pPr>
        <w:spacing w:line="480" w:lineRule="auto"/>
      </w:pPr>
    </w:p>
    <w:p w:rsidR="00636C6C" w:rsidRPr="00ED54FD" w:rsidRDefault="00636C6C" w:rsidP="0050126E">
      <w:pPr>
        <w:spacing w:line="480" w:lineRule="auto"/>
      </w:pPr>
      <w:r w:rsidRPr="00ED54FD">
        <w:t>De acuerdo con el de mapa de restricción obtenido “in-silico” para cada uno de los genes</w:t>
      </w:r>
      <w:r w:rsidRPr="00ED54FD">
        <w:rPr>
          <w:i/>
        </w:rPr>
        <w:t xml:space="preserve"> bla</w:t>
      </w:r>
      <w:r w:rsidRPr="00ED54FD">
        <w:rPr>
          <w:vertAlign w:val="subscript"/>
        </w:rPr>
        <w:t>CTX-M</w:t>
      </w:r>
      <w:r w:rsidRPr="00ED54FD">
        <w:t xml:space="preserve"> del grupo CTX-M-1 informados en el GenBank, se seleccionaron las enzimas de restricción </w:t>
      </w:r>
      <w:r w:rsidRPr="00ED54FD">
        <w:rPr>
          <w:i/>
        </w:rPr>
        <w:t xml:space="preserve">Pvu </w:t>
      </w:r>
      <w:r w:rsidRPr="00ED54FD">
        <w:t xml:space="preserve">II y </w:t>
      </w:r>
      <w:r w:rsidRPr="00ED54FD">
        <w:rPr>
          <w:i/>
        </w:rPr>
        <w:t>Hinf</w:t>
      </w:r>
      <w:r w:rsidRPr="00ED54FD">
        <w:t xml:space="preserve"> I debido a que generan entre 3 y 4 fragmentos de ADN con tamaños entre 156 pb y 507 pb apropiados para el análisis por SSCP. </w:t>
      </w:r>
    </w:p>
    <w:p w:rsidR="00636C6C" w:rsidRPr="00ED54FD" w:rsidRDefault="00636C6C" w:rsidP="0050126E">
      <w:pPr>
        <w:spacing w:line="480" w:lineRule="auto"/>
      </w:pPr>
    </w:p>
    <w:p w:rsidR="00636C6C" w:rsidRPr="00ED54FD" w:rsidRDefault="00636C6C" w:rsidP="0050126E">
      <w:pPr>
        <w:spacing w:line="480" w:lineRule="auto"/>
        <w:rPr>
          <w:lang w:val="es-ES_tradnl"/>
        </w:rPr>
      </w:pPr>
      <w:r w:rsidRPr="00ED54FD">
        <w:rPr>
          <w:lang w:val="es-ES_tradnl"/>
        </w:rPr>
        <w:t>En el análisis por SSCP</w:t>
      </w:r>
      <w:r>
        <w:rPr>
          <w:lang w:val="es-ES_tradnl"/>
        </w:rPr>
        <w:t>,</w:t>
      </w:r>
      <w:r w:rsidRPr="00ED54FD">
        <w:rPr>
          <w:lang w:val="es-ES_tradnl"/>
        </w:rPr>
        <w:t xml:space="preserve"> utilizando la enzima de restricción </w:t>
      </w:r>
      <w:r w:rsidRPr="00ED54FD">
        <w:rPr>
          <w:i/>
          <w:lang w:val="es-ES_tradnl"/>
        </w:rPr>
        <w:t xml:space="preserve">Hinf </w:t>
      </w:r>
      <w:r w:rsidRPr="00ED54FD">
        <w:rPr>
          <w:lang w:val="es-ES_tradnl"/>
        </w:rPr>
        <w:t>I</w:t>
      </w:r>
      <w:r>
        <w:rPr>
          <w:lang w:val="es-ES_tradnl"/>
        </w:rPr>
        <w:t>,</w:t>
      </w:r>
      <w:r w:rsidRPr="00ED54FD">
        <w:rPr>
          <w:lang w:val="es-ES_tradnl"/>
        </w:rPr>
        <w:t xml:space="preserve"> se identificaron cinco perfiles electroforéticos diferentes, de los cuales tres correspondieron a los patrones M1, M12 y M15</w:t>
      </w:r>
      <w:r>
        <w:rPr>
          <w:lang w:val="es-ES_tradnl"/>
        </w:rPr>
        <w:t>,</w:t>
      </w:r>
      <w:r w:rsidRPr="00ED54FD">
        <w:rPr>
          <w:lang w:val="es-ES_tradnl"/>
        </w:rPr>
        <w:t xml:space="preserve"> y uno diferente relacionado con la variante </w:t>
      </w:r>
      <w:r w:rsidRPr="00ED54FD">
        <w:rPr>
          <w:i/>
        </w:rPr>
        <w:t>bla</w:t>
      </w:r>
      <w:r w:rsidRPr="00ED54FD">
        <w:rPr>
          <w:vertAlign w:val="subscript"/>
        </w:rPr>
        <w:t>CTX-M-12</w:t>
      </w:r>
      <w:r w:rsidRPr="00ED54FD">
        <w:t xml:space="preserve"> correspondiente a una nueva variante denominada </w:t>
      </w:r>
      <w:r w:rsidRPr="00ED54FD">
        <w:rPr>
          <w:i/>
        </w:rPr>
        <w:t>bla</w:t>
      </w:r>
      <w:r w:rsidRPr="00ED54FD">
        <w:rPr>
          <w:vertAlign w:val="subscript"/>
        </w:rPr>
        <w:t>CTX-M-60</w:t>
      </w:r>
      <w:r w:rsidRPr="00ED54FD">
        <w:t xml:space="preserve"> identificada en este estudio y depositada en el EMBL con el número de acceso AM411407</w:t>
      </w:r>
      <w:r w:rsidRPr="00ED54FD">
        <w:rPr>
          <w:lang w:val="es-ES_tradnl"/>
        </w:rPr>
        <w:t>. Adicionalmente</w:t>
      </w:r>
      <w:r>
        <w:rPr>
          <w:lang w:val="es-ES_tradnl"/>
        </w:rPr>
        <w:t>,</w:t>
      </w:r>
      <w:r w:rsidRPr="00ED54FD">
        <w:rPr>
          <w:lang w:val="es-ES_tradnl"/>
        </w:rPr>
        <w:t xml:space="preserve"> una de las muestras presentó un perfil estrechamente relacionado con el patrón </w:t>
      </w:r>
      <w:r w:rsidRPr="00ED54FD">
        <w:rPr>
          <w:i/>
        </w:rPr>
        <w:t>bla</w:t>
      </w:r>
      <w:r w:rsidRPr="00ED54FD">
        <w:rPr>
          <w:vertAlign w:val="subscript"/>
        </w:rPr>
        <w:t>CTX-M-15</w:t>
      </w:r>
      <w:r w:rsidRPr="00ED54FD">
        <w:t>,</w:t>
      </w:r>
      <w:r w:rsidRPr="00ED54FD">
        <w:rPr>
          <w:lang w:val="es-ES_tradnl"/>
        </w:rPr>
        <w:t xml:space="preserve"> pero con diferencia en la posición de una banda</w:t>
      </w:r>
      <w:r>
        <w:rPr>
          <w:lang w:val="es-ES_tradnl"/>
        </w:rPr>
        <w:t>,</w:t>
      </w:r>
      <w:r w:rsidRPr="00ED54FD">
        <w:rPr>
          <w:lang w:val="es-ES_tradnl"/>
        </w:rPr>
        <w:t xml:space="preserve"> y que por secuenciación correspondió al gen </w:t>
      </w:r>
      <w:r w:rsidRPr="00ED54FD">
        <w:rPr>
          <w:i/>
        </w:rPr>
        <w:t>bla</w:t>
      </w:r>
      <w:r w:rsidRPr="00ED54FD">
        <w:rPr>
          <w:vertAlign w:val="subscript"/>
        </w:rPr>
        <w:t>CTX-M-12a</w:t>
      </w:r>
      <w:r w:rsidRPr="00ED54FD">
        <w:t>.</w:t>
      </w:r>
    </w:p>
    <w:p w:rsidR="00636C6C" w:rsidRPr="00ED54FD" w:rsidRDefault="00636C6C" w:rsidP="0050126E">
      <w:pPr>
        <w:spacing w:line="480" w:lineRule="auto"/>
        <w:rPr>
          <w:lang w:val="es-ES_tradnl"/>
        </w:rPr>
      </w:pPr>
    </w:p>
    <w:p w:rsidR="00636C6C" w:rsidRPr="00ED54FD" w:rsidRDefault="00636C6C" w:rsidP="0050126E">
      <w:pPr>
        <w:spacing w:line="480" w:lineRule="auto"/>
      </w:pPr>
      <w:r w:rsidRPr="00ED54FD">
        <w:t xml:space="preserve">Al realizar el análisis con la enzima de restricción </w:t>
      </w:r>
      <w:r w:rsidRPr="00ED54FD">
        <w:rPr>
          <w:i/>
        </w:rPr>
        <w:t xml:space="preserve">Pvu </w:t>
      </w:r>
      <w:r w:rsidRPr="00ED54FD">
        <w:t xml:space="preserve">II, se confirmaron los resultados obtenidos con </w:t>
      </w:r>
      <w:r w:rsidRPr="00ED54FD">
        <w:rPr>
          <w:i/>
        </w:rPr>
        <w:t xml:space="preserve">Hinf </w:t>
      </w:r>
      <w:r w:rsidRPr="00ED54FD">
        <w:t>I; también se diferenciaron cinco perfiles electroforéticos, los tres que corresponden a cada uno de los patrones M1, M12 y M15</w:t>
      </w:r>
      <w:r>
        <w:t>,</w:t>
      </w:r>
      <w:r w:rsidRPr="00ED54FD">
        <w:t xml:space="preserve"> y dos perfiles adicionales que concuerdan con las variantes </w:t>
      </w:r>
      <w:r w:rsidRPr="00ED54FD">
        <w:rPr>
          <w:i/>
        </w:rPr>
        <w:t>bla</w:t>
      </w:r>
      <w:r w:rsidRPr="00ED54FD">
        <w:rPr>
          <w:vertAlign w:val="subscript"/>
        </w:rPr>
        <w:t>CTX-M-60</w:t>
      </w:r>
      <w:r w:rsidRPr="00ED54FD">
        <w:t xml:space="preserve"> y </w:t>
      </w:r>
      <w:r w:rsidRPr="00ED54FD">
        <w:rPr>
          <w:i/>
        </w:rPr>
        <w:t>bla</w:t>
      </w:r>
      <w:r w:rsidRPr="00ED54FD">
        <w:rPr>
          <w:vertAlign w:val="subscript"/>
        </w:rPr>
        <w:t>CTX-M-12a</w:t>
      </w:r>
      <w:r w:rsidRPr="00ED54FD">
        <w:t>, previamente identificadas por secuenciación</w:t>
      </w:r>
      <w:r>
        <w:t>.</w:t>
      </w:r>
      <w:r w:rsidRPr="00ED54FD">
        <w:t xml:space="preserve"> </w:t>
      </w:r>
    </w:p>
    <w:p w:rsidR="00636C6C" w:rsidRPr="00ED54FD" w:rsidRDefault="00636C6C" w:rsidP="0050126E">
      <w:pPr>
        <w:spacing w:line="480" w:lineRule="auto"/>
      </w:pPr>
    </w:p>
    <w:p w:rsidR="00636C6C" w:rsidRPr="00ED54FD" w:rsidRDefault="00636C6C" w:rsidP="0050126E">
      <w:pPr>
        <w:spacing w:line="480" w:lineRule="auto"/>
      </w:pPr>
      <w:r w:rsidRPr="00ED54FD">
        <w:t>Con base en la metodología desarrollada, se analizaron los 49 aislamientos considerados dentro del estudio, utilizando las estrategias de análisis con las dos enzimas de restricción seleccionadas para el análisis de PCR-SSCP.</w:t>
      </w:r>
      <w:r>
        <w:t xml:space="preserve"> </w:t>
      </w:r>
      <w:r w:rsidRPr="00ED54FD">
        <w:t xml:space="preserve">Las muestras fueron agrupadas de acuerdo con el perfil electroforético obtenido, utilizando como referencia las variantes </w:t>
      </w:r>
      <w:r w:rsidRPr="00ED54FD">
        <w:rPr>
          <w:i/>
        </w:rPr>
        <w:t>bla</w:t>
      </w:r>
      <w:r w:rsidRPr="00ED54FD">
        <w:rPr>
          <w:vertAlign w:val="subscript"/>
        </w:rPr>
        <w:t>CTX-M-1</w:t>
      </w:r>
      <w:r w:rsidRPr="00ED54FD">
        <w:t xml:space="preserve">, </w:t>
      </w:r>
      <w:r w:rsidRPr="00ED54FD">
        <w:rPr>
          <w:i/>
        </w:rPr>
        <w:t>bla</w:t>
      </w:r>
      <w:r w:rsidRPr="00ED54FD">
        <w:rPr>
          <w:vertAlign w:val="subscript"/>
        </w:rPr>
        <w:t>CTX-M-12</w:t>
      </w:r>
      <w:r w:rsidRPr="00ED54FD">
        <w:t xml:space="preserve">, </w:t>
      </w:r>
      <w:r w:rsidRPr="00ED54FD">
        <w:rPr>
          <w:i/>
        </w:rPr>
        <w:t>bla</w:t>
      </w:r>
      <w:r w:rsidRPr="00ED54FD">
        <w:rPr>
          <w:vertAlign w:val="subscript"/>
        </w:rPr>
        <w:t xml:space="preserve">CTX-M-15 </w:t>
      </w:r>
      <w:r w:rsidRPr="00ED54FD">
        <w:t xml:space="preserve">y </w:t>
      </w:r>
      <w:r w:rsidRPr="00ED54FD">
        <w:rPr>
          <w:i/>
        </w:rPr>
        <w:t>bla</w:t>
      </w:r>
      <w:r w:rsidRPr="00ED54FD">
        <w:rPr>
          <w:vertAlign w:val="subscript"/>
        </w:rPr>
        <w:t>CTX-M-60</w:t>
      </w:r>
      <w:r w:rsidRPr="00ED54FD">
        <w:t xml:space="preserve"> identificadas por secuenciación en los ensayos preeliminares. Con los resultados del análisis por PCR-SSCP, se generaron dendrogramas bajo el método UPGMA utilizando el coeficiente de Dice, como lo muestra la figura 1 correspondiente al análisis de un grupo de 13 muestras y 4 patrones (M1, M15, M12 y MV).</w:t>
      </w:r>
    </w:p>
    <w:p w:rsidR="00636C6C" w:rsidRPr="00ED54FD" w:rsidRDefault="00636C6C" w:rsidP="0050126E">
      <w:pPr>
        <w:spacing w:line="480" w:lineRule="auto"/>
      </w:pPr>
    </w:p>
    <w:p w:rsidR="00636C6C" w:rsidRPr="00ED54FD" w:rsidRDefault="00636C6C" w:rsidP="0050126E">
      <w:pPr>
        <w:spacing w:line="480" w:lineRule="auto"/>
      </w:pPr>
      <w:r w:rsidRPr="00ED54FD">
        <w:t xml:space="preserve">La comparación de los resultados de la secuenciación de los aislamientos que mostraron perfiles electroforéticos diferentes, con los obtenidos mediante PCR-SSCP, muestra una alta concordancia entre las técnicas en la diferenciación de variantes evolutivas asociadas con beta-lactamasas de la familia CTX-M del grupo CTX-M-1, lo cual permite confirmar la sensibilidad de la técnica de PCR-SSCP para la identificación y diferenciación de variantes de genes de la familia CTX-M, tal como se ha reportado en otros estudios (Alonso </w:t>
      </w:r>
      <w:r w:rsidRPr="00EE0C32">
        <w:rPr>
          <w:i/>
        </w:rPr>
        <w:t xml:space="preserve">et </w:t>
      </w:r>
      <w:r>
        <w:rPr>
          <w:i/>
        </w:rPr>
        <w:t>a</w:t>
      </w:r>
      <w:r w:rsidRPr="00EE0C32">
        <w:rPr>
          <w:i/>
        </w:rPr>
        <w:t>l.</w:t>
      </w:r>
      <w:r w:rsidRPr="00EE0C32">
        <w:t>,</w:t>
      </w:r>
      <w:r w:rsidRPr="00ED54FD">
        <w:t xml:space="preserve"> 2002; Chanawong </w:t>
      </w:r>
      <w:r w:rsidRPr="00EE0C32">
        <w:rPr>
          <w:i/>
        </w:rPr>
        <w:t xml:space="preserve">et </w:t>
      </w:r>
      <w:r>
        <w:rPr>
          <w:i/>
        </w:rPr>
        <w:t>a</w:t>
      </w:r>
      <w:r w:rsidRPr="00EE0C32">
        <w:rPr>
          <w:i/>
        </w:rPr>
        <w:t>l.</w:t>
      </w:r>
      <w:r w:rsidRPr="00EE0C32">
        <w:t>,</w:t>
      </w:r>
      <w:r w:rsidRPr="00ED54FD">
        <w:t xml:space="preserve"> 2000; Orita </w:t>
      </w:r>
      <w:r w:rsidRPr="00EE0C32">
        <w:rPr>
          <w:i/>
        </w:rPr>
        <w:t xml:space="preserve">et </w:t>
      </w:r>
      <w:r>
        <w:rPr>
          <w:i/>
        </w:rPr>
        <w:t>a</w:t>
      </w:r>
      <w:r w:rsidRPr="00EE0C32">
        <w:rPr>
          <w:i/>
        </w:rPr>
        <w:t>l.</w:t>
      </w:r>
      <w:r w:rsidRPr="00EE0C32">
        <w:t>,</w:t>
      </w:r>
      <w:r w:rsidRPr="00ED54FD">
        <w:t xml:space="preserve"> 1989; Sentinelli </w:t>
      </w:r>
      <w:r w:rsidRPr="00EE0C32">
        <w:rPr>
          <w:i/>
        </w:rPr>
        <w:t xml:space="preserve">et </w:t>
      </w:r>
      <w:r>
        <w:rPr>
          <w:i/>
        </w:rPr>
        <w:t>a</w:t>
      </w:r>
      <w:r w:rsidRPr="00EE0C32">
        <w:rPr>
          <w:i/>
        </w:rPr>
        <w:t>l.</w:t>
      </w:r>
      <w:r w:rsidRPr="00EE0C32">
        <w:t>,</w:t>
      </w:r>
      <w:r w:rsidRPr="00ED54FD">
        <w:t xml:space="preserve"> 2000; Xie 2002).</w:t>
      </w:r>
    </w:p>
    <w:p w:rsidR="00636C6C" w:rsidRPr="00ED54FD" w:rsidRDefault="00636C6C" w:rsidP="0050126E">
      <w:pPr>
        <w:spacing w:line="480" w:lineRule="auto"/>
      </w:pPr>
    </w:p>
    <w:p w:rsidR="00636C6C" w:rsidRPr="00ED54FD" w:rsidRDefault="00636C6C" w:rsidP="0050126E">
      <w:pPr>
        <w:spacing w:line="480" w:lineRule="auto"/>
      </w:pPr>
      <w:r w:rsidRPr="00ED54FD">
        <w:t xml:space="preserve">Mediante la estrategia de análisis de fragmentos de restricción por PCR-SSCP estandarizada en este trabajo, se pudieron diferenciar e identificar las variantes </w:t>
      </w:r>
      <w:r w:rsidRPr="00ED54FD">
        <w:rPr>
          <w:i/>
        </w:rPr>
        <w:t>bla</w:t>
      </w:r>
      <w:r w:rsidRPr="00ED54FD">
        <w:rPr>
          <w:vertAlign w:val="subscript"/>
        </w:rPr>
        <w:t>CTX-M-60</w:t>
      </w:r>
      <w:r w:rsidRPr="00ED54FD">
        <w:t xml:space="preserve"> y </w:t>
      </w:r>
      <w:r w:rsidRPr="00ED54FD">
        <w:rPr>
          <w:i/>
        </w:rPr>
        <w:t>bla</w:t>
      </w:r>
      <w:r w:rsidRPr="00ED54FD">
        <w:rPr>
          <w:vertAlign w:val="subscript"/>
        </w:rPr>
        <w:t>CTX-M-12a</w:t>
      </w:r>
      <w:r w:rsidRPr="00ED54FD">
        <w:t>, que solo presentan una base de diferencia con</w:t>
      </w:r>
      <w:r>
        <w:t xml:space="preserve"> </w:t>
      </w:r>
      <w:r w:rsidRPr="00ED54FD">
        <w:t xml:space="preserve">respecto a la variante predominante </w:t>
      </w:r>
      <w:r w:rsidRPr="00ED54FD">
        <w:rPr>
          <w:i/>
        </w:rPr>
        <w:t>bla</w:t>
      </w:r>
      <w:r w:rsidRPr="00ED54FD">
        <w:rPr>
          <w:vertAlign w:val="subscript"/>
        </w:rPr>
        <w:t>CTX-M-12</w:t>
      </w:r>
      <w:r w:rsidRPr="00ED54FD">
        <w:t>, confirmando el alto grado de sensibilidad en la detección de mutaciones puntuales que presenta la técnica de SSCP</w:t>
      </w:r>
      <w:r>
        <w:t>,</w:t>
      </w:r>
      <w:r w:rsidRPr="00ED54FD">
        <w:t xml:space="preserve"> y la razón de su amplia utilización en genética humana para la detección de mutaciones puntuales, al igual que para el análisis de variaciones alélicas y polimorfismos en genes de otras especies, como en plantas, animales, virus, bacterias etc. (Xie, 2002). En resistencia bacteriana esta técnica ha sido utilizada para identificar variantes de otras familias de genes de beta-lactamasas como TEM, SHV</w:t>
      </w:r>
      <w:r>
        <w:t>,</w:t>
      </w:r>
      <w:r w:rsidRPr="00ED54FD">
        <w:t xml:space="preserve"> y de beta-lactamasas resistentes a inhibidores (Alonso </w:t>
      </w:r>
      <w:r w:rsidRPr="00EE0C32">
        <w:rPr>
          <w:i/>
        </w:rPr>
        <w:t xml:space="preserve">et </w:t>
      </w:r>
      <w:r>
        <w:rPr>
          <w:i/>
        </w:rPr>
        <w:t>a</w:t>
      </w:r>
      <w:r w:rsidRPr="00EE0C32">
        <w:rPr>
          <w:i/>
        </w:rPr>
        <w:t>l.</w:t>
      </w:r>
      <w:r w:rsidRPr="00EE0C32">
        <w:t>,</w:t>
      </w:r>
      <w:r w:rsidRPr="00ED54FD">
        <w:t xml:space="preserve"> 2002; Speldooren </w:t>
      </w:r>
      <w:r w:rsidRPr="00EE0C32">
        <w:rPr>
          <w:i/>
        </w:rPr>
        <w:t xml:space="preserve">et </w:t>
      </w:r>
      <w:r>
        <w:rPr>
          <w:i/>
        </w:rPr>
        <w:t>a</w:t>
      </w:r>
      <w:r w:rsidRPr="00EE0C32">
        <w:rPr>
          <w:i/>
        </w:rPr>
        <w:t>l.</w:t>
      </w:r>
      <w:r w:rsidRPr="00EE0C32">
        <w:t>,</w:t>
      </w:r>
      <w:r w:rsidRPr="00ED54FD">
        <w:t xml:space="preserve"> 1998; Leflon-Guibout </w:t>
      </w:r>
      <w:r w:rsidRPr="00EE0C32">
        <w:rPr>
          <w:i/>
        </w:rPr>
        <w:t xml:space="preserve">et </w:t>
      </w:r>
      <w:r>
        <w:rPr>
          <w:i/>
        </w:rPr>
        <w:t>a</w:t>
      </w:r>
      <w:r w:rsidRPr="00EE0C32">
        <w:rPr>
          <w:i/>
        </w:rPr>
        <w:t>l.</w:t>
      </w:r>
      <w:r w:rsidRPr="00EE0C32">
        <w:t>,</w:t>
      </w:r>
      <w:r w:rsidRPr="00ED54FD">
        <w:t xml:space="preserve"> 2000; M’Zali </w:t>
      </w:r>
      <w:r w:rsidRPr="00EE0C32">
        <w:rPr>
          <w:i/>
        </w:rPr>
        <w:t xml:space="preserve">et </w:t>
      </w:r>
      <w:r>
        <w:rPr>
          <w:i/>
        </w:rPr>
        <w:t>a</w:t>
      </w:r>
      <w:r w:rsidRPr="00EE0C32">
        <w:rPr>
          <w:i/>
        </w:rPr>
        <w:t>l.</w:t>
      </w:r>
      <w:r w:rsidRPr="00EE0C32">
        <w:t>,</w:t>
      </w:r>
      <w:r w:rsidRPr="00ED54FD">
        <w:t xml:space="preserve"> 1998).</w:t>
      </w:r>
    </w:p>
    <w:p w:rsidR="00636C6C" w:rsidRPr="00ED54FD" w:rsidRDefault="00636C6C" w:rsidP="0050126E">
      <w:pPr>
        <w:spacing w:line="480" w:lineRule="auto"/>
      </w:pPr>
    </w:p>
    <w:p w:rsidR="00636C6C" w:rsidRPr="00ED54FD" w:rsidRDefault="00636C6C" w:rsidP="0050126E">
      <w:pPr>
        <w:spacing w:line="480" w:lineRule="auto"/>
      </w:pPr>
      <w:r w:rsidRPr="00ED54FD">
        <w:t>Los resultados de este trabajo indican la presencia predominante del gen que codifica para la beta-lactamasa CTX-M-12 en los hospitales de Bogotá</w:t>
      </w:r>
      <w:r>
        <w:t>,</w:t>
      </w:r>
      <w:r w:rsidRPr="00ED54FD">
        <w:t xml:space="preserve"> ya que fue detectada en todos los hospitales incluidos en el estudio y en diferentes especies de enterobacterias. La variante CTX-M-1 solo fue detectada en 9 aislamientos, de los cuales 8 provenían de un mismo hospital.</w:t>
      </w:r>
      <w:r>
        <w:t xml:space="preserve"> </w:t>
      </w:r>
      <w:r w:rsidRPr="00ED54FD">
        <w:t>Las cefotaximasas CTX-M-12a y CTX-M-15</w:t>
      </w:r>
      <w:r>
        <w:t>,</w:t>
      </w:r>
      <w:r w:rsidRPr="00ED54FD">
        <w:t xml:space="preserve"> que se caracterizan por presentar una mayor actividad contra ceftazidima que frente a cefotaxima, fueron detectadas en diferentes enterobacterias, aisladas de pacientes de cinco hospitales. La variante CTX-M-60 solo fue detectada en un hospital, el único en el que se encontraron cuatro de las cinco variantes identificadas en este estudio.</w:t>
      </w:r>
    </w:p>
    <w:p w:rsidR="00636C6C" w:rsidRPr="00ED54FD" w:rsidRDefault="00636C6C" w:rsidP="0050126E">
      <w:pPr>
        <w:spacing w:line="480" w:lineRule="auto"/>
      </w:pPr>
    </w:p>
    <w:p w:rsidR="00636C6C" w:rsidRPr="00ED54FD" w:rsidRDefault="00636C6C" w:rsidP="0050126E">
      <w:pPr>
        <w:spacing w:line="480" w:lineRule="auto"/>
      </w:pPr>
      <w:r w:rsidRPr="00ED54FD">
        <w:t xml:space="preserve">En cuanto a la distribución por especies bacterianas, el gen </w:t>
      </w:r>
      <w:r w:rsidRPr="00ED54FD">
        <w:rPr>
          <w:i/>
        </w:rPr>
        <w:t>bla</w:t>
      </w:r>
      <w:r w:rsidRPr="00ED54FD">
        <w:rPr>
          <w:vertAlign w:val="subscript"/>
        </w:rPr>
        <w:t>CTX-M-12</w:t>
      </w:r>
      <w:r w:rsidRPr="00ED54FD">
        <w:t xml:space="preserve"> presentó el mayor grado de diseminación debido a que se detectó en el 52,7% del total de aislamientos y en las cuatro especies de enterobacterias consideradas en el estudio, mientras que el gen </w:t>
      </w:r>
      <w:r w:rsidRPr="00ED54FD">
        <w:rPr>
          <w:i/>
        </w:rPr>
        <w:t>bla</w:t>
      </w:r>
      <w:r w:rsidRPr="00ED54FD">
        <w:rPr>
          <w:vertAlign w:val="subscript"/>
        </w:rPr>
        <w:t>CTX-M-1</w:t>
      </w:r>
      <w:r w:rsidRPr="00ED54FD">
        <w:t xml:space="preserve"> se detectó en el 16,4% de los aislamientos, específicamente en tres </w:t>
      </w:r>
      <w:r w:rsidRPr="00ED54FD">
        <w:rPr>
          <w:i/>
        </w:rPr>
        <w:t>K. oxytoca</w:t>
      </w:r>
      <w:r>
        <w:rPr>
          <w:i/>
        </w:rPr>
        <w:t xml:space="preserve"> </w:t>
      </w:r>
      <w:r w:rsidRPr="00ED54FD">
        <w:t xml:space="preserve">y en seis </w:t>
      </w:r>
      <w:r w:rsidRPr="00ED54FD">
        <w:rPr>
          <w:i/>
        </w:rPr>
        <w:t>K. pneumoniae</w:t>
      </w:r>
      <w:r w:rsidRPr="00ED54FD">
        <w:t xml:space="preserve">. El gen </w:t>
      </w:r>
      <w:r w:rsidRPr="00ED54FD">
        <w:rPr>
          <w:i/>
        </w:rPr>
        <w:t>bla</w:t>
      </w:r>
      <w:r w:rsidRPr="00ED54FD">
        <w:rPr>
          <w:vertAlign w:val="subscript"/>
        </w:rPr>
        <w:t>CTX-M-15</w:t>
      </w:r>
      <w:r w:rsidRPr="00ED54FD">
        <w:t xml:space="preserve"> fue detectado principalmente en </w:t>
      </w:r>
      <w:r w:rsidRPr="00ED54FD">
        <w:rPr>
          <w:i/>
        </w:rPr>
        <w:t>E. coli</w:t>
      </w:r>
      <w:r w:rsidRPr="00ED54FD">
        <w:t xml:space="preserve"> (4 aislamientos) y en un aislamiento de</w:t>
      </w:r>
      <w:r w:rsidRPr="00ED54FD">
        <w:rPr>
          <w:i/>
        </w:rPr>
        <w:t xml:space="preserve"> K. pneumoniae</w:t>
      </w:r>
      <w:r w:rsidRPr="00ED54FD">
        <w:t xml:space="preserve">. Por otra parte, el gen </w:t>
      </w:r>
      <w:r w:rsidRPr="00ED54FD">
        <w:rPr>
          <w:i/>
        </w:rPr>
        <w:t>bla</w:t>
      </w:r>
      <w:r w:rsidRPr="00ED54FD">
        <w:rPr>
          <w:vertAlign w:val="subscript"/>
        </w:rPr>
        <w:t>CTX-M-12a</w:t>
      </w:r>
      <w:r w:rsidRPr="00ED54FD">
        <w:t xml:space="preserve"> fue detectado en dos </w:t>
      </w:r>
      <w:r w:rsidRPr="00ED54FD">
        <w:rPr>
          <w:i/>
        </w:rPr>
        <w:t>E. cloacae</w:t>
      </w:r>
      <w:r>
        <w:t xml:space="preserve"> </w:t>
      </w:r>
      <w:r w:rsidRPr="00ED54FD">
        <w:t xml:space="preserve">y en dos </w:t>
      </w:r>
      <w:r w:rsidRPr="00ED54FD">
        <w:rPr>
          <w:i/>
        </w:rPr>
        <w:t>K. pneumoniae</w:t>
      </w:r>
      <w:r>
        <w:t>,</w:t>
      </w:r>
      <w:r w:rsidRPr="00ED54FD">
        <w:t xml:space="preserve"> mientras que el gen </w:t>
      </w:r>
      <w:r w:rsidRPr="00ED54FD">
        <w:rPr>
          <w:i/>
        </w:rPr>
        <w:t>bla</w:t>
      </w:r>
      <w:r w:rsidRPr="00ED54FD">
        <w:rPr>
          <w:vertAlign w:val="subscript"/>
        </w:rPr>
        <w:t>CTX-M-60</w:t>
      </w:r>
      <w:r w:rsidRPr="00ED54FD">
        <w:t xml:space="preserve"> sólo se detectó en </w:t>
      </w:r>
      <w:r w:rsidRPr="00ED54FD">
        <w:rPr>
          <w:i/>
        </w:rPr>
        <w:t>K. pneumoniae.</w:t>
      </w:r>
    </w:p>
    <w:p w:rsidR="00636C6C" w:rsidRPr="00ED54FD" w:rsidRDefault="00636C6C" w:rsidP="0050126E">
      <w:pPr>
        <w:spacing w:line="480" w:lineRule="auto"/>
      </w:pPr>
    </w:p>
    <w:p w:rsidR="00636C6C" w:rsidRPr="00ED54FD" w:rsidRDefault="00636C6C" w:rsidP="0050126E">
      <w:pPr>
        <w:spacing w:line="480" w:lineRule="auto"/>
      </w:pPr>
      <w:r w:rsidRPr="00ED54FD">
        <w:t>Aunque la mayor proporción de aislamientos provenían de infección intrahospitalaria (IIH), llama la atención que todas las variantes fueron detectadas también en aislamientos provenientes de la comunidad</w:t>
      </w:r>
      <w:r>
        <w:t xml:space="preserve">. </w:t>
      </w:r>
      <w:r w:rsidRPr="00ED54FD">
        <w:t xml:space="preserve">Este hecho permitiría presumir que existe diseminación de la resistencia desde el ámbito hospitalario hacia la comunidad. Así, los seis aislamientos de </w:t>
      </w:r>
      <w:r w:rsidRPr="00ED54FD">
        <w:rPr>
          <w:i/>
        </w:rPr>
        <w:t>K. pneumoniae</w:t>
      </w:r>
      <w:r w:rsidRPr="00ED54FD">
        <w:t xml:space="preserve"> portadores de gen </w:t>
      </w:r>
      <w:r w:rsidRPr="00ED54FD">
        <w:rPr>
          <w:i/>
        </w:rPr>
        <w:t>bla</w:t>
      </w:r>
      <w:r w:rsidRPr="00ED54FD">
        <w:rPr>
          <w:vertAlign w:val="subscript"/>
        </w:rPr>
        <w:t>CTX-M-1</w:t>
      </w:r>
      <w:r w:rsidRPr="00ED54FD">
        <w:t xml:space="preserve"> se aislaron de pacientes del mismo hospital y cinco de ellos fueron asociados con IIH; en el caso de los cuatro </w:t>
      </w:r>
      <w:r w:rsidRPr="00ED54FD">
        <w:rPr>
          <w:i/>
        </w:rPr>
        <w:t>E. coli</w:t>
      </w:r>
      <w:r w:rsidRPr="00ED54FD">
        <w:t xml:space="preserve"> portadores del gen </w:t>
      </w:r>
      <w:r w:rsidRPr="00ED54FD">
        <w:rPr>
          <w:i/>
        </w:rPr>
        <w:t>bla</w:t>
      </w:r>
      <w:r w:rsidRPr="00ED54FD">
        <w:rPr>
          <w:vertAlign w:val="subscript"/>
        </w:rPr>
        <w:t>CTX-M-15</w:t>
      </w:r>
      <w:r w:rsidRPr="00ED54FD">
        <w:t xml:space="preserve"> que fueron obtenidos de cuatro hospitales, dos fueron asociados con IIH y dos fueron aislados de la comunidad; de igual manera</w:t>
      </w:r>
      <w:r>
        <w:t>,</w:t>
      </w:r>
      <w:r w:rsidRPr="00ED54FD">
        <w:t xml:space="preserve"> de las dos especies portador</w:t>
      </w:r>
      <w:r>
        <w:t>a</w:t>
      </w:r>
      <w:r w:rsidRPr="00ED54FD">
        <w:t xml:space="preserve">s del gen </w:t>
      </w:r>
      <w:r w:rsidRPr="00ED54FD">
        <w:rPr>
          <w:i/>
        </w:rPr>
        <w:t>bla</w:t>
      </w:r>
      <w:r w:rsidRPr="00ED54FD">
        <w:rPr>
          <w:vertAlign w:val="subscript"/>
        </w:rPr>
        <w:t>CTX-M-12a</w:t>
      </w:r>
      <w:r>
        <w:t xml:space="preserve"> </w:t>
      </w:r>
      <w:r w:rsidRPr="00ED54FD">
        <w:t>un aislamiento de cada una de ellas fue asociad</w:t>
      </w:r>
      <w:r>
        <w:t>o</w:t>
      </w:r>
      <w:r w:rsidRPr="00ED54FD">
        <w:t xml:space="preserve"> con IIH y el otro fue aislado de la comunidad. En el caso de la variante</w:t>
      </w:r>
      <w:r w:rsidRPr="00ED54FD">
        <w:rPr>
          <w:i/>
        </w:rPr>
        <w:t xml:space="preserve"> bla</w:t>
      </w:r>
      <w:r w:rsidRPr="00ED54FD">
        <w:rPr>
          <w:vertAlign w:val="subscript"/>
        </w:rPr>
        <w:t>CTX-M-60</w:t>
      </w:r>
      <w:r w:rsidRPr="00ED54FD">
        <w:t xml:space="preserve"> solo se presentó en un hospital</w:t>
      </w:r>
      <w:r>
        <w:t>,</w:t>
      </w:r>
      <w:r w:rsidRPr="00ED54FD">
        <w:t xml:space="preserve"> y uno de los aislamientos portadores de este gen se aisló de un individuo no hospitalizado y el otro se asoció con IIH. El gen</w:t>
      </w:r>
      <w:r w:rsidRPr="00ED54FD">
        <w:rPr>
          <w:i/>
        </w:rPr>
        <w:t xml:space="preserve"> bla</w:t>
      </w:r>
      <w:r w:rsidRPr="00ED54FD">
        <w:rPr>
          <w:vertAlign w:val="subscript"/>
        </w:rPr>
        <w:t>CTX-M-12</w:t>
      </w:r>
      <w:r w:rsidRPr="00ED54FD">
        <w:t xml:space="preserve"> se detectó en 24 aislamientos asociados con IIH y en 5 de la comunidad (en ambos casos en las 4 especies de enterobacterias consideradas en el estudio). </w:t>
      </w:r>
    </w:p>
    <w:p w:rsidR="00636C6C" w:rsidRPr="00ED54FD" w:rsidRDefault="00636C6C" w:rsidP="0050126E">
      <w:pPr>
        <w:spacing w:line="480" w:lineRule="auto"/>
      </w:pPr>
    </w:p>
    <w:p w:rsidR="00636C6C" w:rsidRPr="00ED54FD" w:rsidRDefault="00636C6C" w:rsidP="0050126E">
      <w:pPr>
        <w:spacing w:line="480" w:lineRule="auto"/>
      </w:pPr>
      <w:r w:rsidRPr="00ED54FD">
        <w:t>Considerando que el n</w:t>
      </w:r>
      <w:r>
        <w:t>ú</w:t>
      </w:r>
      <w:r w:rsidRPr="00ED54FD">
        <w:t>mero de aislamientos analizados en el estudio no es representativo para realizar inferencias epidemiológicas, solo se puede hacer mención sobre la tendencia del problema</w:t>
      </w:r>
      <w:r>
        <w:t xml:space="preserve"> </w:t>
      </w:r>
      <w:r w:rsidRPr="00ED54FD">
        <w:t xml:space="preserve">de la resistencia a beta-lactámicos debida a cefotaximasas en los centros hospitalarios de la ciudad de Bogotá, observándose una alta circulación del gen </w:t>
      </w:r>
      <w:r w:rsidRPr="00ED54FD">
        <w:rPr>
          <w:i/>
        </w:rPr>
        <w:t>bla</w:t>
      </w:r>
      <w:r w:rsidRPr="00ED54FD">
        <w:rPr>
          <w:vertAlign w:val="subscript"/>
        </w:rPr>
        <w:t>CTX-M-12</w:t>
      </w:r>
      <w:r w:rsidRPr="00ED54FD">
        <w:t xml:space="preserve"> y de las variantes </w:t>
      </w:r>
      <w:r w:rsidRPr="00ED54FD">
        <w:rPr>
          <w:i/>
        </w:rPr>
        <w:t>bla</w:t>
      </w:r>
      <w:r w:rsidRPr="00ED54FD">
        <w:rPr>
          <w:vertAlign w:val="subscript"/>
        </w:rPr>
        <w:t>CTX-M-15</w:t>
      </w:r>
      <w:r w:rsidRPr="00ED54FD">
        <w:t xml:space="preserve"> y </w:t>
      </w:r>
      <w:r w:rsidRPr="00ED54FD">
        <w:rPr>
          <w:i/>
        </w:rPr>
        <w:t>bla</w:t>
      </w:r>
      <w:r w:rsidRPr="00ED54FD">
        <w:rPr>
          <w:vertAlign w:val="subscript"/>
        </w:rPr>
        <w:t>CTX-M-12a</w:t>
      </w:r>
      <w:r>
        <w:t xml:space="preserve"> </w:t>
      </w:r>
      <w:r w:rsidRPr="00ED54FD">
        <w:t>tanto en</w:t>
      </w:r>
      <w:r>
        <w:t xml:space="preserve"> </w:t>
      </w:r>
      <w:r w:rsidRPr="00ED54FD">
        <w:t>las diferentes especies de enterobacterias como en la mayoría de los hospitales involucrados en el estudio. Esta amplia</w:t>
      </w:r>
      <w:r>
        <w:t xml:space="preserve"> </w:t>
      </w:r>
      <w:r w:rsidRPr="00ED54FD">
        <w:t xml:space="preserve">diseminación puede estar asociada con la movilidad de plásmidos conjugativos, ya que estos genes son de carácter plasmídico. </w:t>
      </w:r>
    </w:p>
    <w:p w:rsidR="00636C6C" w:rsidRPr="00ED54FD" w:rsidRDefault="00636C6C" w:rsidP="0050126E">
      <w:pPr>
        <w:spacing w:line="480" w:lineRule="auto"/>
      </w:pPr>
    </w:p>
    <w:p w:rsidR="00636C6C" w:rsidRPr="00ED54FD" w:rsidRDefault="00636C6C" w:rsidP="0050126E">
      <w:pPr>
        <w:spacing w:line="480" w:lineRule="auto"/>
      </w:pPr>
      <w:r w:rsidRPr="00ED54FD">
        <w:t>Estos resultados constituyen una alerta para evaluar las políticas de manejo de antibióticos en los centros hospitalarios estudiados</w:t>
      </w:r>
      <w:r>
        <w:t>,</w:t>
      </w:r>
      <w:r w:rsidRPr="00ED54FD">
        <w:t xml:space="preserve"> así como para tomar medidas que permitan, en el corto y mediano plazo, controlar la diseminación de estos determinantes de resistencia entre hospitales y en la comunidad.</w:t>
      </w:r>
      <w:r>
        <w:t xml:space="preserve"> </w:t>
      </w:r>
    </w:p>
    <w:p w:rsidR="00636C6C" w:rsidRPr="00ED54FD" w:rsidRDefault="00636C6C" w:rsidP="0050126E">
      <w:pPr>
        <w:widowControl w:val="0"/>
        <w:suppressAutoHyphens/>
        <w:spacing w:before="120" w:after="120" w:line="480" w:lineRule="auto"/>
      </w:pPr>
      <w:r w:rsidRPr="00ED54FD">
        <w:t>El costo-beneficio del análisis por muestra utilizando la metodología PCR-SSCP estandarizada es positivo con respecto al costo de la secuenciación, cuando el volumen de muestras es superior a 40, por lo cual la PCR-SSCP puede ser utilizada en estudios epidemiológicos de gran envergadura como procedimiento de tamizaje para el seguimiento de la diseminación de genes de resistencia</w:t>
      </w:r>
      <w:r>
        <w:t>,</w:t>
      </w:r>
      <w:r w:rsidRPr="00ED54FD">
        <w:t xml:space="preserve"> y para la identificación previa a la secuenciación de nuevas variantes genéticas.</w:t>
      </w:r>
    </w:p>
    <w:p w:rsidR="00636C6C" w:rsidRDefault="00636C6C" w:rsidP="0050126E">
      <w:pPr>
        <w:widowControl w:val="0"/>
        <w:suppressAutoHyphens/>
        <w:spacing w:before="120" w:after="120" w:line="480" w:lineRule="auto"/>
        <w:rPr>
          <w:b/>
        </w:rPr>
      </w:pPr>
    </w:p>
    <w:p w:rsidR="00636C6C" w:rsidRDefault="00636C6C" w:rsidP="0050126E">
      <w:pPr>
        <w:widowControl w:val="0"/>
        <w:suppressAutoHyphens/>
        <w:spacing w:before="120" w:after="120" w:line="480" w:lineRule="auto"/>
        <w:rPr>
          <w:b/>
        </w:rPr>
      </w:pPr>
    </w:p>
    <w:p w:rsidR="00636C6C" w:rsidRPr="00ED54FD" w:rsidRDefault="00636C6C" w:rsidP="0050126E">
      <w:pPr>
        <w:widowControl w:val="0"/>
        <w:suppressAutoHyphens/>
        <w:spacing w:before="120" w:after="120" w:line="480" w:lineRule="auto"/>
      </w:pPr>
      <w:r w:rsidRPr="00ED54FD">
        <w:rPr>
          <w:b/>
        </w:rPr>
        <w:t>Referencias</w:t>
      </w:r>
      <w:r>
        <w:rPr>
          <w:b/>
        </w:rPr>
        <w:t xml:space="preserve"> bibliográficas</w:t>
      </w:r>
    </w:p>
    <w:p w:rsidR="00636C6C" w:rsidRPr="00ED54FD" w:rsidRDefault="00636C6C" w:rsidP="0050126E">
      <w:pPr>
        <w:spacing w:line="480" w:lineRule="auto"/>
      </w:pPr>
    </w:p>
    <w:p w:rsidR="00636C6C" w:rsidRPr="00ED54FD" w:rsidRDefault="00636C6C" w:rsidP="0050126E">
      <w:pPr>
        <w:spacing w:line="480" w:lineRule="auto"/>
        <w:rPr>
          <w:lang w:val="en-GB"/>
        </w:rPr>
      </w:pPr>
      <w:hyperlink r:id="rId7" w:history="1">
        <w:r w:rsidRPr="00ED54FD">
          <w:rPr>
            <w:rStyle w:val="Hyperlink"/>
            <w:bCs/>
            <w:color w:val="auto"/>
            <w:u w:val="none"/>
          </w:rPr>
          <w:t>Alonso</w:t>
        </w:r>
        <w:r>
          <w:rPr>
            <w:rStyle w:val="Hyperlink"/>
            <w:bCs/>
            <w:color w:val="auto"/>
            <w:u w:val="none"/>
          </w:rPr>
          <w:t>,</w:t>
        </w:r>
        <w:r w:rsidRPr="00ED54FD">
          <w:rPr>
            <w:rStyle w:val="Hyperlink"/>
            <w:bCs/>
            <w:color w:val="auto"/>
            <w:u w:val="none"/>
          </w:rPr>
          <w:t xml:space="preserve"> R</w:t>
        </w:r>
      </w:hyperlink>
      <w:r>
        <w:t>.</w:t>
      </w:r>
      <w:r w:rsidRPr="00ED54FD">
        <w:t xml:space="preserve">, </w:t>
      </w:r>
      <w:hyperlink r:id="rId8" w:history="1">
        <w:r w:rsidRPr="00ED54FD">
          <w:rPr>
            <w:rStyle w:val="Hyperlink"/>
            <w:bCs/>
            <w:color w:val="auto"/>
            <w:u w:val="none"/>
          </w:rPr>
          <w:t>Fernández-Aranguiz</w:t>
        </w:r>
        <w:r>
          <w:rPr>
            <w:rStyle w:val="Hyperlink"/>
            <w:bCs/>
            <w:color w:val="auto"/>
            <w:u w:val="none"/>
          </w:rPr>
          <w:t>,</w:t>
        </w:r>
        <w:r w:rsidRPr="00ED54FD">
          <w:rPr>
            <w:rStyle w:val="Hyperlink"/>
            <w:bCs/>
            <w:color w:val="auto"/>
            <w:u w:val="none"/>
          </w:rPr>
          <w:t xml:space="preserve"> A</w:t>
        </w:r>
      </w:hyperlink>
      <w:r>
        <w:t>.</w:t>
      </w:r>
      <w:r w:rsidRPr="00ED54FD">
        <w:t xml:space="preserve">, </w:t>
      </w:r>
      <w:hyperlink r:id="rId9" w:history="1">
        <w:r w:rsidRPr="00ED54FD">
          <w:rPr>
            <w:rStyle w:val="Hyperlink"/>
            <w:bCs/>
            <w:color w:val="auto"/>
            <w:u w:val="none"/>
          </w:rPr>
          <w:t>Colom</w:t>
        </w:r>
        <w:r>
          <w:rPr>
            <w:rStyle w:val="Hyperlink"/>
            <w:bCs/>
            <w:color w:val="auto"/>
            <w:u w:val="none"/>
          </w:rPr>
          <w:t>,</w:t>
        </w:r>
        <w:r w:rsidRPr="00ED54FD">
          <w:rPr>
            <w:rStyle w:val="Hyperlink"/>
            <w:bCs/>
            <w:color w:val="auto"/>
            <w:u w:val="none"/>
          </w:rPr>
          <w:t xml:space="preserve"> K</w:t>
        </w:r>
      </w:hyperlink>
      <w:r>
        <w:t>.</w:t>
      </w:r>
      <w:r w:rsidRPr="00ED54FD">
        <w:t xml:space="preserve">, </w:t>
      </w:r>
      <w:hyperlink r:id="rId10" w:history="1">
        <w:r w:rsidRPr="00ED54FD">
          <w:rPr>
            <w:rStyle w:val="Hyperlink"/>
            <w:bCs/>
            <w:color w:val="auto"/>
            <w:u w:val="none"/>
          </w:rPr>
          <w:t>Cisterna</w:t>
        </w:r>
        <w:r>
          <w:rPr>
            <w:rStyle w:val="Hyperlink"/>
            <w:bCs/>
            <w:color w:val="auto"/>
            <w:u w:val="none"/>
          </w:rPr>
          <w:t>,</w:t>
        </w:r>
        <w:r w:rsidRPr="00ED54FD">
          <w:rPr>
            <w:rStyle w:val="Hyperlink"/>
            <w:bCs/>
            <w:color w:val="auto"/>
            <w:u w:val="none"/>
          </w:rPr>
          <w:t xml:space="preserve"> R</w:t>
        </w:r>
      </w:hyperlink>
      <w:r w:rsidRPr="00ED54FD">
        <w:t xml:space="preserve">. 2002. </w:t>
      </w:r>
      <w:r w:rsidRPr="00ED54FD">
        <w:rPr>
          <w:lang w:val="en-GB"/>
        </w:rPr>
        <w:t xml:space="preserve">Non-radioactive PCR-SSCP with a single PCR step for detection of inhibitor resistant beta-lactamases in </w:t>
      </w:r>
      <w:r w:rsidRPr="00ED54FD">
        <w:rPr>
          <w:i/>
          <w:lang w:val="en-GB"/>
        </w:rPr>
        <w:t>Escherichia coli</w:t>
      </w:r>
      <w:r w:rsidRPr="00ED54FD">
        <w:rPr>
          <w:lang w:val="en-GB"/>
        </w:rPr>
        <w:t>. J Microbiol Methods 50</w:t>
      </w:r>
      <w:r>
        <w:rPr>
          <w:lang w:val="en-GB"/>
        </w:rPr>
        <w:t xml:space="preserve"> </w:t>
      </w:r>
      <w:r w:rsidRPr="00ED54FD">
        <w:rPr>
          <w:lang w:val="en-GB"/>
        </w:rPr>
        <w:t>(1):</w:t>
      </w:r>
      <w:r>
        <w:rPr>
          <w:lang w:val="en-GB"/>
        </w:rPr>
        <w:t xml:space="preserve"> </w:t>
      </w:r>
      <w:r w:rsidRPr="00ED54FD">
        <w:rPr>
          <w:lang w:val="en-GB"/>
        </w:rPr>
        <w:t>85</w:t>
      </w:r>
      <w:r>
        <w:rPr>
          <w:lang w:val="en-GB"/>
        </w:rPr>
        <w:t>.</w:t>
      </w:r>
      <w:r w:rsidRPr="00ED54FD">
        <w:rPr>
          <w:lang w:val="en-GB"/>
        </w:rPr>
        <w:t xml:space="preserve"> </w:t>
      </w:r>
    </w:p>
    <w:p w:rsidR="00636C6C" w:rsidRPr="00ED54FD" w:rsidRDefault="00636C6C" w:rsidP="0050126E">
      <w:pPr>
        <w:spacing w:line="480" w:lineRule="auto"/>
        <w:rPr>
          <w:rStyle w:val="Strong"/>
          <w:b w:val="0"/>
          <w:lang w:val="en-US"/>
        </w:rPr>
      </w:pPr>
    </w:p>
    <w:p w:rsidR="00636C6C" w:rsidRPr="00ED54FD" w:rsidRDefault="00636C6C" w:rsidP="0050126E">
      <w:pPr>
        <w:spacing w:line="480" w:lineRule="auto"/>
        <w:rPr>
          <w:lang w:val="en-US"/>
        </w:rPr>
      </w:pPr>
      <w:r w:rsidRPr="00ED54FD">
        <w:rPr>
          <w:rStyle w:val="Strong"/>
          <w:b w:val="0"/>
          <w:lang w:val="en-US"/>
        </w:rPr>
        <w:t>Arlet</w:t>
      </w:r>
      <w:r>
        <w:rPr>
          <w:rStyle w:val="Strong"/>
          <w:b w:val="0"/>
          <w:lang w:val="en-US"/>
        </w:rPr>
        <w:t>,</w:t>
      </w:r>
      <w:r w:rsidRPr="00ED54FD">
        <w:rPr>
          <w:rStyle w:val="Strong"/>
          <w:b w:val="0"/>
          <w:lang w:val="en-US"/>
        </w:rPr>
        <w:t xml:space="preserve"> </w:t>
      </w:r>
      <w:r w:rsidRPr="00ED54FD">
        <w:rPr>
          <w:rStyle w:val="Strong"/>
          <w:b w:val="0"/>
          <w:shd w:val="clear" w:color="auto" w:fill="FFFFFF"/>
          <w:lang w:val="en-US"/>
        </w:rPr>
        <w:t>G</w:t>
      </w:r>
      <w:r>
        <w:rPr>
          <w:rStyle w:val="Strong"/>
          <w:b w:val="0"/>
          <w:shd w:val="clear" w:color="auto" w:fill="FFFFFF"/>
          <w:lang w:val="en-US"/>
        </w:rPr>
        <w:t>.</w:t>
      </w:r>
      <w:r w:rsidRPr="00ED54FD">
        <w:rPr>
          <w:rStyle w:val="Strong"/>
          <w:b w:val="0"/>
          <w:lang w:val="en-US"/>
        </w:rPr>
        <w:t>, Brami</w:t>
      </w:r>
      <w:r>
        <w:rPr>
          <w:rStyle w:val="Strong"/>
          <w:b w:val="0"/>
          <w:lang w:val="en-US"/>
        </w:rPr>
        <w:t>,</w:t>
      </w:r>
      <w:r w:rsidRPr="00ED54FD">
        <w:rPr>
          <w:rStyle w:val="Strong"/>
          <w:b w:val="0"/>
          <w:shd w:val="clear" w:color="auto" w:fill="FFFFFF"/>
          <w:lang w:val="en-US"/>
        </w:rPr>
        <w:t xml:space="preserve"> G</w:t>
      </w:r>
      <w:r>
        <w:rPr>
          <w:rStyle w:val="Strong"/>
          <w:b w:val="0"/>
          <w:shd w:val="clear" w:color="auto" w:fill="FFFFFF"/>
          <w:lang w:val="en-US"/>
        </w:rPr>
        <w:t>.</w:t>
      </w:r>
      <w:r w:rsidRPr="00ED54FD">
        <w:rPr>
          <w:rStyle w:val="Strong"/>
          <w:b w:val="0"/>
          <w:lang w:val="en-US"/>
        </w:rPr>
        <w:t>, Décrè</w:t>
      </w:r>
      <w:r>
        <w:rPr>
          <w:rStyle w:val="Strong"/>
          <w:b w:val="0"/>
          <w:lang w:val="en-US"/>
        </w:rPr>
        <w:t>,</w:t>
      </w:r>
      <w:r w:rsidRPr="00ED54FD">
        <w:rPr>
          <w:rStyle w:val="Strong"/>
          <w:b w:val="0"/>
          <w:lang w:val="en-US"/>
        </w:rPr>
        <w:t xml:space="preserve"> D</w:t>
      </w:r>
      <w:r>
        <w:rPr>
          <w:rStyle w:val="Strong"/>
          <w:b w:val="0"/>
          <w:lang w:val="en-US"/>
        </w:rPr>
        <w:t>.</w:t>
      </w:r>
      <w:r w:rsidRPr="00ED54FD">
        <w:rPr>
          <w:rStyle w:val="Strong"/>
          <w:b w:val="0"/>
          <w:lang w:val="en-US"/>
        </w:rPr>
        <w:t>, Flippo</w:t>
      </w:r>
      <w:r>
        <w:rPr>
          <w:rStyle w:val="Strong"/>
          <w:b w:val="0"/>
          <w:lang w:val="en-US"/>
        </w:rPr>
        <w:t>,</w:t>
      </w:r>
      <w:r w:rsidRPr="00ED54FD">
        <w:rPr>
          <w:rStyle w:val="Strong"/>
          <w:b w:val="0"/>
          <w:lang w:val="en-US"/>
        </w:rPr>
        <w:t xml:space="preserve"> A</w:t>
      </w:r>
      <w:r>
        <w:rPr>
          <w:rStyle w:val="Strong"/>
          <w:b w:val="0"/>
          <w:lang w:val="en-US"/>
        </w:rPr>
        <w:t>.</w:t>
      </w:r>
      <w:r w:rsidRPr="00ED54FD">
        <w:rPr>
          <w:rStyle w:val="Strong"/>
          <w:b w:val="0"/>
          <w:lang w:val="en-US"/>
        </w:rPr>
        <w:t xml:space="preserve">, </w:t>
      </w:r>
      <w:r w:rsidRPr="00ED54FD">
        <w:rPr>
          <w:rStyle w:val="Strong"/>
          <w:b w:val="0"/>
          <w:shd w:val="clear" w:color="auto" w:fill="FFFFFF"/>
          <w:lang w:val="en-US"/>
        </w:rPr>
        <w:t>G</w:t>
      </w:r>
      <w:r w:rsidRPr="00ED54FD">
        <w:rPr>
          <w:rStyle w:val="Strong"/>
          <w:b w:val="0"/>
          <w:lang w:val="en-US"/>
        </w:rPr>
        <w:t>aillot</w:t>
      </w:r>
      <w:r>
        <w:rPr>
          <w:rStyle w:val="Strong"/>
          <w:b w:val="0"/>
          <w:lang w:val="en-US"/>
        </w:rPr>
        <w:t>,</w:t>
      </w:r>
      <w:r w:rsidRPr="00ED54FD">
        <w:rPr>
          <w:rStyle w:val="Strong"/>
          <w:b w:val="0"/>
          <w:lang w:val="en-US"/>
        </w:rPr>
        <w:t xml:space="preserve"> O</w:t>
      </w:r>
      <w:r>
        <w:rPr>
          <w:rStyle w:val="Strong"/>
          <w:b w:val="0"/>
          <w:lang w:val="en-US"/>
        </w:rPr>
        <w:t>.</w:t>
      </w:r>
      <w:r w:rsidRPr="00ED54FD">
        <w:rPr>
          <w:rStyle w:val="Strong"/>
          <w:b w:val="0"/>
          <w:lang w:val="en-US"/>
        </w:rPr>
        <w:t>, La</w:t>
      </w:r>
      <w:r w:rsidRPr="00ED54FD">
        <w:rPr>
          <w:rStyle w:val="Strong"/>
          <w:b w:val="0"/>
          <w:shd w:val="clear" w:color="auto" w:fill="FFFFFF"/>
          <w:lang w:val="en-US"/>
        </w:rPr>
        <w:t>g</w:t>
      </w:r>
      <w:r w:rsidRPr="00ED54FD">
        <w:rPr>
          <w:rStyle w:val="Strong"/>
          <w:b w:val="0"/>
          <w:lang w:val="en-US"/>
        </w:rPr>
        <w:t>ran</w:t>
      </w:r>
      <w:r w:rsidRPr="00ED54FD">
        <w:rPr>
          <w:rStyle w:val="Strong"/>
          <w:b w:val="0"/>
          <w:shd w:val="clear" w:color="auto" w:fill="FFFFFF"/>
          <w:lang w:val="en-US"/>
        </w:rPr>
        <w:t>g</w:t>
      </w:r>
      <w:r w:rsidRPr="00ED54FD">
        <w:rPr>
          <w:rStyle w:val="Strong"/>
          <w:b w:val="0"/>
          <w:lang w:val="en-US"/>
        </w:rPr>
        <w:t>e</w:t>
      </w:r>
      <w:r>
        <w:rPr>
          <w:rStyle w:val="Strong"/>
          <w:b w:val="0"/>
          <w:lang w:val="en-US"/>
        </w:rPr>
        <w:t>,</w:t>
      </w:r>
      <w:r w:rsidRPr="00ED54FD">
        <w:rPr>
          <w:rStyle w:val="Strong"/>
          <w:b w:val="0"/>
          <w:lang w:val="en-US"/>
        </w:rPr>
        <w:t xml:space="preserve"> PH</w:t>
      </w:r>
      <w:r>
        <w:rPr>
          <w:rStyle w:val="Strong"/>
          <w:b w:val="0"/>
          <w:lang w:val="en-US"/>
        </w:rPr>
        <w:t>.</w:t>
      </w:r>
      <w:r w:rsidRPr="00ED54FD">
        <w:rPr>
          <w:rStyle w:val="Strong"/>
          <w:b w:val="0"/>
          <w:lang w:val="en-US"/>
        </w:rPr>
        <w:t>, Philippon</w:t>
      </w:r>
      <w:r>
        <w:rPr>
          <w:rStyle w:val="Strong"/>
          <w:b w:val="0"/>
          <w:lang w:val="en-US"/>
        </w:rPr>
        <w:t>,</w:t>
      </w:r>
      <w:r w:rsidRPr="00A37D12">
        <w:rPr>
          <w:rStyle w:val="Strong"/>
          <w:b w:val="0"/>
          <w:lang w:val="en-US"/>
        </w:rPr>
        <w:t xml:space="preserve"> </w:t>
      </w:r>
      <w:r w:rsidRPr="00ED54FD">
        <w:rPr>
          <w:rStyle w:val="Strong"/>
          <w:b w:val="0"/>
          <w:lang w:val="en-US"/>
        </w:rPr>
        <w:t>A.</w:t>
      </w:r>
      <w:r w:rsidRPr="00ED54FD">
        <w:rPr>
          <w:lang w:val="en-US"/>
        </w:rPr>
        <w:t xml:space="preserve"> 1995. Molecular characterisation by PCR-restriction fra</w:t>
      </w:r>
      <w:r w:rsidRPr="00ED54FD">
        <w:rPr>
          <w:rStyle w:val="Strong"/>
          <w:b w:val="0"/>
          <w:shd w:val="clear" w:color="auto" w:fill="FFFFFF"/>
          <w:lang w:val="en-US"/>
        </w:rPr>
        <w:t>g</w:t>
      </w:r>
      <w:r w:rsidRPr="00ED54FD">
        <w:rPr>
          <w:lang w:val="en-US"/>
        </w:rPr>
        <w:t>ment len</w:t>
      </w:r>
      <w:r w:rsidRPr="00ED54FD">
        <w:rPr>
          <w:rStyle w:val="Strong"/>
          <w:b w:val="0"/>
          <w:shd w:val="clear" w:color="auto" w:fill="FFFFFF"/>
          <w:lang w:val="en-US"/>
        </w:rPr>
        <w:t>g</w:t>
      </w:r>
      <w:r w:rsidRPr="00ED54FD">
        <w:rPr>
          <w:lang w:val="en-US"/>
        </w:rPr>
        <w:t>th polymorphism of TEM beta-Lactamases. FEMS Microbiol Let</w:t>
      </w:r>
      <w:r>
        <w:rPr>
          <w:lang w:val="en-US"/>
        </w:rPr>
        <w:t xml:space="preserve"> </w:t>
      </w:r>
      <w:r w:rsidRPr="00ED54FD">
        <w:rPr>
          <w:bCs/>
          <w:lang w:val="en-US"/>
        </w:rPr>
        <w:t>134</w:t>
      </w:r>
      <w:r>
        <w:rPr>
          <w:bCs/>
          <w:lang w:val="en-US"/>
        </w:rPr>
        <w:t xml:space="preserve"> </w:t>
      </w:r>
      <w:r w:rsidRPr="00ED54FD">
        <w:rPr>
          <w:bCs/>
          <w:lang w:val="en-US"/>
        </w:rPr>
        <w:t>(2-3):</w:t>
      </w:r>
      <w:r>
        <w:rPr>
          <w:bCs/>
          <w:lang w:val="en-US"/>
        </w:rPr>
        <w:t xml:space="preserve"> </w:t>
      </w:r>
      <w:r w:rsidRPr="00ED54FD">
        <w:rPr>
          <w:lang w:val="en-US"/>
        </w:rPr>
        <w:t>203-208</w:t>
      </w:r>
      <w:r>
        <w:rPr>
          <w:lang w:val="en-US"/>
        </w:rPr>
        <w:t>.</w:t>
      </w:r>
    </w:p>
    <w:p w:rsidR="00636C6C" w:rsidRPr="00ED54FD" w:rsidRDefault="00636C6C" w:rsidP="0050126E">
      <w:pPr>
        <w:spacing w:line="480" w:lineRule="auto"/>
        <w:rPr>
          <w:lang w:val="en-US"/>
        </w:rPr>
      </w:pPr>
    </w:p>
    <w:p w:rsidR="00636C6C" w:rsidRPr="00ED54FD" w:rsidRDefault="00636C6C" w:rsidP="0050126E">
      <w:pPr>
        <w:spacing w:line="480" w:lineRule="auto"/>
        <w:rPr>
          <w:lang w:val="en-US"/>
        </w:rPr>
      </w:pPr>
      <w:hyperlink r:id="rId11" w:history="1">
        <w:r w:rsidRPr="00ED54FD">
          <w:rPr>
            <w:rStyle w:val="Hyperlink"/>
            <w:bCs/>
            <w:color w:val="auto"/>
            <w:u w:val="none"/>
            <w:lang w:val="en-GB"/>
          </w:rPr>
          <w:t>Bauernfeind</w:t>
        </w:r>
        <w:r>
          <w:rPr>
            <w:rStyle w:val="Hyperlink"/>
            <w:bCs/>
            <w:color w:val="auto"/>
            <w:u w:val="none"/>
            <w:lang w:val="en-GB"/>
          </w:rPr>
          <w:t>,</w:t>
        </w:r>
        <w:r w:rsidRPr="00ED54FD">
          <w:rPr>
            <w:rStyle w:val="Hyperlink"/>
            <w:bCs/>
            <w:color w:val="auto"/>
            <w:u w:val="none"/>
            <w:lang w:val="en-GB"/>
          </w:rPr>
          <w:t xml:space="preserve"> A</w:t>
        </w:r>
      </w:hyperlink>
      <w:r w:rsidRPr="006834FE">
        <w:rPr>
          <w:lang w:val="en-US"/>
        </w:rPr>
        <w:t>.</w:t>
      </w:r>
      <w:r w:rsidRPr="00ED54FD">
        <w:rPr>
          <w:lang w:val="en-GB"/>
        </w:rPr>
        <w:t xml:space="preserve">, </w:t>
      </w:r>
      <w:hyperlink r:id="rId12" w:history="1">
        <w:r w:rsidRPr="00ED54FD">
          <w:rPr>
            <w:rStyle w:val="Hyperlink"/>
            <w:bCs/>
            <w:color w:val="auto"/>
            <w:u w:val="none"/>
            <w:lang w:val="en-GB"/>
          </w:rPr>
          <w:t>Stemplinger</w:t>
        </w:r>
        <w:r>
          <w:rPr>
            <w:rStyle w:val="Hyperlink"/>
            <w:bCs/>
            <w:color w:val="auto"/>
            <w:u w:val="none"/>
            <w:lang w:val="en-GB"/>
          </w:rPr>
          <w:t>,</w:t>
        </w:r>
        <w:r w:rsidRPr="00ED54FD">
          <w:rPr>
            <w:rStyle w:val="Hyperlink"/>
            <w:bCs/>
            <w:color w:val="auto"/>
            <w:u w:val="none"/>
            <w:lang w:val="en-GB"/>
          </w:rPr>
          <w:t xml:space="preserve"> I</w:t>
        </w:r>
      </w:hyperlink>
      <w:r w:rsidRPr="006834FE">
        <w:rPr>
          <w:lang w:val="en-US"/>
        </w:rPr>
        <w:t>.</w:t>
      </w:r>
      <w:r w:rsidRPr="00ED54FD">
        <w:rPr>
          <w:lang w:val="en-GB"/>
        </w:rPr>
        <w:t xml:space="preserve">, </w:t>
      </w:r>
      <w:hyperlink r:id="rId13" w:history="1">
        <w:r w:rsidRPr="00ED54FD">
          <w:rPr>
            <w:rStyle w:val="Hyperlink"/>
            <w:bCs/>
            <w:color w:val="auto"/>
            <w:u w:val="none"/>
            <w:lang w:val="en-GB"/>
          </w:rPr>
          <w:t>Jungwirth</w:t>
        </w:r>
        <w:r>
          <w:rPr>
            <w:rStyle w:val="Hyperlink"/>
            <w:bCs/>
            <w:color w:val="auto"/>
            <w:u w:val="none"/>
            <w:lang w:val="en-GB"/>
          </w:rPr>
          <w:t>,</w:t>
        </w:r>
        <w:r w:rsidRPr="00ED54FD">
          <w:rPr>
            <w:rStyle w:val="Hyperlink"/>
            <w:bCs/>
            <w:color w:val="auto"/>
            <w:u w:val="none"/>
            <w:lang w:val="en-GB"/>
          </w:rPr>
          <w:t xml:space="preserve"> R</w:t>
        </w:r>
      </w:hyperlink>
      <w:r w:rsidRPr="006834FE">
        <w:rPr>
          <w:lang w:val="en-US"/>
        </w:rPr>
        <w:t>.</w:t>
      </w:r>
      <w:r w:rsidRPr="00ED54FD">
        <w:rPr>
          <w:lang w:val="en-GB"/>
        </w:rPr>
        <w:t xml:space="preserve">, </w:t>
      </w:r>
      <w:hyperlink r:id="rId14" w:history="1">
        <w:r w:rsidRPr="00ED54FD">
          <w:rPr>
            <w:rStyle w:val="Hyperlink"/>
            <w:bCs/>
            <w:color w:val="auto"/>
            <w:u w:val="none"/>
            <w:lang w:val="en-GB"/>
          </w:rPr>
          <w:t>Ernst</w:t>
        </w:r>
        <w:r>
          <w:rPr>
            <w:rStyle w:val="Hyperlink"/>
            <w:bCs/>
            <w:color w:val="auto"/>
            <w:u w:val="none"/>
            <w:lang w:val="en-GB"/>
          </w:rPr>
          <w:t>,</w:t>
        </w:r>
        <w:r w:rsidRPr="00ED54FD">
          <w:rPr>
            <w:rStyle w:val="Hyperlink"/>
            <w:bCs/>
            <w:color w:val="auto"/>
            <w:u w:val="none"/>
            <w:lang w:val="en-GB"/>
          </w:rPr>
          <w:t xml:space="preserve"> S</w:t>
        </w:r>
      </w:hyperlink>
      <w:r w:rsidRPr="006834FE">
        <w:rPr>
          <w:lang w:val="en-US"/>
        </w:rPr>
        <w:t>.</w:t>
      </w:r>
      <w:r w:rsidRPr="00ED54FD">
        <w:rPr>
          <w:lang w:val="en-GB"/>
        </w:rPr>
        <w:t xml:space="preserve">, </w:t>
      </w:r>
      <w:hyperlink r:id="rId15" w:history="1">
        <w:r w:rsidRPr="00ED54FD">
          <w:rPr>
            <w:rStyle w:val="Hyperlink"/>
            <w:bCs/>
            <w:color w:val="auto"/>
            <w:u w:val="none"/>
            <w:lang w:val="en-GB"/>
          </w:rPr>
          <w:t>Casellas</w:t>
        </w:r>
        <w:r>
          <w:rPr>
            <w:rStyle w:val="Hyperlink"/>
            <w:bCs/>
            <w:color w:val="auto"/>
            <w:u w:val="none"/>
            <w:lang w:val="en-GB"/>
          </w:rPr>
          <w:t>,</w:t>
        </w:r>
        <w:r w:rsidRPr="00ED54FD">
          <w:rPr>
            <w:rStyle w:val="Hyperlink"/>
            <w:bCs/>
            <w:color w:val="auto"/>
            <w:u w:val="none"/>
            <w:lang w:val="en-GB"/>
          </w:rPr>
          <w:t xml:space="preserve"> J</w:t>
        </w:r>
        <w:r>
          <w:rPr>
            <w:rStyle w:val="Hyperlink"/>
            <w:bCs/>
            <w:color w:val="auto"/>
            <w:u w:val="none"/>
            <w:lang w:val="en-GB"/>
          </w:rPr>
          <w:t xml:space="preserve">. </w:t>
        </w:r>
        <w:r w:rsidRPr="00ED54FD">
          <w:rPr>
            <w:rStyle w:val="Hyperlink"/>
            <w:bCs/>
            <w:color w:val="auto"/>
            <w:u w:val="none"/>
            <w:lang w:val="en-GB"/>
          </w:rPr>
          <w:t>M</w:t>
        </w:r>
      </w:hyperlink>
      <w:r w:rsidRPr="00ED54FD">
        <w:rPr>
          <w:lang w:val="en-GB"/>
        </w:rPr>
        <w:t xml:space="preserve">. 1996. Sequences of </w:t>
      </w:r>
      <w:r w:rsidRPr="00ED54FD">
        <w:t>β</w:t>
      </w:r>
      <w:r w:rsidRPr="00ED54FD">
        <w:rPr>
          <w:lang w:val="en-GB"/>
        </w:rPr>
        <w:t xml:space="preserve">-lactamase genes encoding CTX-M-1 (MEN-1) and CTX-M-2 and relationship of their amino acid sequences with those of other </w:t>
      </w:r>
      <w:r w:rsidRPr="00ED54FD">
        <w:t>β</w:t>
      </w:r>
      <w:r w:rsidRPr="00ED54FD">
        <w:rPr>
          <w:lang w:val="en-GB"/>
        </w:rPr>
        <w:t xml:space="preserve">-lactamases. </w:t>
      </w:r>
      <w:r w:rsidRPr="00ED54FD">
        <w:rPr>
          <w:lang w:val="en-US"/>
        </w:rPr>
        <w:t>Antimicrob Agents Chemother 40</w:t>
      </w:r>
      <w:r>
        <w:rPr>
          <w:lang w:val="en-US"/>
        </w:rPr>
        <w:t xml:space="preserve"> </w:t>
      </w:r>
      <w:r w:rsidRPr="00ED54FD">
        <w:rPr>
          <w:lang w:val="en-US"/>
        </w:rPr>
        <w:t>(2):</w:t>
      </w:r>
      <w:r>
        <w:rPr>
          <w:lang w:val="en-US"/>
        </w:rPr>
        <w:t xml:space="preserve"> </w:t>
      </w:r>
      <w:r w:rsidRPr="00ED54FD">
        <w:rPr>
          <w:lang w:val="en-US"/>
        </w:rPr>
        <w:t>509-513</w:t>
      </w:r>
      <w:r>
        <w:rPr>
          <w:lang w:val="en-US"/>
        </w:rPr>
        <w:t>.</w:t>
      </w:r>
    </w:p>
    <w:p w:rsidR="00636C6C" w:rsidRPr="00ED54FD" w:rsidRDefault="00636C6C" w:rsidP="0050126E">
      <w:pPr>
        <w:spacing w:line="480" w:lineRule="auto"/>
        <w:rPr>
          <w:lang w:val="en-US"/>
        </w:rPr>
      </w:pPr>
    </w:p>
    <w:p w:rsidR="00636C6C" w:rsidRPr="00ED54FD" w:rsidRDefault="00636C6C" w:rsidP="0050126E">
      <w:pPr>
        <w:spacing w:line="480" w:lineRule="auto"/>
        <w:rPr>
          <w:lang w:val="en-GB"/>
        </w:rPr>
      </w:pPr>
      <w:hyperlink r:id="rId16" w:history="1">
        <w:r w:rsidRPr="00ED54FD">
          <w:rPr>
            <w:rStyle w:val="Hyperlink"/>
            <w:bCs/>
            <w:color w:val="auto"/>
            <w:u w:val="none"/>
            <w:lang w:val="en-GB"/>
          </w:rPr>
          <w:t>Bonnet</w:t>
        </w:r>
        <w:r>
          <w:rPr>
            <w:rStyle w:val="Hyperlink"/>
            <w:bCs/>
            <w:color w:val="auto"/>
            <w:u w:val="none"/>
            <w:lang w:val="en-GB"/>
          </w:rPr>
          <w:t>,</w:t>
        </w:r>
        <w:r w:rsidRPr="00ED54FD">
          <w:rPr>
            <w:rStyle w:val="Hyperlink"/>
            <w:bCs/>
            <w:color w:val="auto"/>
            <w:u w:val="none"/>
            <w:lang w:val="en-GB"/>
          </w:rPr>
          <w:t xml:space="preserve"> R</w:t>
        </w:r>
      </w:hyperlink>
      <w:r w:rsidRPr="006834FE">
        <w:rPr>
          <w:lang w:val="en-US"/>
        </w:rPr>
        <w:t>.</w:t>
      </w:r>
      <w:r w:rsidRPr="00ED54FD">
        <w:rPr>
          <w:lang w:val="en-GB"/>
        </w:rPr>
        <w:t xml:space="preserve">, </w:t>
      </w:r>
      <w:hyperlink r:id="rId17" w:history="1">
        <w:r w:rsidRPr="00ED54FD">
          <w:rPr>
            <w:rStyle w:val="Hyperlink"/>
            <w:bCs/>
            <w:color w:val="auto"/>
            <w:u w:val="none"/>
            <w:lang w:val="en-GB"/>
          </w:rPr>
          <w:t>Dutour</w:t>
        </w:r>
        <w:r>
          <w:rPr>
            <w:rStyle w:val="Hyperlink"/>
            <w:bCs/>
            <w:color w:val="auto"/>
            <w:u w:val="none"/>
            <w:lang w:val="en-GB"/>
          </w:rPr>
          <w:t>,</w:t>
        </w:r>
        <w:r w:rsidRPr="00ED54FD">
          <w:rPr>
            <w:rStyle w:val="Hyperlink"/>
            <w:bCs/>
            <w:color w:val="auto"/>
            <w:u w:val="none"/>
            <w:lang w:val="en-GB"/>
          </w:rPr>
          <w:t xml:space="preserve"> C</w:t>
        </w:r>
      </w:hyperlink>
      <w:r w:rsidRPr="006834FE">
        <w:rPr>
          <w:lang w:val="en-US"/>
        </w:rPr>
        <w:t>.</w:t>
      </w:r>
      <w:r w:rsidRPr="00ED54FD">
        <w:rPr>
          <w:lang w:val="en-GB"/>
        </w:rPr>
        <w:t xml:space="preserve">, </w:t>
      </w:r>
      <w:hyperlink r:id="rId18" w:history="1">
        <w:r w:rsidRPr="00ED54FD">
          <w:rPr>
            <w:rStyle w:val="Hyperlink"/>
            <w:bCs/>
            <w:color w:val="auto"/>
            <w:u w:val="none"/>
            <w:lang w:val="en-GB"/>
          </w:rPr>
          <w:t>Sampaio</w:t>
        </w:r>
        <w:r>
          <w:rPr>
            <w:rStyle w:val="Hyperlink"/>
            <w:bCs/>
            <w:color w:val="auto"/>
            <w:u w:val="none"/>
            <w:lang w:val="en-GB"/>
          </w:rPr>
          <w:t>,</w:t>
        </w:r>
        <w:r w:rsidRPr="00ED54FD">
          <w:rPr>
            <w:rStyle w:val="Hyperlink"/>
            <w:bCs/>
            <w:color w:val="auto"/>
            <w:u w:val="none"/>
            <w:lang w:val="en-GB"/>
          </w:rPr>
          <w:t xml:space="preserve"> J</w:t>
        </w:r>
        <w:r>
          <w:rPr>
            <w:rStyle w:val="Hyperlink"/>
            <w:bCs/>
            <w:color w:val="auto"/>
            <w:u w:val="none"/>
            <w:lang w:val="en-GB"/>
          </w:rPr>
          <w:t xml:space="preserve">. </w:t>
        </w:r>
        <w:r w:rsidRPr="00ED54FD">
          <w:rPr>
            <w:rStyle w:val="Hyperlink"/>
            <w:bCs/>
            <w:color w:val="auto"/>
            <w:u w:val="none"/>
            <w:lang w:val="en-GB"/>
          </w:rPr>
          <w:t>L</w:t>
        </w:r>
      </w:hyperlink>
      <w:r w:rsidRPr="006834FE">
        <w:rPr>
          <w:lang w:val="en-US"/>
        </w:rPr>
        <w:t>.</w:t>
      </w:r>
      <w:r w:rsidRPr="00ED54FD">
        <w:rPr>
          <w:lang w:val="en-GB"/>
        </w:rPr>
        <w:t xml:space="preserve">, </w:t>
      </w:r>
      <w:hyperlink r:id="rId19" w:history="1">
        <w:r w:rsidRPr="00ED54FD">
          <w:rPr>
            <w:rStyle w:val="Hyperlink"/>
            <w:bCs/>
            <w:color w:val="auto"/>
            <w:u w:val="none"/>
            <w:lang w:val="en-GB"/>
          </w:rPr>
          <w:t>Chanal</w:t>
        </w:r>
        <w:r>
          <w:rPr>
            <w:rStyle w:val="Hyperlink"/>
            <w:bCs/>
            <w:color w:val="auto"/>
            <w:u w:val="none"/>
            <w:lang w:val="en-GB"/>
          </w:rPr>
          <w:t>,</w:t>
        </w:r>
        <w:r w:rsidRPr="00ED54FD">
          <w:rPr>
            <w:rStyle w:val="Hyperlink"/>
            <w:bCs/>
            <w:color w:val="auto"/>
            <w:u w:val="none"/>
            <w:lang w:val="en-GB"/>
          </w:rPr>
          <w:t xml:space="preserve"> C</w:t>
        </w:r>
      </w:hyperlink>
      <w:r w:rsidRPr="006834FE">
        <w:rPr>
          <w:lang w:val="en-US"/>
        </w:rPr>
        <w:t>.</w:t>
      </w:r>
      <w:r w:rsidRPr="00ED54FD">
        <w:rPr>
          <w:lang w:val="en-GB"/>
        </w:rPr>
        <w:t xml:space="preserve">, </w:t>
      </w:r>
      <w:hyperlink r:id="rId20" w:history="1">
        <w:r w:rsidRPr="00ED54FD">
          <w:rPr>
            <w:rStyle w:val="Hyperlink"/>
            <w:bCs/>
            <w:color w:val="auto"/>
            <w:u w:val="none"/>
            <w:lang w:val="en-GB"/>
          </w:rPr>
          <w:t>Sirot</w:t>
        </w:r>
        <w:r>
          <w:rPr>
            <w:rStyle w:val="Hyperlink"/>
            <w:bCs/>
            <w:color w:val="auto"/>
            <w:u w:val="none"/>
            <w:lang w:val="en-GB"/>
          </w:rPr>
          <w:t>,</w:t>
        </w:r>
        <w:r w:rsidRPr="00ED54FD">
          <w:rPr>
            <w:rStyle w:val="Hyperlink"/>
            <w:bCs/>
            <w:color w:val="auto"/>
            <w:u w:val="none"/>
            <w:lang w:val="en-GB"/>
          </w:rPr>
          <w:t xml:space="preserve"> D</w:t>
        </w:r>
      </w:hyperlink>
      <w:r w:rsidRPr="006834FE">
        <w:rPr>
          <w:lang w:val="en-US"/>
        </w:rPr>
        <w:t>.</w:t>
      </w:r>
      <w:r w:rsidRPr="00ED54FD">
        <w:rPr>
          <w:lang w:val="en-GB"/>
        </w:rPr>
        <w:t xml:space="preserve">, </w:t>
      </w:r>
      <w:hyperlink r:id="rId21" w:history="1">
        <w:r w:rsidRPr="00ED54FD">
          <w:rPr>
            <w:rStyle w:val="Hyperlink"/>
            <w:bCs/>
            <w:color w:val="auto"/>
            <w:u w:val="none"/>
            <w:lang w:val="en-GB"/>
          </w:rPr>
          <w:t>Labia</w:t>
        </w:r>
        <w:r>
          <w:rPr>
            <w:rStyle w:val="Hyperlink"/>
            <w:bCs/>
            <w:color w:val="auto"/>
            <w:u w:val="none"/>
            <w:lang w:val="en-GB"/>
          </w:rPr>
          <w:t>,</w:t>
        </w:r>
        <w:r w:rsidRPr="00ED54FD">
          <w:rPr>
            <w:rStyle w:val="Hyperlink"/>
            <w:bCs/>
            <w:color w:val="auto"/>
            <w:u w:val="none"/>
            <w:lang w:val="en-GB"/>
          </w:rPr>
          <w:t xml:space="preserve"> R</w:t>
        </w:r>
      </w:hyperlink>
      <w:r>
        <w:rPr>
          <w:lang w:val="en-GB"/>
        </w:rPr>
        <w:t>.</w:t>
      </w:r>
      <w:r w:rsidRPr="00ED54FD">
        <w:rPr>
          <w:lang w:val="en-GB"/>
        </w:rPr>
        <w:t xml:space="preserve"> </w:t>
      </w:r>
      <w:r w:rsidRPr="006834FE">
        <w:rPr>
          <w:i/>
          <w:lang w:val="en-US"/>
        </w:rPr>
        <w:t>et al.</w:t>
      </w:r>
      <w:r w:rsidRPr="00ED54FD">
        <w:rPr>
          <w:lang w:val="en-GB"/>
        </w:rPr>
        <w:t xml:space="preserve"> 2001. Novel cefotaximase (CTX-M-16) with increased catalytic efficiency due to substitution Asp-240 -&gt; Gly. Antimicrob Agents Chemother 45</w:t>
      </w:r>
      <w:r>
        <w:rPr>
          <w:lang w:val="en-GB"/>
        </w:rPr>
        <w:t xml:space="preserve"> </w:t>
      </w:r>
      <w:r w:rsidRPr="00ED54FD">
        <w:rPr>
          <w:lang w:val="en-GB"/>
        </w:rPr>
        <w:t>(8):</w:t>
      </w:r>
      <w:r>
        <w:rPr>
          <w:lang w:val="en-GB"/>
        </w:rPr>
        <w:t xml:space="preserve"> </w:t>
      </w:r>
      <w:r w:rsidRPr="00ED54FD">
        <w:rPr>
          <w:lang w:val="en-GB"/>
        </w:rPr>
        <w:t>2269-2275</w:t>
      </w:r>
      <w:r>
        <w:rPr>
          <w:lang w:val="en-GB"/>
        </w:rPr>
        <w:t>.</w:t>
      </w:r>
      <w:r w:rsidRPr="00ED54FD">
        <w:rPr>
          <w:lang w:val="en-GB"/>
        </w:rPr>
        <w:t xml:space="preserve"> </w:t>
      </w:r>
    </w:p>
    <w:p w:rsidR="00636C6C" w:rsidRPr="00ED54FD" w:rsidRDefault="00636C6C" w:rsidP="0050126E">
      <w:pPr>
        <w:spacing w:line="480" w:lineRule="auto"/>
        <w:rPr>
          <w:lang w:val="en-US"/>
        </w:rPr>
      </w:pPr>
    </w:p>
    <w:p w:rsidR="00636C6C" w:rsidRPr="00ED54FD" w:rsidRDefault="00636C6C" w:rsidP="0050126E">
      <w:pPr>
        <w:spacing w:line="480" w:lineRule="auto"/>
        <w:rPr>
          <w:lang w:val="en-US"/>
        </w:rPr>
      </w:pPr>
      <w:hyperlink r:id="rId22" w:history="1">
        <w:r w:rsidRPr="00ED54FD">
          <w:rPr>
            <w:rStyle w:val="Hyperlink"/>
            <w:bCs/>
            <w:color w:val="auto"/>
            <w:u w:val="none"/>
            <w:lang w:val="en-GB"/>
          </w:rPr>
          <w:t>Bonnet</w:t>
        </w:r>
        <w:r>
          <w:rPr>
            <w:rStyle w:val="Hyperlink"/>
            <w:bCs/>
            <w:color w:val="auto"/>
            <w:u w:val="none"/>
            <w:lang w:val="en-GB"/>
          </w:rPr>
          <w:t>,</w:t>
        </w:r>
        <w:r w:rsidRPr="00ED54FD">
          <w:rPr>
            <w:rStyle w:val="Hyperlink"/>
            <w:bCs/>
            <w:color w:val="auto"/>
            <w:u w:val="none"/>
            <w:lang w:val="en-GB"/>
          </w:rPr>
          <w:t xml:space="preserve"> R</w:t>
        </w:r>
      </w:hyperlink>
      <w:r w:rsidRPr="006834FE">
        <w:rPr>
          <w:lang w:val="en-US"/>
        </w:rPr>
        <w:t>.</w:t>
      </w:r>
      <w:r w:rsidRPr="00ED54FD">
        <w:rPr>
          <w:lang w:val="en-GB"/>
        </w:rPr>
        <w:t xml:space="preserve">, </w:t>
      </w:r>
      <w:hyperlink r:id="rId23" w:history="1">
        <w:r w:rsidRPr="00ED54FD">
          <w:rPr>
            <w:rStyle w:val="Hyperlink"/>
            <w:bCs/>
            <w:color w:val="auto"/>
            <w:u w:val="none"/>
            <w:lang w:val="en-GB"/>
          </w:rPr>
          <w:t>Recule</w:t>
        </w:r>
        <w:r>
          <w:rPr>
            <w:rStyle w:val="Hyperlink"/>
            <w:bCs/>
            <w:color w:val="auto"/>
            <w:u w:val="none"/>
            <w:lang w:val="en-GB"/>
          </w:rPr>
          <w:t>,</w:t>
        </w:r>
        <w:r w:rsidRPr="00ED54FD">
          <w:rPr>
            <w:rStyle w:val="Hyperlink"/>
            <w:bCs/>
            <w:color w:val="auto"/>
            <w:u w:val="none"/>
            <w:lang w:val="en-GB"/>
          </w:rPr>
          <w:t xml:space="preserve"> C</w:t>
        </w:r>
      </w:hyperlink>
      <w:r w:rsidRPr="006834FE">
        <w:rPr>
          <w:lang w:val="en-US"/>
        </w:rPr>
        <w:t>.</w:t>
      </w:r>
      <w:r w:rsidRPr="00ED54FD">
        <w:rPr>
          <w:lang w:val="en-GB"/>
        </w:rPr>
        <w:t xml:space="preserve">, </w:t>
      </w:r>
      <w:hyperlink r:id="rId24" w:history="1">
        <w:r w:rsidRPr="00ED54FD">
          <w:rPr>
            <w:rStyle w:val="Hyperlink"/>
            <w:bCs/>
            <w:color w:val="auto"/>
            <w:u w:val="none"/>
            <w:lang w:val="en-GB"/>
          </w:rPr>
          <w:t>Baraduc</w:t>
        </w:r>
        <w:r>
          <w:rPr>
            <w:rStyle w:val="Hyperlink"/>
            <w:bCs/>
            <w:color w:val="auto"/>
            <w:u w:val="none"/>
            <w:lang w:val="en-GB"/>
          </w:rPr>
          <w:t>,</w:t>
        </w:r>
        <w:r w:rsidRPr="00ED54FD">
          <w:rPr>
            <w:rStyle w:val="Hyperlink"/>
            <w:bCs/>
            <w:color w:val="auto"/>
            <w:u w:val="none"/>
            <w:lang w:val="en-GB"/>
          </w:rPr>
          <w:t xml:space="preserve"> R</w:t>
        </w:r>
      </w:hyperlink>
      <w:r w:rsidRPr="006834FE">
        <w:rPr>
          <w:lang w:val="en-US"/>
        </w:rPr>
        <w:t>.</w:t>
      </w:r>
      <w:r w:rsidRPr="00ED54FD">
        <w:rPr>
          <w:lang w:val="en-GB"/>
        </w:rPr>
        <w:t xml:space="preserve">, </w:t>
      </w:r>
      <w:hyperlink r:id="rId25" w:history="1">
        <w:r w:rsidRPr="00ED54FD">
          <w:rPr>
            <w:rStyle w:val="Hyperlink"/>
            <w:bCs/>
            <w:color w:val="auto"/>
            <w:u w:val="none"/>
            <w:lang w:val="en-GB"/>
          </w:rPr>
          <w:t>Chanal</w:t>
        </w:r>
        <w:r>
          <w:rPr>
            <w:rStyle w:val="Hyperlink"/>
            <w:bCs/>
            <w:color w:val="auto"/>
            <w:u w:val="none"/>
            <w:lang w:val="en-GB"/>
          </w:rPr>
          <w:t>,</w:t>
        </w:r>
        <w:r w:rsidRPr="00ED54FD">
          <w:rPr>
            <w:rStyle w:val="Hyperlink"/>
            <w:bCs/>
            <w:color w:val="auto"/>
            <w:u w:val="none"/>
            <w:lang w:val="en-GB"/>
          </w:rPr>
          <w:t xml:space="preserve"> C</w:t>
        </w:r>
      </w:hyperlink>
      <w:r w:rsidRPr="006834FE">
        <w:rPr>
          <w:lang w:val="en-US"/>
        </w:rPr>
        <w:t>.</w:t>
      </w:r>
      <w:r w:rsidRPr="00ED54FD">
        <w:rPr>
          <w:lang w:val="en-GB"/>
        </w:rPr>
        <w:t xml:space="preserve">, </w:t>
      </w:r>
      <w:hyperlink r:id="rId26" w:history="1">
        <w:r w:rsidRPr="00ED54FD">
          <w:rPr>
            <w:rStyle w:val="Hyperlink"/>
            <w:bCs/>
            <w:color w:val="auto"/>
            <w:u w:val="none"/>
            <w:lang w:val="en-GB"/>
          </w:rPr>
          <w:t>Sirot</w:t>
        </w:r>
        <w:r>
          <w:rPr>
            <w:rStyle w:val="Hyperlink"/>
            <w:bCs/>
            <w:color w:val="auto"/>
            <w:u w:val="none"/>
            <w:lang w:val="en-GB"/>
          </w:rPr>
          <w:t>,</w:t>
        </w:r>
        <w:r w:rsidRPr="00ED54FD">
          <w:rPr>
            <w:rStyle w:val="Hyperlink"/>
            <w:bCs/>
            <w:color w:val="auto"/>
            <w:u w:val="none"/>
            <w:lang w:val="en-GB"/>
          </w:rPr>
          <w:t xml:space="preserve"> D</w:t>
        </w:r>
      </w:hyperlink>
      <w:r w:rsidRPr="006834FE">
        <w:rPr>
          <w:lang w:val="en-US"/>
        </w:rPr>
        <w:t>.</w:t>
      </w:r>
      <w:r w:rsidRPr="00ED54FD">
        <w:rPr>
          <w:lang w:val="en-GB"/>
        </w:rPr>
        <w:t xml:space="preserve">, </w:t>
      </w:r>
      <w:hyperlink r:id="rId27" w:history="1">
        <w:r w:rsidRPr="00ED54FD">
          <w:rPr>
            <w:rStyle w:val="Hyperlink"/>
            <w:bCs/>
            <w:color w:val="auto"/>
            <w:u w:val="none"/>
            <w:lang w:val="en-GB"/>
          </w:rPr>
          <w:t>De Champs</w:t>
        </w:r>
        <w:r>
          <w:rPr>
            <w:rStyle w:val="Hyperlink"/>
            <w:bCs/>
            <w:color w:val="auto"/>
            <w:u w:val="none"/>
            <w:lang w:val="en-GB"/>
          </w:rPr>
          <w:t>,</w:t>
        </w:r>
        <w:r w:rsidRPr="00ED54FD">
          <w:rPr>
            <w:rStyle w:val="Hyperlink"/>
            <w:bCs/>
            <w:color w:val="auto"/>
            <w:u w:val="none"/>
            <w:lang w:val="en-GB"/>
          </w:rPr>
          <w:t xml:space="preserve"> C</w:t>
        </w:r>
      </w:hyperlink>
      <w:r w:rsidRPr="00ED54FD">
        <w:rPr>
          <w:lang w:val="en-GB"/>
        </w:rPr>
        <w:t xml:space="preserve">, </w:t>
      </w:r>
      <w:hyperlink r:id="rId28" w:history="1">
        <w:r w:rsidRPr="00ED54FD">
          <w:rPr>
            <w:rStyle w:val="Hyperlink"/>
            <w:bCs/>
            <w:color w:val="auto"/>
            <w:u w:val="none"/>
            <w:lang w:val="en-GB"/>
          </w:rPr>
          <w:t>Sirot</w:t>
        </w:r>
        <w:r>
          <w:rPr>
            <w:rStyle w:val="Hyperlink"/>
            <w:bCs/>
            <w:color w:val="auto"/>
            <w:u w:val="none"/>
            <w:lang w:val="en-GB"/>
          </w:rPr>
          <w:t>,</w:t>
        </w:r>
        <w:r w:rsidRPr="00ED54FD">
          <w:rPr>
            <w:rStyle w:val="Hyperlink"/>
            <w:bCs/>
            <w:color w:val="auto"/>
            <w:u w:val="none"/>
            <w:lang w:val="en-GB"/>
          </w:rPr>
          <w:t xml:space="preserve"> J</w:t>
        </w:r>
      </w:hyperlink>
      <w:r w:rsidRPr="00ED54FD">
        <w:rPr>
          <w:lang w:val="en-GB"/>
        </w:rPr>
        <w:t xml:space="preserve">. 2003. Effect of D240G substitution in a novel ESBL CTX-M-27. </w:t>
      </w:r>
      <w:r w:rsidRPr="00ED54FD">
        <w:rPr>
          <w:lang w:val="en-US"/>
        </w:rPr>
        <w:t>Antimicrob Chemother 52</w:t>
      </w:r>
      <w:r>
        <w:rPr>
          <w:lang w:val="en-US"/>
        </w:rPr>
        <w:t xml:space="preserve"> </w:t>
      </w:r>
      <w:r w:rsidRPr="00ED54FD">
        <w:rPr>
          <w:lang w:val="en-US"/>
        </w:rPr>
        <w:t>(1):</w:t>
      </w:r>
      <w:r>
        <w:rPr>
          <w:lang w:val="en-US"/>
        </w:rPr>
        <w:t xml:space="preserve"> </w:t>
      </w:r>
      <w:r w:rsidRPr="00ED54FD">
        <w:rPr>
          <w:lang w:val="en-US"/>
        </w:rPr>
        <w:t>29-35</w:t>
      </w:r>
      <w:r>
        <w:rPr>
          <w:lang w:val="en-US"/>
        </w:rPr>
        <w:t>.</w:t>
      </w:r>
    </w:p>
    <w:p w:rsidR="00636C6C" w:rsidRPr="00ED54FD" w:rsidRDefault="00636C6C" w:rsidP="0050126E">
      <w:pPr>
        <w:spacing w:line="480" w:lineRule="auto"/>
        <w:rPr>
          <w:lang w:val="en-GB"/>
        </w:rPr>
      </w:pPr>
    </w:p>
    <w:p w:rsidR="00636C6C" w:rsidRPr="00ED54FD" w:rsidRDefault="00636C6C" w:rsidP="0050126E">
      <w:pPr>
        <w:spacing w:line="480" w:lineRule="auto"/>
        <w:rPr>
          <w:lang w:val="en-US"/>
        </w:rPr>
      </w:pPr>
      <w:r w:rsidRPr="00ED54FD">
        <w:rPr>
          <w:lang w:val="en-GB"/>
        </w:rPr>
        <w:t>Bonnet</w:t>
      </w:r>
      <w:r>
        <w:rPr>
          <w:lang w:val="en-GB"/>
        </w:rPr>
        <w:t>,</w:t>
      </w:r>
      <w:r w:rsidRPr="00ED54FD">
        <w:rPr>
          <w:lang w:val="en-GB"/>
        </w:rPr>
        <w:t xml:space="preserve"> R. 2004. Growing group of Extended-Spectrum {beta}-Lactamases: the CTX-M enzymes. </w:t>
      </w:r>
      <w:r w:rsidRPr="00ED54FD">
        <w:rPr>
          <w:lang w:val="en-US"/>
        </w:rPr>
        <w:t>Antimicrob Agents Chemother 48</w:t>
      </w:r>
      <w:r>
        <w:rPr>
          <w:lang w:val="en-US"/>
        </w:rPr>
        <w:t xml:space="preserve"> </w:t>
      </w:r>
      <w:r w:rsidRPr="00ED54FD">
        <w:rPr>
          <w:lang w:val="en-US"/>
        </w:rPr>
        <w:t>(1):</w:t>
      </w:r>
      <w:r>
        <w:rPr>
          <w:lang w:val="en-US"/>
        </w:rPr>
        <w:t xml:space="preserve"> </w:t>
      </w:r>
      <w:r w:rsidRPr="00ED54FD">
        <w:rPr>
          <w:lang w:val="en-US"/>
        </w:rPr>
        <w:t>1-14</w:t>
      </w:r>
      <w:r>
        <w:rPr>
          <w:lang w:val="en-US"/>
        </w:rPr>
        <w:t>.</w:t>
      </w:r>
    </w:p>
    <w:p w:rsidR="00636C6C" w:rsidRPr="00ED54FD" w:rsidRDefault="00636C6C" w:rsidP="0050126E">
      <w:pPr>
        <w:spacing w:line="480" w:lineRule="auto"/>
        <w:rPr>
          <w:rStyle w:val="Strong"/>
          <w:b w:val="0"/>
          <w:lang w:val="en-GB"/>
        </w:rPr>
      </w:pPr>
    </w:p>
    <w:p w:rsidR="00636C6C" w:rsidRPr="00ED54FD" w:rsidRDefault="00636C6C" w:rsidP="0050126E">
      <w:pPr>
        <w:spacing w:line="480" w:lineRule="auto"/>
        <w:rPr>
          <w:rStyle w:val="Strong"/>
          <w:b w:val="0"/>
          <w:lang w:val="en-US"/>
        </w:rPr>
      </w:pPr>
      <w:r w:rsidRPr="00ED54FD">
        <w:rPr>
          <w:rStyle w:val="Strong"/>
          <w:b w:val="0"/>
          <w:lang w:val="en-GB"/>
        </w:rPr>
        <w:t>Bradford</w:t>
      </w:r>
      <w:r>
        <w:rPr>
          <w:rStyle w:val="Strong"/>
          <w:b w:val="0"/>
          <w:lang w:val="en-GB"/>
        </w:rPr>
        <w:t>,</w:t>
      </w:r>
      <w:r w:rsidRPr="00ED54FD">
        <w:rPr>
          <w:rStyle w:val="Strong"/>
          <w:b w:val="0"/>
          <w:lang w:val="en-GB"/>
        </w:rPr>
        <w:t xml:space="preserve"> P</w:t>
      </w:r>
      <w:r>
        <w:rPr>
          <w:rStyle w:val="Strong"/>
          <w:b w:val="0"/>
          <w:lang w:val="en-GB"/>
        </w:rPr>
        <w:t xml:space="preserve">. </w:t>
      </w:r>
      <w:r w:rsidRPr="00ED54FD">
        <w:rPr>
          <w:rStyle w:val="Strong"/>
          <w:b w:val="0"/>
          <w:lang w:val="en-GB"/>
        </w:rPr>
        <w:t>A. 2001. Extended-Spectrum beta-Lactamases in the 21st century: characterization, epidemiolo</w:t>
      </w:r>
      <w:r w:rsidRPr="00ED54FD">
        <w:rPr>
          <w:rStyle w:val="Strong"/>
          <w:b w:val="0"/>
          <w:lang w:val="en-US"/>
        </w:rPr>
        <w:t>g</w:t>
      </w:r>
      <w:r w:rsidRPr="00ED54FD">
        <w:rPr>
          <w:rStyle w:val="Strong"/>
          <w:b w:val="0"/>
          <w:lang w:val="en-GB"/>
        </w:rPr>
        <w:t xml:space="preserve">y, and detection of this important resistance threat. </w:t>
      </w:r>
      <w:r w:rsidRPr="00ED54FD">
        <w:rPr>
          <w:rStyle w:val="Strong"/>
          <w:b w:val="0"/>
          <w:iCs/>
          <w:lang w:val="en-US"/>
        </w:rPr>
        <w:t>Clin Microbiol Rev</w:t>
      </w:r>
      <w:r w:rsidRPr="00ED54FD">
        <w:rPr>
          <w:rStyle w:val="Strong"/>
          <w:b w:val="0"/>
          <w:lang w:val="en-US"/>
        </w:rPr>
        <w:t xml:space="preserve"> 14:</w:t>
      </w:r>
      <w:r>
        <w:rPr>
          <w:rStyle w:val="Strong"/>
          <w:b w:val="0"/>
          <w:lang w:val="en-US"/>
        </w:rPr>
        <w:t xml:space="preserve"> </w:t>
      </w:r>
      <w:r w:rsidRPr="00ED54FD">
        <w:rPr>
          <w:rStyle w:val="Strong"/>
          <w:b w:val="0"/>
          <w:lang w:val="en-US"/>
        </w:rPr>
        <w:t>933-951</w:t>
      </w:r>
      <w:r>
        <w:rPr>
          <w:rStyle w:val="Strong"/>
          <w:b w:val="0"/>
          <w:lang w:val="en-US"/>
        </w:rPr>
        <w:t>.</w:t>
      </w:r>
    </w:p>
    <w:p w:rsidR="00636C6C" w:rsidRPr="00ED54FD" w:rsidRDefault="00636C6C" w:rsidP="0050126E">
      <w:pPr>
        <w:spacing w:line="480" w:lineRule="auto"/>
        <w:rPr>
          <w:lang w:val="en-GB"/>
        </w:rPr>
      </w:pPr>
    </w:p>
    <w:p w:rsidR="00636C6C" w:rsidRPr="006834FE" w:rsidRDefault="00636C6C" w:rsidP="0050126E">
      <w:pPr>
        <w:spacing w:line="480" w:lineRule="auto"/>
        <w:rPr>
          <w:lang w:val="es-CO"/>
        </w:rPr>
      </w:pPr>
      <w:r w:rsidRPr="006834FE">
        <w:rPr>
          <w:lang w:val="en-US"/>
        </w:rPr>
        <w:t xml:space="preserve">Canton, R., Coque, T. M. 2006. </w:t>
      </w:r>
      <w:r w:rsidRPr="00ED54FD">
        <w:rPr>
          <w:lang w:val="en-GB"/>
        </w:rPr>
        <w:t xml:space="preserve">The CTX-M </w:t>
      </w:r>
      <w:r w:rsidRPr="00ED54FD">
        <w:t>β</w:t>
      </w:r>
      <w:r w:rsidRPr="00ED54FD">
        <w:rPr>
          <w:lang w:val="en-GB"/>
        </w:rPr>
        <w:t>-lactamase pandemic. Cur Opin Microbiol</w:t>
      </w:r>
      <w:r w:rsidRPr="00ED54FD">
        <w:rPr>
          <w:rStyle w:val="ti"/>
          <w:lang w:val="en-GB"/>
        </w:rPr>
        <w:t xml:space="preserve"> Oct;</w:t>
      </w:r>
      <w:r>
        <w:rPr>
          <w:rStyle w:val="ti"/>
          <w:lang w:val="en-GB"/>
        </w:rPr>
        <w:t xml:space="preserve"> </w:t>
      </w:r>
      <w:r w:rsidRPr="00ED54FD">
        <w:rPr>
          <w:rStyle w:val="ti"/>
          <w:lang w:val="en-GB"/>
        </w:rPr>
        <w:t>9</w:t>
      </w:r>
      <w:r>
        <w:rPr>
          <w:rStyle w:val="ti"/>
          <w:lang w:val="en-GB"/>
        </w:rPr>
        <w:t xml:space="preserve"> </w:t>
      </w:r>
      <w:r w:rsidRPr="00ED54FD">
        <w:rPr>
          <w:rStyle w:val="ti"/>
          <w:lang w:val="en-GB"/>
        </w:rPr>
        <w:t>(5):</w:t>
      </w:r>
      <w:r>
        <w:rPr>
          <w:rStyle w:val="ti"/>
          <w:lang w:val="en-GB"/>
        </w:rPr>
        <w:t xml:space="preserve"> </w:t>
      </w:r>
      <w:r w:rsidRPr="00ED54FD">
        <w:rPr>
          <w:rStyle w:val="ti"/>
          <w:lang w:val="en-GB"/>
        </w:rPr>
        <w:t xml:space="preserve">466-75. </w:t>
      </w:r>
      <w:r w:rsidRPr="006834FE">
        <w:rPr>
          <w:rStyle w:val="ti"/>
          <w:lang w:val="en-US"/>
        </w:rPr>
        <w:t>Epub 2006 Aug 30</w:t>
      </w:r>
      <w:r w:rsidRPr="00EE622F">
        <w:rPr>
          <w:lang w:val="en-US"/>
        </w:rPr>
        <w:t>.</w:t>
      </w:r>
      <w:r w:rsidRPr="006834FE">
        <w:rPr>
          <w:lang w:val="en-US"/>
        </w:rPr>
        <w:t xml:space="preserve"> </w:t>
      </w:r>
      <w:r w:rsidRPr="006834FE">
        <w:rPr>
          <w:lang w:val="es-CO"/>
        </w:rPr>
        <w:t xml:space="preserve">Disponible en: </w:t>
      </w:r>
      <w:hyperlink r:id="rId29" w:history="1">
        <w:r w:rsidRPr="006834FE">
          <w:rPr>
            <w:rStyle w:val="Hyperlink"/>
            <w:color w:val="auto"/>
            <w:u w:val="none"/>
            <w:lang w:val="es-CO"/>
          </w:rPr>
          <w:t>http://www.sciencedirect.com/science/article/B6VS2-4KSD8CX-5/2/ad4198527fe4d2363030b83e21f3b5cf</w:t>
        </w:r>
      </w:hyperlink>
    </w:p>
    <w:p w:rsidR="00636C6C" w:rsidRPr="006834FE" w:rsidRDefault="00636C6C" w:rsidP="0050126E">
      <w:pPr>
        <w:spacing w:line="480" w:lineRule="auto"/>
        <w:rPr>
          <w:lang w:val="es-CO"/>
        </w:rPr>
      </w:pPr>
    </w:p>
    <w:p w:rsidR="00636C6C" w:rsidRPr="00ED54FD" w:rsidRDefault="00636C6C" w:rsidP="0050126E">
      <w:pPr>
        <w:spacing w:line="480" w:lineRule="auto"/>
        <w:rPr>
          <w:lang w:val="en-GB"/>
        </w:rPr>
      </w:pPr>
      <w:hyperlink r:id="rId30" w:history="1">
        <w:r w:rsidRPr="00ED54FD">
          <w:rPr>
            <w:rStyle w:val="Hyperlink"/>
            <w:bCs/>
            <w:color w:val="auto"/>
            <w:u w:val="none"/>
            <w:lang w:val="en-GB"/>
          </w:rPr>
          <w:t>Chanawong</w:t>
        </w:r>
        <w:r>
          <w:rPr>
            <w:rStyle w:val="Hyperlink"/>
            <w:bCs/>
            <w:color w:val="auto"/>
            <w:u w:val="none"/>
            <w:lang w:val="en-GB"/>
          </w:rPr>
          <w:t>,</w:t>
        </w:r>
        <w:r w:rsidRPr="00ED54FD">
          <w:rPr>
            <w:rStyle w:val="Hyperlink"/>
            <w:bCs/>
            <w:color w:val="auto"/>
            <w:u w:val="none"/>
            <w:lang w:val="en-GB"/>
          </w:rPr>
          <w:t xml:space="preserve"> A</w:t>
        </w:r>
      </w:hyperlink>
      <w:r w:rsidRPr="006834FE">
        <w:rPr>
          <w:lang w:val="en-US"/>
        </w:rPr>
        <w:t>.</w:t>
      </w:r>
      <w:r w:rsidRPr="00ED54FD">
        <w:rPr>
          <w:lang w:val="en-GB"/>
        </w:rPr>
        <w:t xml:space="preserve">, </w:t>
      </w:r>
      <w:hyperlink r:id="rId31" w:history="1">
        <w:r w:rsidRPr="00ED54FD">
          <w:rPr>
            <w:rStyle w:val="Hyperlink"/>
            <w:bCs/>
            <w:color w:val="auto"/>
            <w:u w:val="none"/>
            <w:lang w:val="en-GB"/>
          </w:rPr>
          <w:t>M'Zali</w:t>
        </w:r>
        <w:r>
          <w:rPr>
            <w:rStyle w:val="Hyperlink"/>
            <w:bCs/>
            <w:color w:val="auto"/>
            <w:u w:val="none"/>
            <w:lang w:val="en-GB"/>
          </w:rPr>
          <w:t>,</w:t>
        </w:r>
        <w:r w:rsidRPr="00ED54FD">
          <w:rPr>
            <w:rStyle w:val="Hyperlink"/>
            <w:bCs/>
            <w:color w:val="auto"/>
            <w:u w:val="none"/>
            <w:lang w:val="en-GB"/>
          </w:rPr>
          <w:t xml:space="preserve"> F</w:t>
        </w:r>
        <w:r>
          <w:rPr>
            <w:rStyle w:val="Hyperlink"/>
            <w:bCs/>
            <w:color w:val="auto"/>
            <w:u w:val="none"/>
            <w:lang w:val="en-GB"/>
          </w:rPr>
          <w:t xml:space="preserve">. </w:t>
        </w:r>
        <w:r w:rsidRPr="00ED54FD">
          <w:rPr>
            <w:rStyle w:val="Hyperlink"/>
            <w:bCs/>
            <w:color w:val="auto"/>
            <w:u w:val="none"/>
            <w:lang w:val="en-GB"/>
          </w:rPr>
          <w:t>H</w:t>
        </w:r>
      </w:hyperlink>
      <w:r w:rsidRPr="006834FE">
        <w:rPr>
          <w:lang w:val="en-US"/>
        </w:rPr>
        <w:t>.</w:t>
      </w:r>
      <w:r w:rsidRPr="00ED54FD">
        <w:rPr>
          <w:lang w:val="en-GB"/>
        </w:rPr>
        <w:t xml:space="preserve">, </w:t>
      </w:r>
      <w:hyperlink r:id="rId32" w:history="1">
        <w:r w:rsidRPr="00ED54FD">
          <w:rPr>
            <w:rStyle w:val="Hyperlink"/>
            <w:bCs/>
            <w:color w:val="auto"/>
            <w:u w:val="none"/>
            <w:lang w:val="en-GB"/>
          </w:rPr>
          <w:t>Heritage</w:t>
        </w:r>
        <w:r>
          <w:rPr>
            <w:rStyle w:val="Hyperlink"/>
            <w:bCs/>
            <w:color w:val="auto"/>
            <w:u w:val="none"/>
            <w:lang w:val="en-GB"/>
          </w:rPr>
          <w:t>,</w:t>
        </w:r>
        <w:r w:rsidRPr="00ED54FD">
          <w:rPr>
            <w:rStyle w:val="Hyperlink"/>
            <w:bCs/>
            <w:color w:val="auto"/>
            <w:u w:val="none"/>
            <w:lang w:val="en-GB"/>
          </w:rPr>
          <w:t xml:space="preserve"> J</w:t>
        </w:r>
      </w:hyperlink>
      <w:r w:rsidRPr="006834FE">
        <w:rPr>
          <w:lang w:val="en-US"/>
        </w:rPr>
        <w:t>.</w:t>
      </w:r>
      <w:r w:rsidRPr="00ED54FD">
        <w:rPr>
          <w:lang w:val="en-GB"/>
        </w:rPr>
        <w:t xml:space="preserve">, </w:t>
      </w:r>
      <w:hyperlink r:id="rId33" w:history="1">
        <w:r w:rsidRPr="00ED54FD">
          <w:rPr>
            <w:rStyle w:val="Hyperlink"/>
            <w:bCs/>
            <w:color w:val="auto"/>
            <w:u w:val="none"/>
            <w:lang w:val="en-GB"/>
          </w:rPr>
          <w:t>Lulitanond</w:t>
        </w:r>
        <w:r>
          <w:rPr>
            <w:rStyle w:val="Hyperlink"/>
            <w:bCs/>
            <w:color w:val="auto"/>
            <w:u w:val="none"/>
            <w:lang w:val="en-GB"/>
          </w:rPr>
          <w:t>,</w:t>
        </w:r>
        <w:r w:rsidRPr="00ED54FD">
          <w:rPr>
            <w:rStyle w:val="Hyperlink"/>
            <w:bCs/>
            <w:color w:val="auto"/>
            <w:u w:val="none"/>
            <w:lang w:val="en-GB"/>
          </w:rPr>
          <w:t xml:space="preserve"> A</w:t>
        </w:r>
      </w:hyperlink>
      <w:r w:rsidRPr="006834FE">
        <w:rPr>
          <w:lang w:val="en-US"/>
        </w:rPr>
        <w:t>.</w:t>
      </w:r>
      <w:r w:rsidRPr="00ED54FD">
        <w:rPr>
          <w:lang w:val="en-GB"/>
        </w:rPr>
        <w:t xml:space="preserve">, </w:t>
      </w:r>
      <w:hyperlink r:id="rId34" w:history="1">
        <w:r w:rsidRPr="00ED54FD">
          <w:rPr>
            <w:rStyle w:val="Hyperlink"/>
            <w:bCs/>
            <w:color w:val="auto"/>
            <w:u w:val="none"/>
            <w:lang w:val="en-GB"/>
          </w:rPr>
          <w:t>Hawkey</w:t>
        </w:r>
        <w:r>
          <w:rPr>
            <w:rStyle w:val="Hyperlink"/>
            <w:bCs/>
            <w:color w:val="auto"/>
            <w:u w:val="none"/>
            <w:lang w:val="en-GB"/>
          </w:rPr>
          <w:t>,</w:t>
        </w:r>
        <w:r w:rsidRPr="00ED54FD">
          <w:rPr>
            <w:rStyle w:val="Hyperlink"/>
            <w:bCs/>
            <w:color w:val="auto"/>
            <w:u w:val="none"/>
            <w:lang w:val="en-GB"/>
          </w:rPr>
          <w:t xml:space="preserve"> P</w:t>
        </w:r>
        <w:r>
          <w:rPr>
            <w:rStyle w:val="Hyperlink"/>
            <w:bCs/>
            <w:color w:val="auto"/>
            <w:u w:val="none"/>
            <w:lang w:val="en-GB"/>
          </w:rPr>
          <w:t xml:space="preserve">. </w:t>
        </w:r>
        <w:r w:rsidRPr="00ED54FD">
          <w:rPr>
            <w:rStyle w:val="Hyperlink"/>
            <w:bCs/>
            <w:color w:val="auto"/>
            <w:u w:val="none"/>
            <w:lang w:val="en-GB"/>
          </w:rPr>
          <w:t>M</w:t>
        </w:r>
      </w:hyperlink>
      <w:r w:rsidRPr="00ED54FD">
        <w:rPr>
          <w:lang w:val="en-GB"/>
        </w:rPr>
        <w:t>. 2000. Characterisation of extended-spectrum beta-lactamases of the SHV family using a combination of PCR-single strand conformational polymorphism (PCR-SSCP) and PCR-restriction fragment length polymorphism (PCR-RFLP). FEMS Microbiol Lett 184</w:t>
      </w:r>
      <w:r>
        <w:rPr>
          <w:lang w:val="en-GB"/>
        </w:rPr>
        <w:t xml:space="preserve"> </w:t>
      </w:r>
      <w:r w:rsidRPr="00ED54FD">
        <w:rPr>
          <w:lang w:val="en-GB"/>
        </w:rPr>
        <w:t>(1):</w:t>
      </w:r>
      <w:r>
        <w:rPr>
          <w:lang w:val="en-GB"/>
        </w:rPr>
        <w:t xml:space="preserve"> </w:t>
      </w:r>
      <w:r w:rsidRPr="00ED54FD">
        <w:rPr>
          <w:lang w:val="en-GB"/>
        </w:rPr>
        <w:t>85-89</w:t>
      </w:r>
      <w:r>
        <w:rPr>
          <w:lang w:val="en-GB"/>
        </w:rPr>
        <w:t>.</w:t>
      </w:r>
    </w:p>
    <w:p w:rsidR="00636C6C" w:rsidRPr="00ED54FD" w:rsidRDefault="00636C6C" w:rsidP="0050126E">
      <w:pPr>
        <w:spacing w:line="480" w:lineRule="auto"/>
        <w:rPr>
          <w:lang w:val="en-GB"/>
        </w:rPr>
      </w:pPr>
    </w:p>
    <w:p w:rsidR="00636C6C" w:rsidRPr="005E6ABB" w:rsidRDefault="00636C6C" w:rsidP="0050126E">
      <w:pPr>
        <w:spacing w:line="480" w:lineRule="auto"/>
        <w:rPr>
          <w:lang w:val="es-CO"/>
        </w:rPr>
      </w:pPr>
      <w:r w:rsidRPr="00ED54FD">
        <w:rPr>
          <w:lang w:val="en-GB"/>
        </w:rPr>
        <w:t>Gazouli</w:t>
      </w:r>
      <w:r>
        <w:rPr>
          <w:lang w:val="en-GB"/>
        </w:rPr>
        <w:t>,</w:t>
      </w:r>
      <w:r w:rsidRPr="00ED54FD">
        <w:rPr>
          <w:lang w:val="en-GB"/>
        </w:rPr>
        <w:t xml:space="preserve"> M</w:t>
      </w:r>
      <w:r>
        <w:rPr>
          <w:lang w:val="en-GB"/>
        </w:rPr>
        <w:t>.</w:t>
      </w:r>
      <w:r w:rsidRPr="00ED54FD">
        <w:rPr>
          <w:lang w:val="en-GB"/>
        </w:rPr>
        <w:t>, Tzelepi</w:t>
      </w:r>
      <w:r>
        <w:rPr>
          <w:lang w:val="en-GB"/>
        </w:rPr>
        <w:t>,</w:t>
      </w:r>
      <w:r w:rsidRPr="00ED54FD">
        <w:rPr>
          <w:lang w:val="en-GB"/>
        </w:rPr>
        <w:t xml:space="preserve"> E</w:t>
      </w:r>
      <w:r>
        <w:rPr>
          <w:lang w:val="en-GB"/>
        </w:rPr>
        <w:t>.</w:t>
      </w:r>
      <w:r w:rsidRPr="00ED54FD">
        <w:rPr>
          <w:lang w:val="en-GB"/>
        </w:rPr>
        <w:t>, Sidorenko</w:t>
      </w:r>
      <w:r>
        <w:rPr>
          <w:lang w:val="en-GB"/>
        </w:rPr>
        <w:t>,</w:t>
      </w:r>
      <w:r w:rsidRPr="00ED54FD">
        <w:rPr>
          <w:lang w:val="en-GB"/>
        </w:rPr>
        <w:t xml:space="preserve"> SV</w:t>
      </w:r>
      <w:r>
        <w:rPr>
          <w:lang w:val="en-GB"/>
        </w:rPr>
        <w:t>.</w:t>
      </w:r>
      <w:r w:rsidRPr="00ED54FD">
        <w:rPr>
          <w:lang w:val="en-GB"/>
        </w:rPr>
        <w:t>, Tzouvelekis</w:t>
      </w:r>
      <w:r>
        <w:rPr>
          <w:lang w:val="en-GB"/>
        </w:rPr>
        <w:t>,</w:t>
      </w:r>
      <w:r w:rsidRPr="00ED54FD">
        <w:rPr>
          <w:lang w:val="en-GB"/>
        </w:rPr>
        <w:t xml:space="preserve"> L</w:t>
      </w:r>
      <w:r>
        <w:rPr>
          <w:lang w:val="en-GB"/>
        </w:rPr>
        <w:t xml:space="preserve">. </w:t>
      </w:r>
      <w:r w:rsidRPr="00ED54FD">
        <w:rPr>
          <w:lang w:val="en-GB"/>
        </w:rPr>
        <w:t xml:space="preserve">S. 1998. </w:t>
      </w:r>
      <w:hyperlink r:id="rId35" w:history="1">
        <w:r w:rsidRPr="00ED54FD">
          <w:rPr>
            <w:lang w:val="en-GB"/>
          </w:rPr>
          <w:t>Sequence of the gene encoding a plasmid-mediated cefotaxime-hydrolyzing class A beta-lactamase (CTX-M-4): involvement of serine 237 in cephalosporin hydrolysis.</w:t>
        </w:r>
      </w:hyperlink>
      <w:r w:rsidRPr="00ED54FD">
        <w:rPr>
          <w:lang w:val="en-US"/>
        </w:rPr>
        <w:t xml:space="preserve"> </w:t>
      </w:r>
      <w:r w:rsidRPr="005E6ABB">
        <w:rPr>
          <w:lang w:val="es-CO"/>
        </w:rPr>
        <w:t>Antimicrob Agents Chemother 42</w:t>
      </w:r>
      <w:r>
        <w:rPr>
          <w:lang w:val="es-CO"/>
        </w:rPr>
        <w:t xml:space="preserve"> </w:t>
      </w:r>
      <w:r w:rsidRPr="005E6ABB">
        <w:rPr>
          <w:lang w:val="es-CO"/>
        </w:rPr>
        <w:t>(5):</w:t>
      </w:r>
      <w:r>
        <w:rPr>
          <w:lang w:val="es-CO"/>
        </w:rPr>
        <w:t xml:space="preserve"> </w:t>
      </w:r>
      <w:r w:rsidRPr="005E6ABB">
        <w:rPr>
          <w:lang w:val="es-CO"/>
        </w:rPr>
        <w:t>1259-1262</w:t>
      </w:r>
      <w:r>
        <w:rPr>
          <w:lang w:val="es-CO"/>
        </w:rPr>
        <w:t>.</w:t>
      </w:r>
    </w:p>
    <w:p w:rsidR="00636C6C" w:rsidRPr="005E6ABB" w:rsidRDefault="00636C6C" w:rsidP="0050126E">
      <w:pPr>
        <w:spacing w:line="480" w:lineRule="auto"/>
        <w:rPr>
          <w:lang w:val="es-CO"/>
        </w:rPr>
      </w:pPr>
    </w:p>
    <w:p w:rsidR="00636C6C" w:rsidRPr="008B2F35" w:rsidRDefault="00636C6C" w:rsidP="0050126E">
      <w:pPr>
        <w:pStyle w:val="Pa9"/>
        <w:spacing w:line="480" w:lineRule="auto"/>
        <w:ind w:right="680"/>
        <w:rPr>
          <w:lang w:val="en-US"/>
        </w:rPr>
      </w:pPr>
      <w:r w:rsidRPr="00ED54FD">
        <w:t>Grupo de Bioinformática, Universidad Nacional de Colombia.</w:t>
      </w:r>
      <w:r>
        <w:t xml:space="preserve"> s. f.</w:t>
      </w:r>
      <w:r w:rsidRPr="00ED54FD">
        <w:t xml:space="preserve"> Modelo para la</w:t>
      </w:r>
      <w:r>
        <w:t xml:space="preserve"> </w:t>
      </w:r>
      <w:r w:rsidRPr="00ED54FD">
        <w:t xml:space="preserve">identificación de genes para betalactamasas de espectro extendido (BLEE), [en línea]. Universidad Nacional de Colombia. </w:t>
      </w:r>
      <w:r>
        <w:t>Disponible en</w:t>
      </w:r>
      <w:r w:rsidRPr="00ED54FD">
        <w:t>:</w:t>
      </w:r>
      <w:r>
        <w:t xml:space="preserve"> </w:t>
      </w:r>
      <w:r w:rsidRPr="00ED54FD">
        <w:t>&lt;</w:t>
      </w:r>
      <w:hyperlink r:id="rId36" w:history="1">
        <w:r w:rsidRPr="006834FE">
          <w:rPr>
            <w:rStyle w:val="Hyperlink"/>
            <w:color w:val="auto"/>
            <w:u w:val="none"/>
          </w:rPr>
          <w:t xml:space="preserve">http://bioinf.ibun.unal.edu.co/servicios/BLEE&gt;. </w:t>
        </w:r>
        <w:r w:rsidRPr="006834FE">
          <w:rPr>
            <w:rStyle w:val="Hyperlink"/>
            <w:color w:val="auto"/>
            <w:u w:val="none"/>
            <w:lang w:val="en-US"/>
          </w:rPr>
          <w:t>[Consulta: marzo 2007]</w:t>
        </w:r>
      </w:hyperlink>
      <w:r w:rsidRPr="006834FE">
        <w:rPr>
          <w:lang w:val="en-US"/>
        </w:rPr>
        <w:t>)</w:t>
      </w:r>
      <w:r w:rsidRPr="006834FE">
        <w:rPr>
          <w:rFonts w:cs="CPJKXK+Avenir-Roman"/>
          <w:sz w:val="20"/>
          <w:szCs w:val="20"/>
          <w:lang w:val="en-US"/>
        </w:rPr>
        <w:t>.</w:t>
      </w:r>
    </w:p>
    <w:p w:rsidR="00636C6C" w:rsidRPr="00ED54FD" w:rsidRDefault="00636C6C" w:rsidP="0050126E">
      <w:pPr>
        <w:spacing w:line="480" w:lineRule="auto"/>
        <w:ind w:left="335"/>
        <w:rPr>
          <w:lang w:val="en-US"/>
        </w:rPr>
      </w:pPr>
    </w:p>
    <w:p w:rsidR="00636C6C" w:rsidRPr="00ED54FD" w:rsidRDefault="00636C6C" w:rsidP="0050126E">
      <w:pPr>
        <w:spacing w:line="480" w:lineRule="auto"/>
        <w:rPr>
          <w:lang w:val="en-US"/>
        </w:rPr>
      </w:pPr>
      <w:r w:rsidRPr="00ED54FD">
        <w:rPr>
          <w:lang w:val="en-GB"/>
        </w:rPr>
        <w:t>Hall</w:t>
      </w:r>
      <w:r>
        <w:rPr>
          <w:lang w:val="en-GB"/>
        </w:rPr>
        <w:t>,</w:t>
      </w:r>
      <w:r w:rsidRPr="00ED54FD">
        <w:rPr>
          <w:lang w:val="en-GB"/>
        </w:rPr>
        <w:t xml:space="preserve"> T</w:t>
      </w:r>
      <w:r>
        <w:rPr>
          <w:lang w:val="en-GB"/>
        </w:rPr>
        <w:t xml:space="preserve">. </w:t>
      </w:r>
      <w:r w:rsidRPr="00ED54FD">
        <w:rPr>
          <w:lang w:val="en-GB"/>
        </w:rPr>
        <w:t xml:space="preserve">A. 1999. BioEdit: a user-friendly biological sequence alignment editor and analysis program for Windows 95/98/NT. </w:t>
      </w:r>
      <w:r w:rsidRPr="00ED54FD">
        <w:rPr>
          <w:lang w:val="en-US"/>
        </w:rPr>
        <w:t>Nucl Acids Symp Ser 41:</w:t>
      </w:r>
      <w:r>
        <w:rPr>
          <w:lang w:val="en-US"/>
        </w:rPr>
        <w:t xml:space="preserve"> </w:t>
      </w:r>
      <w:r w:rsidRPr="00ED54FD">
        <w:rPr>
          <w:lang w:val="en-US"/>
        </w:rPr>
        <w:t xml:space="preserve">95-98. </w:t>
      </w:r>
    </w:p>
    <w:p w:rsidR="00636C6C" w:rsidRPr="00ED54FD" w:rsidRDefault="00636C6C" w:rsidP="0050126E">
      <w:pPr>
        <w:spacing w:line="480" w:lineRule="auto"/>
        <w:rPr>
          <w:lang w:val="en-US"/>
        </w:rPr>
      </w:pPr>
    </w:p>
    <w:p w:rsidR="00636C6C" w:rsidRPr="00ED54FD" w:rsidRDefault="00636C6C" w:rsidP="0050126E">
      <w:pPr>
        <w:spacing w:line="480" w:lineRule="auto"/>
        <w:rPr>
          <w:lang w:val="en-US"/>
        </w:rPr>
      </w:pPr>
      <w:hyperlink r:id="rId37" w:history="1">
        <w:r w:rsidRPr="00ED54FD">
          <w:rPr>
            <w:rStyle w:val="Hyperlink"/>
            <w:bCs/>
            <w:color w:val="auto"/>
            <w:u w:val="none"/>
            <w:lang w:val="en-GB"/>
          </w:rPr>
          <w:t>Hennessy</w:t>
        </w:r>
        <w:r>
          <w:rPr>
            <w:rStyle w:val="Hyperlink"/>
            <w:bCs/>
            <w:color w:val="auto"/>
            <w:u w:val="none"/>
            <w:lang w:val="en-GB"/>
          </w:rPr>
          <w:t>,</w:t>
        </w:r>
        <w:r w:rsidRPr="00ED54FD">
          <w:rPr>
            <w:rStyle w:val="Hyperlink"/>
            <w:bCs/>
            <w:color w:val="auto"/>
            <w:u w:val="none"/>
            <w:lang w:val="en-GB"/>
          </w:rPr>
          <w:t xml:space="preserve"> L</w:t>
        </w:r>
        <w:r>
          <w:rPr>
            <w:rStyle w:val="Hyperlink"/>
            <w:bCs/>
            <w:color w:val="auto"/>
            <w:u w:val="none"/>
            <w:lang w:val="en-GB"/>
          </w:rPr>
          <w:t xml:space="preserve">. </w:t>
        </w:r>
        <w:r w:rsidRPr="00ED54FD">
          <w:rPr>
            <w:rStyle w:val="Hyperlink"/>
            <w:bCs/>
            <w:color w:val="auto"/>
            <w:u w:val="none"/>
            <w:lang w:val="en-GB"/>
          </w:rPr>
          <w:t>K</w:t>
        </w:r>
      </w:hyperlink>
      <w:r w:rsidRPr="006834FE">
        <w:rPr>
          <w:lang w:val="en-US"/>
        </w:rPr>
        <w:t>.</w:t>
      </w:r>
      <w:r w:rsidRPr="00ED54FD">
        <w:rPr>
          <w:lang w:val="en-GB"/>
        </w:rPr>
        <w:t xml:space="preserve">, </w:t>
      </w:r>
      <w:hyperlink r:id="rId38" w:history="1">
        <w:r w:rsidRPr="00ED54FD">
          <w:rPr>
            <w:rStyle w:val="Hyperlink"/>
            <w:bCs/>
            <w:color w:val="auto"/>
            <w:u w:val="none"/>
            <w:lang w:val="en-GB"/>
          </w:rPr>
          <w:t>Teare</w:t>
        </w:r>
        <w:r>
          <w:rPr>
            <w:rStyle w:val="Hyperlink"/>
            <w:bCs/>
            <w:color w:val="auto"/>
            <w:u w:val="none"/>
            <w:lang w:val="en-GB"/>
          </w:rPr>
          <w:t>,</w:t>
        </w:r>
        <w:r w:rsidRPr="00ED54FD">
          <w:rPr>
            <w:rStyle w:val="Hyperlink"/>
            <w:bCs/>
            <w:color w:val="auto"/>
            <w:u w:val="none"/>
            <w:lang w:val="en-GB"/>
          </w:rPr>
          <w:t xml:space="preserve"> J</w:t>
        </w:r>
      </w:hyperlink>
      <w:r w:rsidRPr="006834FE">
        <w:rPr>
          <w:lang w:val="en-US"/>
        </w:rPr>
        <w:t>.</w:t>
      </w:r>
      <w:r w:rsidRPr="00ED54FD">
        <w:rPr>
          <w:lang w:val="en-GB"/>
        </w:rPr>
        <w:t xml:space="preserve">, </w:t>
      </w:r>
      <w:hyperlink r:id="rId39" w:history="1">
        <w:r w:rsidRPr="00ED54FD">
          <w:rPr>
            <w:rStyle w:val="Hyperlink"/>
            <w:bCs/>
            <w:color w:val="auto"/>
            <w:u w:val="none"/>
            <w:lang w:val="en-GB"/>
          </w:rPr>
          <w:t>Ko</w:t>
        </w:r>
        <w:r>
          <w:rPr>
            <w:rStyle w:val="Hyperlink"/>
            <w:bCs/>
            <w:color w:val="auto"/>
            <w:u w:val="none"/>
            <w:lang w:val="en-GB"/>
          </w:rPr>
          <w:t>,</w:t>
        </w:r>
        <w:r w:rsidRPr="00ED54FD">
          <w:rPr>
            <w:rStyle w:val="Hyperlink"/>
            <w:bCs/>
            <w:color w:val="auto"/>
            <w:u w:val="none"/>
            <w:lang w:val="en-GB"/>
          </w:rPr>
          <w:t xml:space="preserve"> C</w:t>
        </w:r>
      </w:hyperlink>
      <w:r w:rsidRPr="00ED54FD">
        <w:rPr>
          <w:lang w:val="en-GB"/>
        </w:rPr>
        <w:t xml:space="preserve">. 1998. PCR conditions and DNA denaturants affect reproducibility of single-strand conformation polymorphism patterns for BRCA1 mutations. </w:t>
      </w:r>
      <w:r w:rsidRPr="00ED54FD">
        <w:rPr>
          <w:lang w:val="en-US"/>
        </w:rPr>
        <w:t>Clin Chem 44</w:t>
      </w:r>
      <w:r>
        <w:rPr>
          <w:lang w:val="en-US"/>
        </w:rPr>
        <w:t xml:space="preserve"> </w:t>
      </w:r>
      <w:r w:rsidRPr="00ED54FD">
        <w:rPr>
          <w:lang w:val="en-US"/>
        </w:rPr>
        <w:t>(4):</w:t>
      </w:r>
      <w:r>
        <w:rPr>
          <w:lang w:val="en-US"/>
        </w:rPr>
        <w:t xml:space="preserve"> </w:t>
      </w:r>
      <w:r w:rsidRPr="00ED54FD">
        <w:rPr>
          <w:lang w:val="en-US"/>
        </w:rPr>
        <w:t>879-882</w:t>
      </w:r>
      <w:r>
        <w:rPr>
          <w:lang w:val="en-US"/>
        </w:rPr>
        <w:t>.</w:t>
      </w:r>
      <w:r w:rsidRPr="00ED54FD">
        <w:rPr>
          <w:lang w:val="en-US"/>
        </w:rPr>
        <w:t xml:space="preserve"> </w:t>
      </w:r>
    </w:p>
    <w:p w:rsidR="00636C6C" w:rsidRPr="00ED54FD" w:rsidRDefault="00636C6C" w:rsidP="0050126E">
      <w:pPr>
        <w:spacing w:line="480" w:lineRule="auto"/>
        <w:rPr>
          <w:lang w:val="en-GB"/>
        </w:rPr>
      </w:pPr>
    </w:p>
    <w:p w:rsidR="00636C6C" w:rsidRPr="00ED54FD" w:rsidRDefault="00636C6C" w:rsidP="0050126E">
      <w:pPr>
        <w:spacing w:line="480" w:lineRule="auto"/>
        <w:rPr>
          <w:lang w:val="en-GB"/>
        </w:rPr>
      </w:pPr>
      <w:hyperlink r:id="rId40" w:history="1">
        <w:r w:rsidRPr="00ED54FD">
          <w:rPr>
            <w:rStyle w:val="Hyperlink"/>
            <w:bCs/>
            <w:color w:val="auto"/>
            <w:u w:val="none"/>
            <w:lang w:val="en-GB"/>
          </w:rPr>
          <w:t>Karim</w:t>
        </w:r>
        <w:r>
          <w:rPr>
            <w:rStyle w:val="Hyperlink"/>
            <w:bCs/>
            <w:color w:val="auto"/>
            <w:u w:val="none"/>
            <w:lang w:val="en-GB"/>
          </w:rPr>
          <w:t>,</w:t>
        </w:r>
        <w:r w:rsidRPr="00ED54FD">
          <w:rPr>
            <w:rStyle w:val="Hyperlink"/>
            <w:bCs/>
            <w:color w:val="auto"/>
            <w:u w:val="none"/>
            <w:lang w:val="en-GB"/>
          </w:rPr>
          <w:t xml:space="preserve"> A</w:t>
        </w:r>
      </w:hyperlink>
      <w:r w:rsidRPr="006834FE">
        <w:rPr>
          <w:lang w:val="en-US"/>
        </w:rPr>
        <w:t>.</w:t>
      </w:r>
      <w:r w:rsidRPr="00ED54FD">
        <w:rPr>
          <w:lang w:val="en-GB"/>
        </w:rPr>
        <w:t xml:space="preserve">, </w:t>
      </w:r>
      <w:hyperlink r:id="rId41" w:history="1">
        <w:r w:rsidRPr="00ED54FD">
          <w:rPr>
            <w:rStyle w:val="Hyperlink"/>
            <w:bCs/>
            <w:color w:val="auto"/>
            <w:u w:val="none"/>
            <w:lang w:val="en-GB"/>
          </w:rPr>
          <w:t>Poirel</w:t>
        </w:r>
        <w:r>
          <w:rPr>
            <w:rStyle w:val="Hyperlink"/>
            <w:bCs/>
            <w:color w:val="auto"/>
            <w:u w:val="none"/>
            <w:lang w:val="en-GB"/>
          </w:rPr>
          <w:t>,</w:t>
        </w:r>
        <w:r w:rsidRPr="00ED54FD">
          <w:rPr>
            <w:rStyle w:val="Hyperlink"/>
            <w:bCs/>
            <w:color w:val="auto"/>
            <w:u w:val="none"/>
            <w:lang w:val="en-GB"/>
          </w:rPr>
          <w:t xml:space="preserve"> L</w:t>
        </w:r>
      </w:hyperlink>
      <w:r w:rsidRPr="006834FE">
        <w:rPr>
          <w:lang w:val="en-US"/>
        </w:rPr>
        <w:t>.</w:t>
      </w:r>
      <w:r w:rsidRPr="00ED54FD">
        <w:rPr>
          <w:lang w:val="en-GB"/>
        </w:rPr>
        <w:t xml:space="preserve">, </w:t>
      </w:r>
      <w:hyperlink r:id="rId42" w:history="1">
        <w:r w:rsidRPr="00ED54FD">
          <w:rPr>
            <w:rStyle w:val="Hyperlink"/>
            <w:bCs/>
            <w:color w:val="auto"/>
            <w:u w:val="none"/>
            <w:lang w:val="en-GB"/>
          </w:rPr>
          <w:t>Nagarajan</w:t>
        </w:r>
        <w:r>
          <w:rPr>
            <w:rStyle w:val="Hyperlink"/>
            <w:bCs/>
            <w:color w:val="auto"/>
            <w:u w:val="none"/>
            <w:lang w:val="en-GB"/>
          </w:rPr>
          <w:t>,</w:t>
        </w:r>
        <w:r w:rsidRPr="00ED54FD">
          <w:rPr>
            <w:rStyle w:val="Hyperlink"/>
            <w:bCs/>
            <w:color w:val="auto"/>
            <w:u w:val="none"/>
            <w:lang w:val="en-GB"/>
          </w:rPr>
          <w:t xml:space="preserve"> S</w:t>
        </w:r>
      </w:hyperlink>
      <w:r w:rsidRPr="006834FE">
        <w:rPr>
          <w:lang w:val="en-US"/>
        </w:rPr>
        <w:t>.</w:t>
      </w:r>
      <w:r w:rsidRPr="00ED54FD">
        <w:rPr>
          <w:lang w:val="en-GB"/>
        </w:rPr>
        <w:t xml:space="preserve">, </w:t>
      </w:r>
      <w:hyperlink r:id="rId43" w:history="1">
        <w:r w:rsidRPr="00ED54FD">
          <w:rPr>
            <w:rStyle w:val="Hyperlink"/>
            <w:bCs/>
            <w:color w:val="auto"/>
            <w:u w:val="none"/>
            <w:lang w:val="en-GB"/>
          </w:rPr>
          <w:t>Nordmann</w:t>
        </w:r>
        <w:r>
          <w:rPr>
            <w:rStyle w:val="Hyperlink"/>
            <w:bCs/>
            <w:color w:val="auto"/>
            <w:u w:val="none"/>
            <w:lang w:val="en-GB"/>
          </w:rPr>
          <w:t>,</w:t>
        </w:r>
        <w:r w:rsidRPr="00ED54FD">
          <w:rPr>
            <w:rStyle w:val="Hyperlink"/>
            <w:bCs/>
            <w:color w:val="auto"/>
            <w:u w:val="none"/>
            <w:lang w:val="en-GB"/>
          </w:rPr>
          <w:t xml:space="preserve"> P</w:t>
        </w:r>
      </w:hyperlink>
      <w:r w:rsidRPr="00ED54FD">
        <w:rPr>
          <w:lang w:val="en-GB"/>
        </w:rPr>
        <w:t>. 2001. Plasmid-mediated extended spectrum beta-lactamase (CTX-M-3 like) from India and gene association with insertion sequence ISEcp1. FEMS Microbiol Lett 201</w:t>
      </w:r>
      <w:r>
        <w:rPr>
          <w:lang w:val="en-GB"/>
        </w:rPr>
        <w:t xml:space="preserve"> </w:t>
      </w:r>
      <w:r w:rsidRPr="00ED54FD">
        <w:rPr>
          <w:lang w:val="en-GB"/>
        </w:rPr>
        <w:t>(2):</w:t>
      </w:r>
      <w:r>
        <w:rPr>
          <w:lang w:val="en-GB"/>
        </w:rPr>
        <w:t xml:space="preserve"> </w:t>
      </w:r>
      <w:r w:rsidRPr="00ED54FD">
        <w:rPr>
          <w:lang w:val="en-GB"/>
        </w:rPr>
        <w:t>237-241</w:t>
      </w:r>
      <w:r>
        <w:rPr>
          <w:lang w:val="en-GB"/>
        </w:rPr>
        <w:t>.</w:t>
      </w:r>
    </w:p>
    <w:p w:rsidR="00636C6C" w:rsidRPr="00ED54FD" w:rsidRDefault="00636C6C" w:rsidP="0050126E">
      <w:pPr>
        <w:spacing w:line="480" w:lineRule="auto"/>
        <w:rPr>
          <w:lang w:val="en-US"/>
        </w:rPr>
      </w:pPr>
    </w:p>
    <w:p w:rsidR="00636C6C" w:rsidRPr="00ED54FD" w:rsidRDefault="00636C6C" w:rsidP="0050126E">
      <w:pPr>
        <w:spacing w:line="480" w:lineRule="auto"/>
        <w:rPr>
          <w:lang w:val="en-US"/>
        </w:rPr>
      </w:pPr>
      <w:hyperlink r:id="rId44" w:history="1">
        <w:r w:rsidRPr="00ED54FD">
          <w:rPr>
            <w:rStyle w:val="Hyperlink"/>
            <w:bCs/>
            <w:color w:val="auto"/>
            <w:u w:val="none"/>
            <w:lang w:val="en-GB"/>
          </w:rPr>
          <w:t>Kumar</w:t>
        </w:r>
        <w:r>
          <w:rPr>
            <w:rStyle w:val="Hyperlink"/>
            <w:bCs/>
            <w:color w:val="auto"/>
            <w:u w:val="none"/>
            <w:lang w:val="en-GB"/>
          </w:rPr>
          <w:t>,</w:t>
        </w:r>
        <w:r w:rsidRPr="00ED54FD">
          <w:rPr>
            <w:rStyle w:val="Hyperlink"/>
            <w:bCs/>
            <w:color w:val="auto"/>
            <w:u w:val="none"/>
            <w:lang w:val="en-GB"/>
          </w:rPr>
          <w:t xml:space="preserve"> S</w:t>
        </w:r>
      </w:hyperlink>
      <w:r w:rsidRPr="006834FE">
        <w:rPr>
          <w:lang w:val="en-US"/>
        </w:rPr>
        <w:t>.</w:t>
      </w:r>
      <w:r w:rsidRPr="00ED54FD">
        <w:rPr>
          <w:lang w:val="en-GB"/>
        </w:rPr>
        <w:t xml:space="preserve">, </w:t>
      </w:r>
      <w:hyperlink r:id="rId45" w:history="1">
        <w:r w:rsidRPr="00ED54FD">
          <w:rPr>
            <w:rStyle w:val="Hyperlink"/>
            <w:bCs/>
            <w:color w:val="auto"/>
            <w:u w:val="none"/>
            <w:lang w:val="en-GB"/>
          </w:rPr>
          <w:t>Tamura</w:t>
        </w:r>
        <w:r>
          <w:rPr>
            <w:rStyle w:val="Hyperlink"/>
            <w:bCs/>
            <w:color w:val="auto"/>
            <w:u w:val="none"/>
            <w:lang w:val="en-GB"/>
          </w:rPr>
          <w:t>,</w:t>
        </w:r>
        <w:r w:rsidRPr="00ED54FD">
          <w:rPr>
            <w:rStyle w:val="Hyperlink"/>
            <w:bCs/>
            <w:color w:val="auto"/>
            <w:u w:val="none"/>
            <w:lang w:val="en-GB"/>
          </w:rPr>
          <w:t xml:space="preserve"> K</w:t>
        </w:r>
      </w:hyperlink>
      <w:r w:rsidRPr="006834FE">
        <w:rPr>
          <w:lang w:val="en-US"/>
        </w:rPr>
        <w:t>.</w:t>
      </w:r>
      <w:r w:rsidRPr="00ED54FD">
        <w:rPr>
          <w:lang w:val="en-GB"/>
        </w:rPr>
        <w:t xml:space="preserve">, </w:t>
      </w:r>
      <w:hyperlink r:id="rId46" w:history="1">
        <w:r w:rsidRPr="00ED54FD">
          <w:rPr>
            <w:rStyle w:val="Hyperlink"/>
            <w:bCs/>
            <w:color w:val="auto"/>
            <w:u w:val="none"/>
            <w:lang w:val="en-GB"/>
          </w:rPr>
          <w:t>Nei</w:t>
        </w:r>
        <w:r>
          <w:rPr>
            <w:rStyle w:val="Hyperlink"/>
            <w:bCs/>
            <w:color w:val="auto"/>
            <w:u w:val="none"/>
            <w:lang w:val="en-GB"/>
          </w:rPr>
          <w:t>,</w:t>
        </w:r>
        <w:r w:rsidRPr="00ED54FD">
          <w:rPr>
            <w:rStyle w:val="Hyperlink"/>
            <w:bCs/>
            <w:color w:val="auto"/>
            <w:u w:val="none"/>
            <w:lang w:val="en-GB"/>
          </w:rPr>
          <w:t xml:space="preserve"> M</w:t>
        </w:r>
      </w:hyperlink>
      <w:r w:rsidRPr="00ED54FD">
        <w:rPr>
          <w:lang w:val="en-GB"/>
        </w:rPr>
        <w:t xml:space="preserve">. 2004. MEGA3: Integrated software for molecular evolutionary genetics analysis and sequence alignment. </w:t>
      </w:r>
      <w:r w:rsidRPr="00ED54FD">
        <w:rPr>
          <w:lang w:val="en-US"/>
        </w:rPr>
        <w:t>Brief Bioinform 5:150-163</w:t>
      </w:r>
      <w:r>
        <w:rPr>
          <w:lang w:val="en-US"/>
        </w:rPr>
        <w:t>.</w:t>
      </w:r>
      <w:r w:rsidRPr="00ED54FD">
        <w:rPr>
          <w:lang w:val="en-US"/>
        </w:rPr>
        <w:t xml:space="preserve"> </w:t>
      </w:r>
    </w:p>
    <w:p w:rsidR="00636C6C" w:rsidRPr="00ED54FD" w:rsidRDefault="00636C6C" w:rsidP="0050126E">
      <w:pPr>
        <w:spacing w:line="480" w:lineRule="auto"/>
        <w:rPr>
          <w:lang w:val="en-US"/>
        </w:rPr>
      </w:pPr>
    </w:p>
    <w:p w:rsidR="00636C6C" w:rsidRPr="00ED54FD" w:rsidRDefault="00636C6C" w:rsidP="0050126E">
      <w:pPr>
        <w:spacing w:line="480" w:lineRule="auto"/>
      </w:pPr>
      <w:hyperlink r:id="rId47" w:history="1">
        <w:r w:rsidRPr="00ED54FD">
          <w:rPr>
            <w:rStyle w:val="Hyperlink"/>
            <w:bCs/>
            <w:color w:val="auto"/>
            <w:u w:val="none"/>
            <w:lang w:val="en-GB"/>
          </w:rPr>
          <w:t>Leflon-Guibout</w:t>
        </w:r>
        <w:r>
          <w:rPr>
            <w:rStyle w:val="Hyperlink"/>
            <w:bCs/>
            <w:color w:val="auto"/>
            <w:u w:val="none"/>
            <w:lang w:val="en-GB"/>
          </w:rPr>
          <w:t>,</w:t>
        </w:r>
        <w:r w:rsidRPr="00ED54FD">
          <w:rPr>
            <w:rStyle w:val="Hyperlink"/>
            <w:bCs/>
            <w:color w:val="auto"/>
            <w:u w:val="none"/>
            <w:lang w:val="en-GB"/>
          </w:rPr>
          <w:t xml:space="preserve"> V</w:t>
        </w:r>
      </w:hyperlink>
      <w:r w:rsidRPr="006834FE">
        <w:rPr>
          <w:lang w:val="en-US"/>
        </w:rPr>
        <w:t>.</w:t>
      </w:r>
      <w:r w:rsidRPr="00ED54FD">
        <w:rPr>
          <w:lang w:val="en-GB"/>
        </w:rPr>
        <w:t xml:space="preserve">, </w:t>
      </w:r>
      <w:hyperlink r:id="rId48" w:history="1">
        <w:r w:rsidRPr="00ED54FD">
          <w:rPr>
            <w:rStyle w:val="Hyperlink"/>
            <w:bCs/>
            <w:color w:val="auto"/>
            <w:u w:val="none"/>
            <w:lang w:val="en-GB"/>
          </w:rPr>
          <w:t>Speldooren</w:t>
        </w:r>
        <w:r>
          <w:rPr>
            <w:rStyle w:val="Hyperlink"/>
            <w:bCs/>
            <w:color w:val="auto"/>
            <w:u w:val="none"/>
            <w:lang w:val="en-GB"/>
          </w:rPr>
          <w:t>,</w:t>
        </w:r>
        <w:r w:rsidRPr="00ED54FD">
          <w:rPr>
            <w:rStyle w:val="Hyperlink"/>
            <w:bCs/>
            <w:color w:val="auto"/>
            <w:u w:val="none"/>
            <w:lang w:val="en-GB"/>
          </w:rPr>
          <w:t xml:space="preserve"> V</w:t>
        </w:r>
      </w:hyperlink>
      <w:r w:rsidRPr="006834FE">
        <w:rPr>
          <w:lang w:val="en-US"/>
        </w:rPr>
        <w:t>.</w:t>
      </w:r>
      <w:r w:rsidRPr="00ED54FD">
        <w:rPr>
          <w:lang w:val="en-GB"/>
        </w:rPr>
        <w:t xml:space="preserve">, </w:t>
      </w:r>
      <w:hyperlink r:id="rId49" w:history="1">
        <w:r w:rsidRPr="00ED54FD">
          <w:rPr>
            <w:rStyle w:val="Hyperlink"/>
            <w:bCs/>
            <w:color w:val="auto"/>
            <w:u w:val="none"/>
            <w:lang w:val="en-GB"/>
          </w:rPr>
          <w:t>Heym</w:t>
        </w:r>
        <w:r>
          <w:rPr>
            <w:rStyle w:val="Hyperlink"/>
            <w:bCs/>
            <w:color w:val="auto"/>
            <w:u w:val="none"/>
            <w:lang w:val="en-GB"/>
          </w:rPr>
          <w:t>,</w:t>
        </w:r>
        <w:r w:rsidRPr="00ED54FD">
          <w:rPr>
            <w:rStyle w:val="Hyperlink"/>
            <w:bCs/>
            <w:color w:val="auto"/>
            <w:u w:val="none"/>
            <w:lang w:val="en-GB"/>
          </w:rPr>
          <w:t xml:space="preserve"> B</w:t>
        </w:r>
      </w:hyperlink>
      <w:r w:rsidRPr="006834FE">
        <w:rPr>
          <w:lang w:val="en-US"/>
        </w:rPr>
        <w:t>.</w:t>
      </w:r>
      <w:r w:rsidRPr="00ED54FD">
        <w:rPr>
          <w:lang w:val="en-GB"/>
        </w:rPr>
        <w:t xml:space="preserve">, </w:t>
      </w:r>
      <w:hyperlink r:id="rId50" w:history="1">
        <w:r w:rsidRPr="00ED54FD">
          <w:rPr>
            <w:rStyle w:val="Hyperlink"/>
            <w:bCs/>
            <w:color w:val="auto"/>
            <w:u w:val="none"/>
            <w:lang w:val="en-GB"/>
          </w:rPr>
          <w:t>Nicolas-Chanoine</w:t>
        </w:r>
        <w:r>
          <w:rPr>
            <w:rStyle w:val="Hyperlink"/>
            <w:bCs/>
            <w:color w:val="auto"/>
            <w:u w:val="none"/>
            <w:lang w:val="en-GB"/>
          </w:rPr>
          <w:t>,</w:t>
        </w:r>
        <w:r w:rsidRPr="00ED54FD">
          <w:rPr>
            <w:rStyle w:val="Hyperlink"/>
            <w:bCs/>
            <w:color w:val="auto"/>
            <w:u w:val="none"/>
            <w:lang w:val="en-GB"/>
          </w:rPr>
          <w:t xml:space="preserve"> M</w:t>
        </w:r>
      </w:hyperlink>
      <w:r w:rsidRPr="00ED54FD">
        <w:rPr>
          <w:lang w:val="en-GB"/>
        </w:rPr>
        <w:t xml:space="preserve">. 2000. Epidemiological survey of amoxicillin-clavulanate resistance and corresponding molecular mechanisms in </w:t>
      </w:r>
      <w:r w:rsidRPr="00ED54FD">
        <w:rPr>
          <w:i/>
          <w:lang w:val="en-GB"/>
        </w:rPr>
        <w:t>Escherichia coli</w:t>
      </w:r>
      <w:r w:rsidRPr="00ED54FD">
        <w:rPr>
          <w:lang w:val="en-GB"/>
        </w:rPr>
        <w:t xml:space="preserve"> isolates in France: new genetic features of bla(TEM) genes. </w:t>
      </w:r>
      <w:r w:rsidRPr="00ED54FD">
        <w:t>Antimicrob Agents Chemother 44</w:t>
      </w:r>
      <w:r>
        <w:t xml:space="preserve"> </w:t>
      </w:r>
      <w:r w:rsidRPr="00ED54FD">
        <w:t>(10):</w:t>
      </w:r>
      <w:r>
        <w:t xml:space="preserve"> </w:t>
      </w:r>
      <w:r w:rsidRPr="00ED54FD">
        <w:t>2709-2714</w:t>
      </w:r>
      <w:r>
        <w:t>.</w:t>
      </w:r>
    </w:p>
    <w:p w:rsidR="00636C6C" w:rsidRPr="00ED54FD" w:rsidRDefault="00636C6C" w:rsidP="0050126E">
      <w:pPr>
        <w:spacing w:line="480" w:lineRule="auto"/>
      </w:pPr>
    </w:p>
    <w:p w:rsidR="00636C6C" w:rsidRPr="00ED54FD" w:rsidRDefault="00636C6C" w:rsidP="0050126E">
      <w:pPr>
        <w:spacing w:line="480" w:lineRule="auto"/>
        <w:rPr>
          <w:lang w:val="en-US"/>
        </w:rPr>
      </w:pPr>
      <w:r w:rsidRPr="00ED54FD">
        <w:t>Mella</w:t>
      </w:r>
      <w:r>
        <w:t>,</w:t>
      </w:r>
      <w:r w:rsidRPr="00ED54FD">
        <w:t xml:space="preserve"> S. 2001. Propiedades microbiológicas, clasificación y relación estructura actividad de cefalosporinas e importancia de las cefalosporinas de cuarta generación. </w:t>
      </w:r>
      <w:r w:rsidRPr="00ED54FD">
        <w:rPr>
          <w:lang w:val="en-US"/>
        </w:rPr>
        <w:t>Rev Chil Infect 18</w:t>
      </w:r>
      <w:r>
        <w:rPr>
          <w:lang w:val="en-US"/>
        </w:rPr>
        <w:t xml:space="preserve"> </w:t>
      </w:r>
      <w:r w:rsidRPr="00ED54FD">
        <w:rPr>
          <w:lang w:val="en-US"/>
        </w:rPr>
        <w:t>(1):</w:t>
      </w:r>
      <w:r>
        <w:rPr>
          <w:lang w:val="en-US"/>
        </w:rPr>
        <w:t xml:space="preserve"> </w:t>
      </w:r>
      <w:r w:rsidRPr="00ED54FD">
        <w:rPr>
          <w:lang w:val="en-US"/>
        </w:rPr>
        <w:t xml:space="preserve">7-17. </w:t>
      </w:r>
    </w:p>
    <w:p w:rsidR="00636C6C" w:rsidRPr="00ED54FD" w:rsidRDefault="00636C6C" w:rsidP="0050126E">
      <w:pPr>
        <w:spacing w:line="480" w:lineRule="auto"/>
        <w:rPr>
          <w:lang w:val="en-US"/>
        </w:rPr>
      </w:pPr>
    </w:p>
    <w:p w:rsidR="00636C6C" w:rsidRPr="00ED54FD" w:rsidRDefault="00636C6C" w:rsidP="0050126E">
      <w:pPr>
        <w:spacing w:line="480" w:lineRule="auto"/>
        <w:rPr>
          <w:lang w:val="en-GB"/>
        </w:rPr>
      </w:pPr>
      <w:hyperlink r:id="rId51" w:history="1">
        <w:r w:rsidRPr="00ED54FD">
          <w:rPr>
            <w:rStyle w:val="Hyperlink"/>
            <w:bCs/>
            <w:color w:val="auto"/>
            <w:u w:val="none"/>
            <w:lang w:val="en-GB"/>
          </w:rPr>
          <w:t>M'Zali</w:t>
        </w:r>
        <w:r>
          <w:rPr>
            <w:rStyle w:val="Hyperlink"/>
            <w:bCs/>
            <w:color w:val="auto"/>
            <w:u w:val="none"/>
            <w:lang w:val="en-GB"/>
          </w:rPr>
          <w:t>,</w:t>
        </w:r>
        <w:r w:rsidRPr="00ED54FD">
          <w:rPr>
            <w:rStyle w:val="Hyperlink"/>
            <w:bCs/>
            <w:color w:val="auto"/>
            <w:u w:val="none"/>
            <w:lang w:val="en-GB"/>
          </w:rPr>
          <w:t xml:space="preserve"> F</w:t>
        </w:r>
        <w:r>
          <w:rPr>
            <w:rStyle w:val="Hyperlink"/>
            <w:bCs/>
            <w:color w:val="auto"/>
            <w:u w:val="none"/>
            <w:lang w:val="en-GB"/>
          </w:rPr>
          <w:t xml:space="preserve">. </w:t>
        </w:r>
        <w:r w:rsidRPr="00ED54FD">
          <w:rPr>
            <w:rStyle w:val="Hyperlink"/>
            <w:bCs/>
            <w:color w:val="auto"/>
            <w:u w:val="none"/>
            <w:lang w:val="en-GB"/>
          </w:rPr>
          <w:t>H</w:t>
        </w:r>
      </w:hyperlink>
      <w:r w:rsidRPr="006834FE">
        <w:rPr>
          <w:lang w:val="en-US"/>
        </w:rPr>
        <w:t>.</w:t>
      </w:r>
      <w:r w:rsidRPr="00ED54FD">
        <w:rPr>
          <w:lang w:val="en-GB"/>
        </w:rPr>
        <w:t xml:space="preserve">, </w:t>
      </w:r>
      <w:hyperlink r:id="rId52" w:history="1">
        <w:r w:rsidRPr="00ED54FD">
          <w:rPr>
            <w:rStyle w:val="Hyperlink"/>
            <w:bCs/>
            <w:color w:val="auto"/>
            <w:u w:val="none"/>
            <w:lang w:val="en-GB"/>
          </w:rPr>
          <w:t>Gascoyne-Binzi</w:t>
        </w:r>
        <w:r>
          <w:rPr>
            <w:rStyle w:val="Hyperlink"/>
            <w:bCs/>
            <w:color w:val="auto"/>
            <w:u w:val="none"/>
            <w:lang w:val="en-GB"/>
          </w:rPr>
          <w:t>,</w:t>
        </w:r>
        <w:r w:rsidRPr="00ED54FD">
          <w:rPr>
            <w:rStyle w:val="Hyperlink"/>
            <w:bCs/>
            <w:color w:val="auto"/>
            <w:u w:val="none"/>
            <w:lang w:val="en-GB"/>
          </w:rPr>
          <w:t xml:space="preserve"> D</w:t>
        </w:r>
        <w:r>
          <w:rPr>
            <w:rStyle w:val="Hyperlink"/>
            <w:bCs/>
            <w:color w:val="auto"/>
            <w:u w:val="none"/>
            <w:lang w:val="en-GB"/>
          </w:rPr>
          <w:t xml:space="preserve">. </w:t>
        </w:r>
        <w:r w:rsidRPr="00ED54FD">
          <w:rPr>
            <w:rStyle w:val="Hyperlink"/>
            <w:bCs/>
            <w:color w:val="auto"/>
            <w:u w:val="none"/>
            <w:lang w:val="en-GB"/>
          </w:rPr>
          <w:t>M</w:t>
        </w:r>
      </w:hyperlink>
      <w:r w:rsidRPr="006834FE">
        <w:rPr>
          <w:lang w:val="en-US"/>
        </w:rPr>
        <w:t>.</w:t>
      </w:r>
      <w:r w:rsidRPr="00ED54FD">
        <w:rPr>
          <w:lang w:val="en-GB"/>
        </w:rPr>
        <w:t xml:space="preserve">, </w:t>
      </w:r>
      <w:hyperlink r:id="rId53" w:history="1">
        <w:r w:rsidRPr="00ED54FD">
          <w:rPr>
            <w:rStyle w:val="Hyperlink"/>
            <w:bCs/>
            <w:color w:val="auto"/>
            <w:u w:val="none"/>
            <w:lang w:val="en-GB"/>
          </w:rPr>
          <w:t>Heritage</w:t>
        </w:r>
        <w:r>
          <w:rPr>
            <w:rStyle w:val="Hyperlink"/>
            <w:bCs/>
            <w:color w:val="auto"/>
            <w:u w:val="none"/>
            <w:lang w:val="en-GB"/>
          </w:rPr>
          <w:t>,</w:t>
        </w:r>
        <w:r w:rsidRPr="00ED54FD">
          <w:rPr>
            <w:rStyle w:val="Hyperlink"/>
            <w:bCs/>
            <w:color w:val="auto"/>
            <w:u w:val="none"/>
            <w:lang w:val="en-GB"/>
          </w:rPr>
          <w:t xml:space="preserve"> J</w:t>
        </w:r>
      </w:hyperlink>
      <w:r w:rsidRPr="006834FE">
        <w:rPr>
          <w:lang w:val="en-US"/>
        </w:rPr>
        <w:t>.</w:t>
      </w:r>
      <w:r w:rsidRPr="00ED54FD">
        <w:rPr>
          <w:lang w:val="en-GB"/>
        </w:rPr>
        <w:t xml:space="preserve">, </w:t>
      </w:r>
      <w:hyperlink r:id="rId54" w:history="1">
        <w:r w:rsidRPr="00ED54FD">
          <w:rPr>
            <w:rStyle w:val="Hyperlink"/>
            <w:bCs/>
            <w:color w:val="auto"/>
            <w:u w:val="none"/>
            <w:lang w:val="en-GB"/>
          </w:rPr>
          <w:t>Hawkey</w:t>
        </w:r>
        <w:r>
          <w:rPr>
            <w:rStyle w:val="Hyperlink"/>
            <w:bCs/>
            <w:color w:val="auto"/>
            <w:u w:val="none"/>
            <w:lang w:val="en-GB"/>
          </w:rPr>
          <w:t>,</w:t>
        </w:r>
        <w:r w:rsidRPr="00ED54FD">
          <w:rPr>
            <w:rStyle w:val="Hyperlink"/>
            <w:bCs/>
            <w:color w:val="auto"/>
            <w:u w:val="none"/>
            <w:lang w:val="en-GB"/>
          </w:rPr>
          <w:t xml:space="preserve"> P</w:t>
        </w:r>
        <w:r>
          <w:rPr>
            <w:rStyle w:val="Hyperlink"/>
            <w:bCs/>
            <w:color w:val="auto"/>
            <w:u w:val="none"/>
            <w:lang w:val="en-GB"/>
          </w:rPr>
          <w:t xml:space="preserve">. </w:t>
        </w:r>
        <w:r w:rsidRPr="00ED54FD">
          <w:rPr>
            <w:rStyle w:val="Hyperlink"/>
            <w:bCs/>
            <w:color w:val="auto"/>
            <w:u w:val="none"/>
            <w:lang w:val="en-GB"/>
          </w:rPr>
          <w:t>M</w:t>
        </w:r>
      </w:hyperlink>
      <w:r w:rsidRPr="00ED54FD">
        <w:rPr>
          <w:lang w:val="en-GB"/>
        </w:rPr>
        <w:t>. 1996. Detection of mutations conferring extended-spectrum activity on SHV beta-lactamases using polymerase chain reaction single strand conformational polymorphism (PCR-SSCP). J Antimicrob Chemother 37</w:t>
      </w:r>
      <w:r>
        <w:rPr>
          <w:lang w:val="en-GB"/>
        </w:rPr>
        <w:t xml:space="preserve"> </w:t>
      </w:r>
      <w:r w:rsidRPr="00ED54FD">
        <w:rPr>
          <w:lang w:val="en-GB"/>
        </w:rPr>
        <w:t>(4):</w:t>
      </w:r>
      <w:r>
        <w:rPr>
          <w:lang w:val="en-GB"/>
        </w:rPr>
        <w:t xml:space="preserve"> </w:t>
      </w:r>
      <w:r w:rsidRPr="00ED54FD">
        <w:rPr>
          <w:lang w:val="en-GB"/>
        </w:rPr>
        <w:t xml:space="preserve">797-802. </w:t>
      </w:r>
    </w:p>
    <w:p w:rsidR="00636C6C" w:rsidRPr="00ED54FD" w:rsidRDefault="00636C6C" w:rsidP="0050126E">
      <w:pPr>
        <w:spacing w:line="480" w:lineRule="auto"/>
        <w:rPr>
          <w:lang w:val="en-US"/>
        </w:rPr>
      </w:pPr>
    </w:p>
    <w:p w:rsidR="00636C6C" w:rsidRPr="00ED54FD" w:rsidRDefault="00636C6C" w:rsidP="0050126E">
      <w:pPr>
        <w:spacing w:line="480" w:lineRule="auto"/>
        <w:rPr>
          <w:lang w:val="en-GB"/>
        </w:rPr>
      </w:pPr>
      <w:hyperlink r:id="rId55" w:history="1">
        <w:r w:rsidRPr="00ED54FD">
          <w:rPr>
            <w:rStyle w:val="Hyperlink"/>
            <w:bCs/>
            <w:color w:val="auto"/>
            <w:u w:val="none"/>
            <w:lang w:val="en-GB"/>
          </w:rPr>
          <w:t>M'Zali</w:t>
        </w:r>
        <w:r>
          <w:rPr>
            <w:rStyle w:val="Hyperlink"/>
            <w:bCs/>
            <w:color w:val="auto"/>
            <w:u w:val="none"/>
            <w:lang w:val="en-GB"/>
          </w:rPr>
          <w:t>,</w:t>
        </w:r>
        <w:r w:rsidRPr="00ED54FD">
          <w:rPr>
            <w:rStyle w:val="Hyperlink"/>
            <w:bCs/>
            <w:color w:val="auto"/>
            <w:u w:val="none"/>
            <w:lang w:val="en-GB"/>
          </w:rPr>
          <w:t xml:space="preserve"> F</w:t>
        </w:r>
        <w:r>
          <w:rPr>
            <w:rStyle w:val="Hyperlink"/>
            <w:bCs/>
            <w:color w:val="auto"/>
            <w:u w:val="none"/>
            <w:lang w:val="en-GB"/>
          </w:rPr>
          <w:t xml:space="preserve">. </w:t>
        </w:r>
        <w:r w:rsidRPr="00ED54FD">
          <w:rPr>
            <w:rStyle w:val="Hyperlink"/>
            <w:bCs/>
            <w:color w:val="auto"/>
            <w:u w:val="none"/>
            <w:lang w:val="en-GB"/>
          </w:rPr>
          <w:t>H</w:t>
        </w:r>
      </w:hyperlink>
      <w:r w:rsidRPr="006834FE">
        <w:rPr>
          <w:lang w:val="en-US"/>
        </w:rPr>
        <w:t>.</w:t>
      </w:r>
      <w:r w:rsidRPr="00ED54FD">
        <w:rPr>
          <w:lang w:val="en-GB"/>
        </w:rPr>
        <w:t xml:space="preserve">, </w:t>
      </w:r>
      <w:hyperlink r:id="rId56" w:history="1">
        <w:r w:rsidRPr="00ED54FD">
          <w:rPr>
            <w:rStyle w:val="Hyperlink"/>
            <w:bCs/>
            <w:color w:val="auto"/>
            <w:u w:val="none"/>
            <w:lang w:val="en-GB"/>
          </w:rPr>
          <w:t>Heritage</w:t>
        </w:r>
        <w:r>
          <w:rPr>
            <w:rStyle w:val="Hyperlink"/>
            <w:bCs/>
            <w:color w:val="auto"/>
            <w:u w:val="none"/>
            <w:lang w:val="en-GB"/>
          </w:rPr>
          <w:t>,</w:t>
        </w:r>
        <w:r w:rsidRPr="00ED54FD">
          <w:rPr>
            <w:rStyle w:val="Hyperlink"/>
            <w:bCs/>
            <w:color w:val="auto"/>
            <w:u w:val="none"/>
            <w:lang w:val="en-GB"/>
          </w:rPr>
          <w:t xml:space="preserve"> J</w:t>
        </w:r>
      </w:hyperlink>
      <w:r w:rsidRPr="006834FE">
        <w:rPr>
          <w:lang w:val="en-US"/>
        </w:rPr>
        <w:t>.</w:t>
      </w:r>
      <w:r w:rsidRPr="00ED54FD">
        <w:rPr>
          <w:lang w:val="en-GB"/>
        </w:rPr>
        <w:t xml:space="preserve">, </w:t>
      </w:r>
      <w:hyperlink r:id="rId57" w:history="1">
        <w:r w:rsidRPr="00ED54FD">
          <w:rPr>
            <w:rStyle w:val="Hyperlink"/>
            <w:bCs/>
            <w:color w:val="auto"/>
            <w:u w:val="none"/>
            <w:lang w:val="en-GB"/>
          </w:rPr>
          <w:t>Gascoyne-Binzi</w:t>
        </w:r>
        <w:r>
          <w:rPr>
            <w:rStyle w:val="Hyperlink"/>
            <w:bCs/>
            <w:color w:val="auto"/>
            <w:u w:val="none"/>
            <w:lang w:val="en-GB"/>
          </w:rPr>
          <w:t>,</w:t>
        </w:r>
        <w:r w:rsidRPr="00ED54FD">
          <w:rPr>
            <w:rStyle w:val="Hyperlink"/>
            <w:bCs/>
            <w:color w:val="auto"/>
            <w:u w:val="none"/>
            <w:lang w:val="en-GB"/>
          </w:rPr>
          <w:t xml:space="preserve"> D</w:t>
        </w:r>
        <w:r>
          <w:rPr>
            <w:rStyle w:val="Hyperlink"/>
            <w:bCs/>
            <w:color w:val="auto"/>
            <w:u w:val="none"/>
            <w:lang w:val="en-GB"/>
          </w:rPr>
          <w:t xml:space="preserve">. </w:t>
        </w:r>
        <w:r w:rsidRPr="00ED54FD">
          <w:rPr>
            <w:rStyle w:val="Hyperlink"/>
            <w:bCs/>
            <w:color w:val="auto"/>
            <w:u w:val="none"/>
            <w:lang w:val="en-GB"/>
          </w:rPr>
          <w:t>M</w:t>
        </w:r>
      </w:hyperlink>
      <w:r w:rsidRPr="006834FE">
        <w:rPr>
          <w:lang w:val="en-US"/>
        </w:rPr>
        <w:t>.</w:t>
      </w:r>
      <w:r w:rsidRPr="00ED54FD">
        <w:rPr>
          <w:lang w:val="en-GB"/>
        </w:rPr>
        <w:t xml:space="preserve">, </w:t>
      </w:r>
      <w:hyperlink r:id="rId58" w:history="1">
        <w:r w:rsidRPr="00ED54FD">
          <w:rPr>
            <w:rStyle w:val="Hyperlink"/>
            <w:bCs/>
            <w:color w:val="auto"/>
            <w:u w:val="none"/>
            <w:lang w:val="en-GB"/>
          </w:rPr>
          <w:t>Snelling</w:t>
        </w:r>
        <w:r>
          <w:rPr>
            <w:rStyle w:val="Hyperlink"/>
            <w:bCs/>
            <w:color w:val="auto"/>
            <w:u w:val="none"/>
            <w:lang w:val="en-GB"/>
          </w:rPr>
          <w:t>,</w:t>
        </w:r>
        <w:r w:rsidRPr="00ED54FD">
          <w:rPr>
            <w:rStyle w:val="Hyperlink"/>
            <w:bCs/>
            <w:color w:val="auto"/>
            <w:u w:val="none"/>
            <w:lang w:val="en-GB"/>
          </w:rPr>
          <w:t xml:space="preserve"> A</w:t>
        </w:r>
        <w:r>
          <w:rPr>
            <w:rStyle w:val="Hyperlink"/>
            <w:bCs/>
            <w:color w:val="auto"/>
            <w:u w:val="none"/>
            <w:lang w:val="en-GB"/>
          </w:rPr>
          <w:t xml:space="preserve">. </w:t>
        </w:r>
        <w:r w:rsidRPr="00ED54FD">
          <w:rPr>
            <w:rStyle w:val="Hyperlink"/>
            <w:bCs/>
            <w:color w:val="auto"/>
            <w:u w:val="none"/>
            <w:lang w:val="en-GB"/>
          </w:rPr>
          <w:t>M</w:t>
        </w:r>
      </w:hyperlink>
      <w:r w:rsidRPr="006834FE">
        <w:rPr>
          <w:lang w:val="en-US"/>
        </w:rPr>
        <w:t>.</w:t>
      </w:r>
      <w:r w:rsidRPr="00ED54FD">
        <w:rPr>
          <w:lang w:val="en-GB"/>
        </w:rPr>
        <w:t xml:space="preserve">, </w:t>
      </w:r>
      <w:hyperlink r:id="rId59" w:history="1">
        <w:r w:rsidRPr="00ED54FD">
          <w:rPr>
            <w:rStyle w:val="Hyperlink"/>
            <w:bCs/>
            <w:color w:val="auto"/>
            <w:u w:val="none"/>
            <w:lang w:val="en-GB"/>
          </w:rPr>
          <w:t>Hawkey</w:t>
        </w:r>
        <w:r>
          <w:rPr>
            <w:rStyle w:val="Hyperlink"/>
            <w:bCs/>
            <w:color w:val="auto"/>
            <w:u w:val="none"/>
            <w:lang w:val="en-GB"/>
          </w:rPr>
          <w:t>,</w:t>
        </w:r>
        <w:r w:rsidRPr="00ED54FD">
          <w:rPr>
            <w:rStyle w:val="Hyperlink"/>
            <w:bCs/>
            <w:color w:val="auto"/>
            <w:u w:val="none"/>
            <w:lang w:val="en-GB"/>
          </w:rPr>
          <w:t xml:space="preserve"> P</w:t>
        </w:r>
        <w:r>
          <w:rPr>
            <w:rStyle w:val="Hyperlink"/>
            <w:bCs/>
            <w:color w:val="auto"/>
            <w:u w:val="none"/>
            <w:lang w:val="en-GB"/>
          </w:rPr>
          <w:t xml:space="preserve">. </w:t>
        </w:r>
        <w:r w:rsidRPr="00ED54FD">
          <w:rPr>
            <w:rStyle w:val="Hyperlink"/>
            <w:bCs/>
            <w:color w:val="auto"/>
            <w:u w:val="none"/>
            <w:lang w:val="en-GB"/>
          </w:rPr>
          <w:t>M</w:t>
        </w:r>
      </w:hyperlink>
      <w:r w:rsidRPr="00ED54FD">
        <w:rPr>
          <w:lang w:val="en-GB"/>
        </w:rPr>
        <w:t>. 1998. PCR single strand conformational polymorphism can be used to detect the gene encoding SHV-7 extended-spectrum beta-lactamase and to identify different SHV genes within the same strain. J Antimicrob Chemother 41</w:t>
      </w:r>
      <w:r>
        <w:rPr>
          <w:lang w:val="en-GB"/>
        </w:rPr>
        <w:t xml:space="preserve"> </w:t>
      </w:r>
      <w:r w:rsidRPr="00ED54FD">
        <w:rPr>
          <w:lang w:val="en-GB"/>
        </w:rPr>
        <w:t>(1):</w:t>
      </w:r>
      <w:r>
        <w:rPr>
          <w:lang w:val="en-GB"/>
        </w:rPr>
        <w:t xml:space="preserve"> </w:t>
      </w:r>
      <w:r w:rsidRPr="00ED54FD">
        <w:rPr>
          <w:lang w:val="en-GB"/>
        </w:rPr>
        <w:t>123-125</w:t>
      </w:r>
      <w:r>
        <w:rPr>
          <w:lang w:val="en-GB"/>
        </w:rPr>
        <w:t>.</w:t>
      </w:r>
    </w:p>
    <w:p w:rsidR="00636C6C" w:rsidRPr="00ED54FD" w:rsidRDefault="00636C6C" w:rsidP="0050126E">
      <w:pPr>
        <w:spacing w:line="480" w:lineRule="auto"/>
        <w:rPr>
          <w:lang w:val="en-US"/>
        </w:rPr>
      </w:pPr>
    </w:p>
    <w:p w:rsidR="00636C6C" w:rsidRPr="00ED54FD" w:rsidRDefault="00636C6C" w:rsidP="0050126E">
      <w:pPr>
        <w:spacing w:line="480" w:lineRule="auto"/>
        <w:rPr>
          <w:lang w:val="en-US"/>
        </w:rPr>
      </w:pPr>
      <w:r w:rsidRPr="006834FE">
        <w:rPr>
          <w:lang w:val="en-US"/>
        </w:rPr>
        <w:t xml:space="preserve">Orita, M., Iwahana, H., Kanazawa, H., Hayashi, K., Sekiya, T. 1989. </w:t>
      </w:r>
      <w:hyperlink r:id="rId60" w:history="1">
        <w:r w:rsidRPr="00ED54FD">
          <w:rPr>
            <w:lang w:val="en-GB"/>
          </w:rPr>
          <w:t>Detection of polymorphisms of human DNA by gel electrophoresis as single-strand conformation polymorphisms.</w:t>
        </w:r>
      </w:hyperlink>
      <w:r w:rsidRPr="00ED54FD">
        <w:rPr>
          <w:lang w:val="en-GB"/>
        </w:rPr>
        <w:t xml:space="preserve"> </w:t>
      </w:r>
      <w:r w:rsidRPr="00ED54FD">
        <w:rPr>
          <w:lang w:val="en-US"/>
        </w:rPr>
        <w:t>Proc Natl Acad Sci USA 86:</w:t>
      </w:r>
      <w:r>
        <w:rPr>
          <w:lang w:val="en-US"/>
        </w:rPr>
        <w:t xml:space="preserve"> </w:t>
      </w:r>
      <w:r w:rsidRPr="00ED54FD">
        <w:rPr>
          <w:lang w:val="en-US"/>
        </w:rPr>
        <w:t>2766-2770</w:t>
      </w:r>
      <w:r>
        <w:rPr>
          <w:lang w:val="en-US"/>
        </w:rPr>
        <w:t>.</w:t>
      </w:r>
    </w:p>
    <w:p w:rsidR="00636C6C" w:rsidRPr="00ED54FD" w:rsidRDefault="00636C6C" w:rsidP="0050126E">
      <w:pPr>
        <w:spacing w:line="480" w:lineRule="auto"/>
        <w:rPr>
          <w:lang w:val="en-US"/>
        </w:rPr>
      </w:pPr>
    </w:p>
    <w:p w:rsidR="00636C6C" w:rsidRPr="00ED54FD" w:rsidRDefault="00636C6C" w:rsidP="0050126E">
      <w:pPr>
        <w:spacing w:line="480" w:lineRule="auto"/>
      </w:pPr>
      <w:hyperlink r:id="rId61" w:history="1">
        <w:r w:rsidRPr="00ED54FD">
          <w:rPr>
            <w:rStyle w:val="Hyperlink"/>
            <w:bCs/>
            <w:color w:val="auto"/>
            <w:u w:val="none"/>
            <w:lang w:val="en-GB"/>
          </w:rPr>
          <w:t>Poirel</w:t>
        </w:r>
        <w:r>
          <w:rPr>
            <w:rStyle w:val="Hyperlink"/>
            <w:bCs/>
            <w:color w:val="auto"/>
            <w:u w:val="none"/>
            <w:lang w:val="en-GB"/>
          </w:rPr>
          <w:t>,</w:t>
        </w:r>
        <w:r w:rsidRPr="00ED54FD">
          <w:rPr>
            <w:rStyle w:val="Hyperlink"/>
            <w:bCs/>
            <w:color w:val="auto"/>
            <w:u w:val="none"/>
            <w:lang w:val="en-GB"/>
          </w:rPr>
          <w:t xml:space="preserve"> L</w:t>
        </w:r>
      </w:hyperlink>
      <w:r w:rsidRPr="006834FE">
        <w:rPr>
          <w:lang w:val="en-US"/>
        </w:rPr>
        <w:t>.</w:t>
      </w:r>
      <w:r w:rsidRPr="00ED54FD">
        <w:rPr>
          <w:lang w:val="en-GB"/>
        </w:rPr>
        <w:t xml:space="preserve">, </w:t>
      </w:r>
      <w:hyperlink r:id="rId62" w:history="1">
        <w:r w:rsidRPr="00ED54FD">
          <w:rPr>
            <w:rStyle w:val="Hyperlink"/>
            <w:bCs/>
            <w:color w:val="auto"/>
            <w:u w:val="none"/>
            <w:lang w:val="en-GB"/>
          </w:rPr>
          <w:t>Naas</w:t>
        </w:r>
        <w:r>
          <w:rPr>
            <w:rStyle w:val="Hyperlink"/>
            <w:bCs/>
            <w:color w:val="auto"/>
            <w:u w:val="none"/>
            <w:lang w:val="en-GB"/>
          </w:rPr>
          <w:t xml:space="preserve">, </w:t>
        </w:r>
        <w:r w:rsidRPr="00ED54FD">
          <w:rPr>
            <w:rStyle w:val="Hyperlink"/>
            <w:bCs/>
            <w:color w:val="auto"/>
            <w:u w:val="none"/>
            <w:lang w:val="en-GB"/>
          </w:rPr>
          <w:t>T</w:t>
        </w:r>
      </w:hyperlink>
      <w:r w:rsidRPr="006834FE">
        <w:rPr>
          <w:lang w:val="en-US"/>
        </w:rPr>
        <w:t>.</w:t>
      </w:r>
      <w:r w:rsidRPr="00ED54FD">
        <w:rPr>
          <w:lang w:val="en-GB"/>
        </w:rPr>
        <w:t xml:space="preserve">, </w:t>
      </w:r>
      <w:hyperlink r:id="rId63" w:history="1">
        <w:r w:rsidRPr="00ED54FD">
          <w:rPr>
            <w:rStyle w:val="Hyperlink"/>
            <w:bCs/>
            <w:color w:val="auto"/>
            <w:u w:val="none"/>
            <w:lang w:val="en-GB"/>
          </w:rPr>
          <w:t>Le Thomas</w:t>
        </w:r>
        <w:r>
          <w:rPr>
            <w:rStyle w:val="Hyperlink"/>
            <w:bCs/>
            <w:color w:val="auto"/>
            <w:u w:val="none"/>
            <w:lang w:val="en-GB"/>
          </w:rPr>
          <w:t>,</w:t>
        </w:r>
        <w:r w:rsidRPr="00ED54FD">
          <w:rPr>
            <w:rStyle w:val="Hyperlink"/>
            <w:bCs/>
            <w:color w:val="auto"/>
            <w:u w:val="none"/>
            <w:lang w:val="en-GB"/>
          </w:rPr>
          <w:t xml:space="preserve"> I</w:t>
        </w:r>
      </w:hyperlink>
      <w:r w:rsidRPr="006834FE">
        <w:rPr>
          <w:lang w:val="en-US"/>
        </w:rPr>
        <w:t>.</w:t>
      </w:r>
      <w:r w:rsidRPr="00ED54FD">
        <w:rPr>
          <w:lang w:val="en-GB"/>
        </w:rPr>
        <w:t xml:space="preserve">, </w:t>
      </w:r>
      <w:hyperlink r:id="rId64" w:history="1">
        <w:r w:rsidRPr="00ED54FD">
          <w:rPr>
            <w:rStyle w:val="Hyperlink"/>
            <w:bCs/>
            <w:color w:val="auto"/>
            <w:u w:val="none"/>
            <w:lang w:val="en-GB"/>
          </w:rPr>
          <w:t>Karim</w:t>
        </w:r>
        <w:r>
          <w:rPr>
            <w:rStyle w:val="Hyperlink"/>
            <w:bCs/>
            <w:color w:val="auto"/>
            <w:u w:val="none"/>
            <w:lang w:val="en-GB"/>
          </w:rPr>
          <w:t>,</w:t>
        </w:r>
        <w:r w:rsidRPr="00ED54FD">
          <w:rPr>
            <w:rStyle w:val="Hyperlink"/>
            <w:bCs/>
            <w:color w:val="auto"/>
            <w:u w:val="none"/>
            <w:lang w:val="en-GB"/>
          </w:rPr>
          <w:t xml:space="preserve"> A</w:t>
        </w:r>
      </w:hyperlink>
      <w:r w:rsidRPr="006834FE">
        <w:rPr>
          <w:lang w:val="en-US"/>
        </w:rPr>
        <w:t>.</w:t>
      </w:r>
      <w:r w:rsidRPr="00ED54FD">
        <w:rPr>
          <w:lang w:val="en-GB"/>
        </w:rPr>
        <w:t xml:space="preserve">, </w:t>
      </w:r>
      <w:hyperlink r:id="rId65" w:history="1">
        <w:r w:rsidRPr="00ED54FD">
          <w:rPr>
            <w:rStyle w:val="Hyperlink"/>
            <w:bCs/>
            <w:color w:val="auto"/>
            <w:u w:val="none"/>
            <w:lang w:val="en-GB"/>
          </w:rPr>
          <w:t>Bingen</w:t>
        </w:r>
        <w:r>
          <w:rPr>
            <w:rStyle w:val="Hyperlink"/>
            <w:bCs/>
            <w:color w:val="auto"/>
            <w:u w:val="none"/>
            <w:lang w:val="en-GB"/>
          </w:rPr>
          <w:t>,</w:t>
        </w:r>
        <w:r w:rsidRPr="00ED54FD">
          <w:rPr>
            <w:rStyle w:val="Hyperlink"/>
            <w:bCs/>
            <w:color w:val="auto"/>
            <w:u w:val="none"/>
            <w:lang w:val="en-GB"/>
          </w:rPr>
          <w:t xml:space="preserve"> E</w:t>
        </w:r>
      </w:hyperlink>
      <w:r w:rsidRPr="006834FE">
        <w:rPr>
          <w:lang w:val="en-US"/>
        </w:rPr>
        <w:t>.</w:t>
      </w:r>
      <w:r w:rsidRPr="00ED54FD">
        <w:rPr>
          <w:lang w:val="en-GB"/>
        </w:rPr>
        <w:t xml:space="preserve">, </w:t>
      </w:r>
      <w:hyperlink r:id="rId66" w:history="1">
        <w:r w:rsidRPr="00ED54FD">
          <w:rPr>
            <w:rStyle w:val="Hyperlink"/>
            <w:bCs/>
            <w:color w:val="auto"/>
            <w:u w:val="none"/>
            <w:lang w:val="en-GB"/>
          </w:rPr>
          <w:t>Nordmann</w:t>
        </w:r>
        <w:r>
          <w:rPr>
            <w:rStyle w:val="Hyperlink"/>
            <w:bCs/>
            <w:color w:val="auto"/>
            <w:u w:val="none"/>
            <w:lang w:val="en-GB"/>
          </w:rPr>
          <w:t>,</w:t>
        </w:r>
        <w:r w:rsidRPr="00ED54FD">
          <w:rPr>
            <w:rStyle w:val="Hyperlink"/>
            <w:bCs/>
            <w:color w:val="auto"/>
            <w:u w:val="none"/>
            <w:lang w:val="en-GB"/>
          </w:rPr>
          <w:t xml:space="preserve"> P</w:t>
        </w:r>
      </w:hyperlink>
      <w:r w:rsidRPr="00ED54FD">
        <w:rPr>
          <w:lang w:val="en-GB"/>
        </w:rPr>
        <w:t xml:space="preserve">. 2001. CTX-M-type Extended-Spectrum </w:t>
      </w:r>
      <w:r w:rsidRPr="00ED54FD">
        <w:t>β</w:t>
      </w:r>
      <w:r w:rsidRPr="00ED54FD">
        <w:rPr>
          <w:lang w:val="en-GB"/>
        </w:rPr>
        <w:t xml:space="preserve"> -Lactamase that hydrolyzes ceftazidime through a single amino acid substitution in the Omega loop. </w:t>
      </w:r>
      <w:r w:rsidRPr="00ED54FD">
        <w:t>Antimicrob Agents Chemother 45</w:t>
      </w:r>
      <w:r>
        <w:t xml:space="preserve"> </w:t>
      </w:r>
      <w:r w:rsidRPr="00ED54FD">
        <w:t>(12):</w:t>
      </w:r>
      <w:r>
        <w:t xml:space="preserve"> </w:t>
      </w:r>
      <w:r w:rsidRPr="00ED54FD">
        <w:t xml:space="preserve">3355-3361. </w:t>
      </w:r>
    </w:p>
    <w:p w:rsidR="00636C6C" w:rsidRPr="00ED54FD" w:rsidRDefault="00636C6C" w:rsidP="0050126E">
      <w:pPr>
        <w:spacing w:line="480" w:lineRule="auto"/>
      </w:pPr>
    </w:p>
    <w:p w:rsidR="00636C6C" w:rsidRPr="00ED54FD" w:rsidRDefault="00636C6C" w:rsidP="0050126E">
      <w:pPr>
        <w:spacing w:line="480" w:lineRule="auto"/>
      </w:pPr>
      <w:r w:rsidRPr="00ED54FD">
        <w:t>Pulido</w:t>
      </w:r>
      <w:r>
        <w:t>,</w:t>
      </w:r>
      <w:r w:rsidRPr="00ED54FD">
        <w:t xml:space="preserve"> I</w:t>
      </w:r>
      <w:r>
        <w:t xml:space="preserve">. </w:t>
      </w:r>
      <w:r w:rsidRPr="00ED54FD">
        <w:t xml:space="preserve">Y. 2006. Caracterización de aislamientos de </w:t>
      </w:r>
      <w:r w:rsidRPr="00ED54FD">
        <w:rPr>
          <w:i/>
        </w:rPr>
        <w:t>Klebsiella pneumoniae</w:t>
      </w:r>
      <w:r w:rsidRPr="00ED54FD">
        <w:t xml:space="preserve"> portadores de genes blaCTX-M</w:t>
      </w:r>
      <w:r>
        <w:t xml:space="preserve"> </w:t>
      </w:r>
      <w:r w:rsidRPr="00ED54FD">
        <w:t>resistentes a ceftazidima. Bogotá. Tesis de maestría en Microbiología. Universidad Nacional de Colombia, Facultad de Ciencias. 95 pp.</w:t>
      </w:r>
    </w:p>
    <w:p w:rsidR="00636C6C" w:rsidRPr="00ED54FD" w:rsidRDefault="00636C6C" w:rsidP="0050126E">
      <w:pPr>
        <w:spacing w:line="480" w:lineRule="auto"/>
      </w:pPr>
    </w:p>
    <w:p w:rsidR="00636C6C" w:rsidRPr="00ED54FD" w:rsidRDefault="00636C6C" w:rsidP="0050126E">
      <w:pPr>
        <w:spacing w:line="480" w:lineRule="auto"/>
        <w:rPr>
          <w:lang w:val="en-US"/>
        </w:rPr>
      </w:pPr>
      <w:r w:rsidRPr="00ED54FD">
        <w:t>Quinteros</w:t>
      </w:r>
      <w:r>
        <w:t>,</w:t>
      </w:r>
      <w:r w:rsidRPr="00ED54FD">
        <w:t xml:space="preserve"> M</w:t>
      </w:r>
      <w:r>
        <w:t>.</w:t>
      </w:r>
      <w:r w:rsidRPr="00ED54FD">
        <w:t>, Radice</w:t>
      </w:r>
      <w:r>
        <w:t>,</w:t>
      </w:r>
      <w:r w:rsidRPr="00ED54FD">
        <w:t xml:space="preserve"> M</w:t>
      </w:r>
      <w:r>
        <w:t>.</w:t>
      </w:r>
      <w:r w:rsidRPr="00ED54FD">
        <w:t>, Gardella</w:t>
      </w:r>
      <w:r>
        <w:t>,</w:t>
      </w:r>
      <w:r w:rsidRPr="00ED54FD">
        <w:t xml:space="preserve"> N</w:t>
      </w:r>
      <w:r>
        <w:t>.</w:t>
      </w:r>
      <w:r w:rsidRPr="00ED54FD">
        <w:t>, Rodr</w:t>
      </w:r>
      <w:r>
        <w:t>í</w:t>
      </w:r>
      <w:r w:rsidRPr="00ED54FD">
        <w:t>guez</w:t>
      </w:r>
      <w:r>
        <w:t>,</w:t>
      </w:r>
      <w:r w:rsidRPr="00ED54FD">
        <w:t xml:space="preserve"> M</w:t>
      </w:r>
      <w:r>
        <w:t xml:space="preserve">. </w:t>
      </w:r>
      <w:r w:rsidRPr="00ED54FD">
        <w:t>M</w:t>
      </w:r>
      <w:r>
        <w:t>.</w:t>
      </w:r>
      <w:r w:rsidRPr="00ED54FD">
        <w:t>, Costa</w:t>
      </w:r>
      <w:r>
        <w:t>,</w:t>
      </w:r>
      <w:r w:rsidRPr="00ED54FD">
        <w:t xml:space="preserve"> N</w:t>
      </w:r>
      <w:r>
        <w:t>.</w:t>
      </w:r>
      <w:r w:rsidRPr="00ED54FD">
        <w:t>, Korbenfeld</w:t>
      </w:r>
      <w:r>
        <w:t>,</w:t>
      </w:r>
      <w:r w:rsidRPr="00ED54FD">
        <w:t xml:space="preserve"> D</w:t>
      </w:r>
      <w:r>
        <w:t>.</w:t>
      </w:r>
      <w:r w:rsidRPr="00ED54FD">
        <w:t xml:space="preserve"> </w:t>
      </w:r>
      <w:r w:rsidRPr="00EE0C32">
        <w:rPr>
          <w:i/>
        </w:rPr>
        <w:t xml:space="preserve">et </w:t>
      </w:r>
      <w:r>
        <w:rPr>
          <w:i/>
        </w:rPr>
        <w:t>a</w:t>
      </w:r>
      <w:r w:rsidRPr="00EE0C32">
        <w:rPr>
          <w:i/>
        </w:rPr>
        <w:t>l.</w:t>
      </w:r>
      <w:r w:rsidRPr="00EE0C32">
        <w:t>,</w:t>
      </w:r>
      <w:r w:rsidRPr="00ED54FD">
        <w:t xml:space="preserve"> 2003. </w:t>
      </w:r>
      <w:hyperlink r:id="rId67" w:history="1">
        <w:r w:rsidRPr="00ED54FD">
          <w:rPr>
            <w:lang w:val="en-GB"/>
          </w:rPr>
          <w:t>Extended-spectrum beta-lactamases in enterobacteriaceae in Buenos Aires, Argentina, public hospitals.</w:t>
        </w:r>
      </w:hyperlink>
      <w:r w:rsidRPr="00ED54FD">
        <w:rPr>
          <w:lang w:val="en-GB"/>
        </w:rPr>
        <w:t xml:space="preserve"> </w:t>
      </w:r>
      <w:r w:rsidRPr="00ED54FD">
        <w:rPr>
          <w:rStyle w:val="journalname"/>
          <w:lang w:val="en-GB"/>
        </w:rPr>
        <w:t>Antimicrob Agents Chemother</w:t>
      </w:r>
      <w:r w:rsidRPr="00ED54FD">
        <w:rPr>
          <w:lang w:val="en-GB"/>
        </w:rPr>
        <w:t xml:space="preserve"> 47</w:t>
      </w:r>
      <w:r>
        <w:rPr>
          <w:lang w:val="en-GB"/>
        </w:rPr>
        <w:t xml:space="preserve"> </w:t>
      </w:r>
      <w:r w:rsidRPr="00ED54FD">
        <w:rPr>
          <w:lang w:val="en-GB"/>
        </w:rPr>
        <w:t>(9):</w:t>
      </w:r>
      <w:r>
        <w:rPr>
          <w:lang w:val="en-GB"/>
        </w:rPr>
        <w:t xml:space="preserve"> </w:t>
      </w:r>
      <w:r w:rsidRPr="00ED54FD">
        <w:rPr>
          <w:lang w:val="en-GB"/>
        </w:rPr>
        <w:t>2864-2867</w:t>
      </w:r>
      <w:r>
        <w:rPr>
          <w:lang w:val="en-GB"/>
        </w:rPr>
        <w:t>.</w:t>
      </w:r>
    </w:p>
    <w:p w:rsidR="00636C6C" w:rsidRPr="00ED54FD" w:rsidRDefault="00636C6C" w:rsidP="0050126E">
      <w:pPr>
        <w:spacing w:line="480" w:lineRule="auto"/>
        <w:rPr>
          <w:lang w:val="en-US"/>
        </w:rPr>
      </w:pPr>
    </w:p>
    <w:p w:rsidR="00636C6C" w:rsidRPr="00ED54FD" w:rsidRDefault="00636C6C" w:rsidP="0050126E">
      <w:pPr>
        <w:spacing w:line="480" w:lineRule="auto"/>
        <w:rPr>
          <w:lang w:val="en-GB"/>
        </w:rPr>
      </w:pPr>
      <w:r w:rsidRPr="006834FE">
        <w:rPr>
          <w:lang w:val="es-CO"/>
        </w:rPr>
        <w:t>Sentinelli, F., Lovari, S., Vitale</w:t>
      </w:r>
      <w:r>
        <w:rPr>
          <w:lang w:val="es-CO"/>
        </w:rPr>
        <w:t>,</w:t>
      </w:r>
      <w:r w:rsidRPr="006834FE">
        <w:rPr>
          <w:lang w:val="es-CO"/>
        </w:rPr>
        <w:t xml:space="preserve"> M</w:t>
      </w:r>
      <w:r>
        <w:rPr>
          <w:lang w:val="es-CO"/>
        </w:rPr>
        <w:t>.</w:t>
      </w:r>
      <w:r w:rsidRPr="006834FE">
        <w:rPr>
          <w:lang w:val="es-CO"/>
        </w:rPr>
        <w:t>, Giorgi</w:t>
      </w:r>
      <w:r>
        <w:rPr>
          <w:lang w:val="es-CO"/>
        </w:rPr>
        <w:t>,</w:t>
      </w:r>
      <w:r w:rsidRPr="006834FE">
        <w:rPr>
          <w:lang w:val="es-CO"/>
        </w:rPr>
        <w:t xml:space="preserve"> G</w:t>
      </w:r>
      <w:r>
        <w:rPr>
          <w:lang w:val="es-CO"/>
        </w:rPr>
        <w:t>.</w:t>
      </w:r>
      <w:r w:rsidRPr="006834FE">
        <w:rPr>
          <w:lang w:val="es-CO"/>
        </w:rPr>
        <w:t>, Di Mario</w:t>
      </w:r>
      <w:r>
        <w:rPr>
          <w:lang w:val="es-CO"/>
        </w:rPr>
        <w:t>,</w:t>
      </w:r>
      <w:r w:rsidRPr="006834FE">
        <w:rPr>
          <w:lang w:val="es-CO"/>
        </w:rPr>
        <w:t xml:space="preserve"> U</w:t>
      </w:r>
      <w:r>
        <w:rPr>
          <w:lang w:val="es-CO"/>
        </w:rPr>
        <w:t>.</w:t>
      </w:r>
      <w:r w:rsidRPr="006834FE">
        <w:rPr>
          <w:lang w:val="es-CO"/>
        </w:rPr>
        <w:t>, Baroni</w:t>
      </w:r>
      <w:r>
        <w:rPr>
          <w:lang w:val="es-CO"/>
        </w:rPr>
        <w:t>,</w:t>
      </w:r>
      <w:r w:rsidRPr="006834FE">
        <w:rPr>
          <w:lang w:val="es-CO"/>
        </w:rPr>
        <w:t xml:space="preserve"> M</w:t>
      </w:r>
      <w:r>
        <w:rPr>
          <w:lang w:val="es-CO"/>
        </w:rPr>
        <w:t xml:space="preserve">. </w:t>
      </w:r>
      <w:r w:rsidRPr="006834FE">
        <w:rPr>
          <w:lang w:val="es-CO"/>
        </w:rPr>
        <w:t xml:space="preserve">G. 2000. </w:t>
      </w:r>
      <w:hyperlink r:id="rId68" w:history="1">
        <w:r w:rsidRPr="00ED54FD">
          <w:rPr>
            <w:lang w:val="en-GB"/>
          </w:rPr>
          <w:t>A simple method for non-radioactive PCR-SSCP using MDE gel solution and a midi gel format: application for the detection of variants in the GLUT1 and CTLA-4 genes.</w:t>
        </w:r>
      </w:hyperlink>
      <w:r w:rsidRPr="00ED54FD">
        <w:rPr>
          <w:lang w:val="en-GB"/>
        </w:rPr>
        <w:t xml:space="preserve"> J Biotechnol 78</w:t>
      </w:r>
      <w:r>
        <w:rPr>
          <w:lang w:val="en-GB"/>
        </w:rPr>
        <w:t xml:space="preserve"> </w:t>
      </w:r>
      <w:r w:rsidRPr="00ED54FD">
        <w:rPr>
          <w:lang w:val="en-GB"/>
        </w:rPr>
        <w:t>(2):</w:t>
      </w:r>
      <w:r>
        <w:rPr>
          <w:lang w:val="en-GB"/>
        </w:rPr>
        <w:t xml:space="preserve"> </w:t>
      </w:r>
      <w:r w:rsidRPr="00ED54FD">
        <w:rPr>
          <w:lang w:val="en-GB"/>
        </w:rPr>
        <w:t xml:space="preserve">201-204. </w:t>
      </w:r>
    </w:p>
    <w:p w:rsidR="00636C6C" w:rsidRPr="00ED54FD" w:rsidRDefault="00636C6C" w:rsidP="0050126E">
      <w:pPr>
        <w:spacing w:line="480" w:lineRule="auto"/>
        <w:rPr>
          <w:lang w:val="en-US"/>
        </w:rPr>
      </w:pPr>
    </w:p>
    <w:p w:rsidR="00636C6C" w:rsidRPr="006834FE" w:rsidRDefault="00636C6C" w:rsidP="0050126E">
      <w:pPr>
        <w:spacing w:line="480" w:lineRule="auto"/>
        <w:rPr>
          <w:lang w:val="es-CO"/>
        </w:rPr>
      </w:pPr>
      <w:hyperlink r:id="rId69" w:history="1">
        <w:r w:rsidRPr="00ED54FD">
          <w:rPr>
            <w:rStyle w:val="Hyperlink"/>
            <w:bCs/>
            <w:color w:val="auto"/>
            <w:u w:val="none"/>
            <w:lang w:val="en-GB"/>
          </w:rPr>
          <w:t>Speldooren</w:t>
        </w:r>
        <w:r>
          <w:rPr>
            <w:rStyle w:val="Hyperlink"/>
            <w:bCs/>
            <w:color w:val="auto"/>
            <w:u w:val="none"/>
            <w:lang w:val="en-GB"/>
          </w:rPr>
          <w:t>,</w:t>
        </w:r>
        <w:r w:rsidRPr="00ED54FD">
          <w:rPr>
            <w:rStyle w:val="Hyperlink"/>
            <w:bCs/>
            <w:color w:val="auto"/>
            <w:u w:val="none"/>
            <w:lang w:val="en-GB"/>
          </w:rPr>
          <w:t xml:space="preserve"> V</w:t>
        </w:r>
      </w:hyperlink>
      <w:r w:rsidRPr="006834FE">
        <w:rPr>
          <w:lang w:val="en-US"/>
        </w:rPr>
        <w:t>.</w:t>
      </w:r>
      <w:r w:rsidRPr="00ED54FD">
        <w:rPr>
          <w:lang w:val="en-GB"/>
        </w:rPr>
        <w:t xml:space="preserve">, </w:t>
      </w:r>
      <w:hyperlink r:id="rId70" w:history="1">
        <w:r w:rsidRPr="00ED54FD">
          <w:rPr>
            <w:rStyle w:val="Hyperlink"/>
            <w:bCs/>
            <w:color w:val="auto"/>
            <w:u w:val="none"/>
            <w:lang w:val="en-GB"/>
          </w:rPr>
          <w:t>Heym</w:t>
        </w:r>
        <w:r>
          <w:rPr>
            <w:rStyle w:val="Hyperlink"/>
            <w:bCs/>
            <w:color w:val="auto"/>
            <w:u w:val="none"/>
            <w:lang w:val="en-GB"/>
          </w:rPr>
          <w:t>,</w:t>
        </w:r>
        <w:r w:rsidRPr="00ED54FD">
          <w:rPr>
            <w:rStyle w:val="Hyperlink"/>
            <w:bCs/>
            <w:color w:val="auto"/>
            <w:u w:val="none"/>
            <w:lang w:val="en-GB"/>
          </w:rPr>
          <w:t xml:space="preserve"> B</w:t>
        </w:r>
      </w:hyperlink>
      <w:r w:rsidRPr="006834FE">
        <w:rPr>
          <w:lang w:val="en-US"/>
        </w:rPr>
        <w:t>.</w:t>
      </w:r>
      <w:r w:rsidRPr="00ED54FD">
        <w:rPr>
          <w:lang w:val="en-GB"/>
        </w:rPr>
        <w:t xml:space="preserve">, </w:t>
      </w:r>
      <w:hyperlink r:id="rId71" w:history="1">
        <w:r w:rsidRPr="00ED54FD">
          <w:rPr>
            <w:rStyle w:val="Hyperlink"/>
            <w:bCs/>
            <w:color w:val="auto"/>
            <w:u w:val="none"/>
            <w:lang w:val="en-GB"/>
          </w:rPr>
          <w:t>Labia</w:t>
        </w:r>
        <w:r>
          <w:rPr>
            <w:rStyle w:val="Hyperlink"/>
            <w:bCs/>
            <w:color w:val="auto"/>
            <w:u w:val="none"/>
            <w:lang w:val="en-GB"/>
          </w:rPr>
          <w:t>,</w:t>
        </w:r>
        <w:r w:rsidRPr="00ED54FD">
          <w:rPr>
            <w:rStyle w:val="Hyperlink"/>
            <w:bCs/>
            <w:color w:val="auto"/>
            <w:u w:val="none"/>
            <w:lang w:val="en-GB"/>
          </w:rPr>
          <w:t xml:space="preserve"> R</w:t>
        </w:r>
      </w:hyperlink>
      <w:r w:rsidRPr="006834FE">
        <w:rPr>
          <w:lang w:val="en-US"/>
        </w:rPr>
        <w:t>.</w:t>
      </w:r>
      <w:r w:rsidRPr="00ED54FD">
        <w:rPr>
          <w:lang w:val="en-GB"/>
        </w:rPr>
        <w:t xml:space="preserve">, </w:t>
      </w:r>
      <w:hyperlink r:id="rId72" w:history="1">
        <w:r w:rsidRPr="00ED54FD">
          <w:rPr>
            <w:rStyle w:val="Hyperlink"/>
            <w:bCs/>
            <w:color w:val="auto"/>
            <w:u w:val="none"/>
            <w:lang w:val="en-GB"/>
          </w:rPr>
          <w:t>Nicolas-Chanoine</w:t>
        </w:r>
        <w:r>
          <w:rPr>
            <w:rStyle w:val="Hyperlink"/>
            <w:bCs/>
            <w:color w:val="auto"/>
            <w:u w:val="none"/>
            <w:lang w:val="en-GB"/>
          </w:rPr>
          <w:t>,</w:t>
        </w:r>
        <w:r w:rsidRPr="00ED54FD">
          <w:rPr>
            <w:rStyle w:val="Hyperlink"/>
            <w:bCs/>
            <w:color w:val="auto"/>
            <w:u w:val="none"/>
            <w:lang w:val="en-GB"/>
          </w:rPr>
          <w:t xml:space="preserve"> M</w:t>
        </w:r>
        <w:r>
          <w:rPr>
            <w:rStyle w:val="Hyperlink"/>
            <w:bCs/>
            <w:color w:val="auto"/>
            <w:u w:val="none"/>
            <w:lang w:val="en-GB"/>
          </w:rPr>
          <w:t xml:space="preserve">. </w:t>
        </w:r>
        <w:r w:rsidRPr="00ED54FD">
          <w:rPr>
            <w:rStyle w:val="Hyperlink"/>
            <w:bCs/>
            <w:color w:val="auto"/>
            <w:u w:val="none"/>
            <w:lang w:val="en-GB"/>
          </w:rPr>
          <w:t>H</w:t>
        </w:r>
      </w:hyperlink>
      <w:r w:rsidRPr="00ED54FD">
        <w:rPr>
          <w:lang w:val="en-GB"/>
        </w:rPr>
        <w:t xml:space="preserve">. 1998. Discriminatory detection of inhibitor-resistant beta-lactamases in </w:t>
      </w:r>
      <w:r w:rsidRPr="00ED54FD">
        <w:rPr>
          <w:i/>
          <w:lang w:val="en-GB"/>
        </w:rPr>
        <w:t>Escherichia coli</w:t>
      </w:r>
      <w:r w:rsidRPr="00ED54FD">
        <w:rPr>
          <w:lang w:val="en-GB"/>
        </w:rPr>
        <w:t xml:space="preserve"> by single-strand conformation polymorphism-PCR. </w:t>
      </w:r>
      <w:r w:rsidRPr="006834FE">
        <w:rPr>
          <w:lang w:val="es-CO"/>
        </w:rPr>
        <w:t xml:space="preserve">Antimicrob Agents Chemother 42 (4): 879-884. </w:t>
      </w:r>
    </w:p>
    <w:p w:rsidR="00636C6C" w:rsidRPr="00ED54FD" w:rsidRDefault="00636C6C" w:rsidP="0050126E">
      <w:pPr>
        <w:spacing w:line="480" w:lineRule="auto"/>
      </w:pPr>
    </w:p>
    <w:p w:rsidR="00636C6C" w:rsidRPr="006834FE" w:rsidRDefault="00636C6C" w:rsidP="0050126E">
      <w:pPr>
        <w:spacing w:line="480" w:lineRule="auto"/>
        <w:rPr>
          <w:lang w:val="en-US"/>
        </w:rPr>
      </w:pPr>
      <w:r w:rsidRPr="00ED54FD">
        <w:t>Valenzuela de Silva</w:t>
      </w:r>
      <w:r>
        <w:t>,</w:t>
      </w:r>
      <w:r w:rsidRPr="00ED54FD">
        <w:t xml:space="preserve"> E</w:t>
      </w:r>
      <w:r>
        <w:t xml:space="preserve">. </w:t>
      </w:r>
      <w:r w:rsidRPr="00ED54FD">
        <w:t>M</w:t>
      </w:r>
      <w:r>
        <w:t>.</w:t>
      </w:r>
      <w:r w:rsidRPr="00ED54FD">
        <w:t>, Mantilla</w:t>
      </w:r>
      <w:r>
        <w:t>,</w:t>
      </w:r>
      <w:r w:rsidRPr="00ED54FD">
        <w:t xml:space="preserve"> J</w:t>
      </w:r>
      <w:r>
        <w:t xml:space="preserve">. </w:t>
      </w:r>
      <w:r w:rsidRPr="00ED54FD">
        <w:t>R</w:t>
      </w:r>
      <w:r>
        <w:t>.</w:t>
      </w:r>
      <w:r w:rsidRPr="00ED54FD">
        <w:t>, Reguero</w:t>
      </w:r>
      <w:r>
        <w:t>,</w:t>
      </w:r>
      <w:r w:rsidRPr="00ED54FD">
        <w:t xml:space="preserve"> M</w:t>
      </w:r>
      <w:r>
        <w:t>.</w:t>
      </w:r>
      <w:r w:rsidRPr="00ED54FD">
        <w:t>T</w:t>
      </w:r>
      <w:r>
        <w:t>.</w:t>
      </w:r>
      <w:r w:rsidRPr="00ED54FD">
        <w:t>, González</w:t>
      </w:r>
      <w:r>
        <w:t>,</w:t>
      </w:r>
      <w:r w:rsidRPr="00ED54FD">
        <w:t xml:space="preserve"> E</w:t>
      </w:r>
      <w:r>
        <w:t>.</w:t>
      </w:r>
      <w:r w:rsidRPr="00ED54FD">
        <w:t>B</w:t>
      </w:r>
      <w:r>
        <w:t>.</w:t>
      </w:r>
      <w:r w:rsidRPr="00ED54FD">
        <w:t>, Pulido</w:t>
      </w:r>
      <w:r>
        <w:t>,</w:t>
      </w:r>
      <w:r w:rsidRPr="00ED54FD">
        <w:t xml:space="preserve"> I</w:t>
      </w:r>
      <w:r>
        <w:t xml:space="preserve">. </w:t>
      </w:r>
      <w:r w:rsidRPr="00ED54FD">
        <w:t>Y</w:t>
      </w:r>
      <w:r>
        <w:t>.</w:t>
      </w:r>
      <w:r w:rsidRPr="00ED54FD">
        <w:t>, Llerena</w:t>
      </w:r>
      <w:r>
        <w:t>,</w:t>
      </w:r>
      <w:r w:rsidRPr="00ED54FD">
        <w:t xml:space="preserve"> I</w:t>
      </w:r>
      <w:r>
        <w:t xml:space="preserve">. </w:t>
      </w:r>
      <w:r w:rsidRPr="00ED54FD">
        <w:t>D</w:t>
      </w:r>
      <w:r>
        <w:t>.</w:t>
      </w:r>
      <w:r w:rsidRPr="00ED54FD">
        <w:t xml:space="preserve"> </w:t>
      </w:r>
      <w:r w:rsidRPr="00EE0C32">
        <w:rPr>
          <w:i/>
        </w:rPr>
        <w:t xml:space="preserve">et </w:t>
      </w:r>
      <w:r>
        <w:rPr>
          <w:i/>
        </w:rPr>
        <w:t>a</w:t>
      </w:r>
      <w:r w:rsidRPr="00EE0C32">
        <w:rPr>
          <w:i/>
        </w:rPr>
        <w:t>l.</w:t>
      </w:r>
      <w:r w:rsidRPr="00EE0C32">
        <w:t>,</w:t>
      </w:r>
      <w:r w:rsidRPr="00ED54FD">
        <w:t xml:space="preserve"> </w:t>
      </w:r>
      <w:r w:rsidRPr="006834FE">
        <w:rPr>
          <w:lang w:val="es-CO"/>
        </w:rPr>
        <w:t xml:space="preserve">Detection of CTX-M-1, CTX-M-15, and CTX-M-2 in clinical isolates of Enterobacteriaceae in Bogotá, Colombia. 2005. </w:t>
      </w:r>
      <w:r w:rsidRPr="006834FE">
        <w:rPr>
          <w:lang w:val="en-US"/>
        </w:rPr>
        <w:t>J Clin Microbiol 44 (5): 1919-20.</w:t>
      </w:r>
    </w:p>
    <w:p w:rsidR="00636C6C" w:rsidRPr="006834FE" w:rsidRDefault="00636C6C" w:rsidP="0050126E">
      <w:pPr>
        <w:spacing w:line="480" w:lineRule="auto"/>
        <w:rPr>
          <w:lang w:val="en-US"/>
        </w:rPr>
      </w:pPr>
    </w:p>
    <w:p w:rsidR="00636C6C" w:rsidRPr="00ED54FD" w:rsidRDefault="00636C6C" w:rsidP="0050126E">
      <w:pPr>
        <w:spacing w:line="480" w:lineRule="auto"/>
        <w:rPr>
          <w:lang w:val="en-US"/>
        </w:rPr>
      </w:pPr>
      <w:r w:rsidRPr="00ED54FD">
        <w:rPr>
          <w:lang w:val="en-GB"/>
        </w:rPr>
        <w:t>Xie, J</w:t>
      </w:r>
      <w:r>
        <w:rPr>
          <w:lang w:val="en-GB"/>
        </w:rPr>
        <w:t>.</w:t>
      </w:r>
      <w:r w:rsidRPr="00ED54FD">
        <w:rPr>
          <w:lang w:val="en-GB"/>
        </w:rPr>
        <w:t>, Wehner, T</w:t>
      </w:r>
      <w:r>
        <w:rPr>
          <w:lang w:val="en-GB"/>
        </w:rPr>
        <w:t xml:space="preserve">. </w:t>
      </w:r>
      <w:r w:rsidRPr="00ED54FD">
        <w:rPr>
          <w:lang w:val="en-GB"/>
        </w:rPr>
        <w:t>C</w:t>
      </w:r>
      <w:r>
        <w:rPr>
          <w:lang w:val="en-GB"/>
        </w:rPr>
        <w:t>.</w:t>
      </w:r>
      <w:r w:rsidRPr="00ED54FD">
        <w:rPr>
          <w:lang w:val="en-GB"/>
        </w:rPr>
        <w:t xml:space="preserve">, Conkling, M. 2002. PCR-based Single-Strand Conformational Polymorphism (SSCP) analysis to clone nine Aquapori genes in cucumber. </w:t>
      </w:r>
      <w:r w:rsidRPr="00ED54FD">
        <w:rPr>
          <w:lang w:val="en-US"/>
        </w:rPr>
        <w:t>J Amer Soc Hort Scr 127</w:t>
      </w:r>
      <w:r>
        <w:rPr>
          <w:lang w:val="en-US"/>
        </w:rPr>
        <w:t xml:space="preserve"> </w:t>
      </w:r>
      <w:r w:rsidRPr="00ED54FD">
        <w:rPr>
          <w:lang w:val="en-US"/>
        </w:rPr>
        <w:t>(6):</w:t>
      </w:r>
      <w:r>
        <w:rPr>
          <w:lang w:val="en-US"/>
        </w:rPr>
        <w:t xml:space="preserve"> </w:t>
      </w:r>
      <w:r w:rsidRPr="00ED54FD">
        <w:rPr>
          <w:lang w:val="en-US"/>
        </w:rPr>
        <w:t>925-939</w:t>
      </w:r>
      <w:r>
        <w:rPr>
          <w:lang w:val="en-US"/>
        </w:rPr>
        <w:t>.</w:t>
      </w:r>
      <w:r w:rsidRPr="00ED54FD">
        <w:rPr>
          <w:lang w:val="en-US"/>
        </w:rPr>
        <w:t xml:space="preserve"> </w:t>
      </w:r>
    </w:p>
    <w:p w:rsidR="00636C6C" w:rsidRPr="00ED54FD" w:rsidRDefault="00636C6C" w:rsidP="0050126E">
      <w:pPr>
        <w:spacing w:line="480" w:lineRule="auto"/>
        <w:ind w:left="720" w:hanging="720"/>
        <w:rPr>
          <w:lang w:val="en-GB"/>
        </w:rPr>
      </w:pPr>
    </w:p>
    <w:p w:rsidR="00636C6C" w:rsidRPr="00450995" w:rsidRDefault="00636C6C" w:rsidP="0050126E">
      <w:pPr>
        <w:spacing w:line="480" w:lineRule="auto"/>
        <w:rPr>
          <w:kern w:val="28"/>
          <w:lang w:val="en-US"/>
        </w:rPr>
      </w:pPr>
      <w:r w:rsidRPr="00ED54FD">
        <w:rPr>
          <w:b/>
          <w:lang w:val="en-US"/>
        </w:rPr>
        <w:br w:type="page"/>
        <w:t xml:space="preserve">A. </w:t>
      </w:r>
      <w:r w:rsidRPr="00ED54FD">
        <w:rPr>
          <w:b/>
          <w:lang w:val="en-US"/>
        </w:rPr>
        <w:tab/>
      </w:r>
      <w:r w:rsidRPr="00ED54FD">
        <w:rPr>
          <w:b/>
          <w:lang w:val="en-US"/>
        </w:rPr>
        <w:tab/>
      </w:r>
      <w:r>
        <w:rPr>
          <w:b/>
          <w:lang w:val="en-US"/>
        </w:rPr>
        <w:t xml:space="preserve"> </w:t>
      </w:r>
      <w:r w:rsidRPr="00ED54FD">
        <w:rPr>
          <w:b/>
          <w:lang w:val="en-US"/>
        </w:rPr>
        <w:t xml:space="preserve">B. </w:t>
      </w:r>
    </w:p>
    <w:p w:rsidR="00636C6C" w:rsidRPr="00ED54FD" w:rsidRDefault="00636C6C" w:rsidP="0050126E">
      <w:pPr>
        <w:spacing w:line="480" w:lineRule="auto"/>
        <w:rPr>
          <w:b/>
          <w:lang w:val="en-US"/>
        </w:rPr>
      </w:pPr>
      <w:r>
        <w:rPr>
          <w:noProof/>
          <w:lang w:val="es-CO" w:eastAsia="es-CO"/>
        </w:rPr>
      </w:r>
      <w:r w:rsidRPr="00C4503D">
        <w:rPr>
          <w:b/>
        </w:rPr>
        <w:pict>
          <v:group id="_x0000_s1026" editas="canvas" style="width:255.75pt;height:188.1pt;mso-position-horizontal-relative:char;mso-position-vertical-relative:line" coordorigin="4442,2007" coordsize="5115,376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442;top:2007;width:5115;height:3762" o:preferrelative="f">
              <v:fill o:detectmouseclick="t"/>
              <v:path o:extrusionok="t" o:connecttype="none"/>
              <o:lock v:ext="edit" text="t"/>
            </v:shape>
            <v:group id="_x0000_s1028" style="position:absolute;left:4442;top:2007;width:5115;height:3762" coordorigin="1791,1570" coordsize="2046,1505">
              <v:group id="_x0000_s1029" editas="canvas" style="position:absolute;left:1791;top:1570;width:2046;height:1505;mso-position-horizontal-relative:char;mso-position-vertical-relative:line" coordsize="5950,4370">
                <v:shape id="_x0000_s1030" type="#_x0000_t75" style="position:absolute;width:5950;height:4370" o:preferrelative="f" stroked="t">
                  <v:fill o:detectmouseclick="t"/>
                  <v:path o:extrusionok="t" o:connecttype="none"/>
                  <o:lock v:ext="edit" aspectratio="f"/>
                </v:shape>
                <v:shape id="_x0000_s1031" type="#_x0000_t75" style="position:absolute;width:5937;height:4360" stroked="t">
                  <v:imagedata r:id="rId73" o:title=""/>
                  <o:lock v:ext="edit" aspectratio="f"/>
                </v:shape>
              </v:group>
              <v:rect id="_x0000_s1032" style="position:absolute;left:1825;top:2958;width:1962;height:109;mso-wrap-edited:f" stroked="f" strokecolor="#4a7ebb" strokeweight="1.5pt">
                <v:fill o:detectmouseclick="t"/>
                <v:shadow opacity="22938f" offset="0"/>
                <v:textbox style="mso-next-textbox:#_x0000_s1032" inset=".5mm,0,.5mm,0">
                  <w:txbxContent>
                    <w:p w:rsidR="00636C6C" w:rsidRDefault="00636C6C" w:rsidP="000745F0">
                      <w:pPr>
                        <w:autoSpaceDE w:val="0"/>
                        <w:autoSpaceDN w:val="0"/>
                        <w:adjustRightInd w:val="0"/>
                        <w:rPr>
                          <w:rFonts w:ascii="Arial" w:hAnsi="Arial" w:cs="Arial"/>
                          <w:color w:val="000000"/>
                          <w:sz w:val="36"/>
                          <w:szCs w:val="36"/>
                        </w:rPr>
                      </w:pPr>
                      <w:r>
                        <w:rPr>
                          <w:color w:val="000000"/>
                          <w:sz w:val="16"/>
                          <w:szCs w:val="16"/>
                        </w:rPr>
                        <w:t xml:space="preserve"> 1 2 3 4 5 6 7 8 9 10 11 12 13 14 15 16 17</w:t>
                      </w:r>
                    </w:p>
                  </w:txbxContent>
                </v:textbox>
              </v:rect>
            </v:group>
            <v:rect id="_x0000_s1033" style="position:absolute;left:9346;top:2073;width:202;height:3501;mso-wrap-edited:f" stroked="f" strokecolor="#4a7ebb" strokeweight="1.5pt">
              <v:fill o:detectmouseclick="t"/>
              <v:shadow opacity="22938f" offset="0"/>
              <v:textbox inset=",7.2pt,,7.2pt"/>
            </v:rect>
            <v:rect id="_x0000_s1034" style="position:absolute;left:4543;top:2073;width:149;height:3501;mso-wrap-edited:f" stroked="f" strokecolor="#4a7ebb" strokeweight="1.5pt">
              <v:fill o:detectmouseclick="t"/>
              <v:shadow opacity="22938f" offset="0"/>
              <v:textbox inset=",7.2pt,,7.2pt"/>
            </v:rect>
            <w10:anchorlock/>
          </v:group>
        </w:pict>
      </w:r>
    </w:p>
    <w:p w:rsidR="00636C6C" w:rsidRPr="00ED54FD" w:rsidRDefault="00636C6C" w:rsidP="0050126E">
      <w:pPr>
        <w:spacing w:line="480" w:lineRule="auto"/>
        <w:rPr>
          <w:b/>
          <w:lang w:val="en-US"/>
        </w:rPr>
      </w:pPr>
    </w:p>
    <w:p w:rsidR="00636C6C" w:rsidRPr="00ED54FD" w:rsidRDefault="00636C6C" w:rsidP="0050126E">
      <w:pPr>
        <w:spacing w:line="480" w:lineRule="auto"/>
        <w:rPr>
          <w:b/>
          <w:lang w:val="en-US"/>
        </w:rPr>
      </w:pPr>
    </w:p>
    <w:tbl>
      <w:tblPr>
        <w:tblpPr w:leftFromText="141" w:rightFromText="141" w:vertAnchor="page" w:horzAnchor="page" w:tblpX="1753" w:tblpY="2062"/>
        <w:tblW w:w="2619" w:type="dxa"/>
        <w:tblLayout w:type="fixed"/>
        <w:tblLook w:val="01E0"/>
      </w:tblPr>
      <w:tblGrid>
        <w:gridCol w:w="720"/>
        <w:gridCol w:w="915"/>
        <w:gridCol w:w="984"/>
      </w:tblGrid>
      <w:tr w:rsidR="00636C6C" w:rsidRPr="008B2F35" w:rsidTr="00FE311D">
        <w:trPr>
          <w:trHeight w:val="149"/>
        </w:trPr>
        <w:tc>
          <w:tcPr>
            <w:tcW w:w="720" w:type="dxa"/>
            <w:tcBorders>
              <w:top w:val="single" w:sz="6" w:space="0" w:color="auto"/>
              <w:left w:val="single" w:sz="6" w:space="0" w:color="auto"/>
              <w:bottom w:val="single" w:sz="6" w:space="0" w:color="auto"/>
              <w:right w:val="single" w:sz="6" w:space="0" w:color="auto"/>
            </w:tcBorders>
            <w:noWrap/>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Carril</w:t>
            </w:r>
          </w:p>
        </w:tc>
        <w:tc>
          <w:tcPr>
            <w:tcW w:w="915" w:type="dxa"/>
            <w:tcBorders>
              <w:top w:val="single" w:sz="6" w:space="0" w:color="auto"/>
              <w:left w:val="single" w:sz="6" w:space="0" w:color="auto"/>
              <w:bottom w:val="single" w:sz="6" w:space="0" w:color="auto"/>
              <w:right w:val="single" w:sz="6" w:space="0" w:color="auto"/>
            </w:tcBorders>
            <w:noWrap/>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Muestra</w:t>
            </w:r>
          </w:p>
        </w:tc>
        <w:tc>
          <w:tcPr>
            <w:tcW w:w="984" w:type="dxa"/>
            <w:tcBorders>
              <w:top w:val="single" w:sz="6" w:space="0" w:color="auto"/>
              <w:left w:val="single" w:sz="6" w:space="0" w:color="auto"/>
              <w:bottom w:val="single" w:sz="6" w:space="0" w:color="auto"/>
              <w:right w:val="single" w:sz="6" w:space="0" w:color="auto"/>
            </w:tcBorders>
            <w:noWrap/>
          </w:tcPr>
          <w:p w:rsidR="00636C6C" w:rsidRPr="006834FE" w:rsidRDefault="00636C6C" w:rsidP="0050126E">
            <w:pPr>
              <w:pStyle w:val="TextotablasFiguras"/>
              <w:spacing w:line="480" w:lineRule="auto"/>
              <w:rPr>
                <w:i/>
                <w:color w:val="auto"/>
                <w:sz w:val="16"/>
                <w:szCs w:val="16"/>
                <w:lang w:val="en-US"/>
              </w:rPr>
            </w:pPr>
            <w:r w:rsidRPr="006834FE">
              <w:rPr>
                <w:color w:val="auto"/>
                <w:sz w:val="16"/>
                <w:szCs w:val="16"/>
                <w:lang w:val="en-US"/>
              </w:rPr>
              <w:t>Gen</w:t>
            </w:r>
            <w:r w:rsidRPr="006834FE">
              <w:rPr>
                <w:i/>
                <w:color w:val="auto"/>
                <w:sz w:val="16"/>
                <w:szCs w:val="16"/>
                <w:lang w:val="en-US"/>
              </w:rPr>
              <w:t xml:space="preserve"> bla</w:t>
            </w:r>
          </w:p>
        </w:tc>
      </w:tr>
      <w:tr w:rsidR="00636C6C" w:rsidRPr="008B2F35"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1</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S9</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CTX-M-12</w:t>
            </w:r>
          </w:p>
        </w:tc>
      </w:tr>
      <w:tr w:rsidR="00636C6C" w:rsidRPr="008B2F35"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2</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S10</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CTX-M-12</w:t>
            </w:r>
          </w:p>
        </w:tc>
      </w:tr>
      <w:tr w:rsidR="00636C6C" w:rsidRPr="008B2F35"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3</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S25</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4</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6834FE" w:rsidRDefault="00636C6C" w:rsidP="0050126E">
            <w:pPr>
              <w:pStyle w:val="TextotablasFiguras"/>
              <w:spacing w:line="480" w:lineRule="auto"/>
              <w:rPr>
                <w:color w:val="auto"/>
                <w:sz w:val="16"/>
                <w:szCs w:val="16"/>
                <w:lang w:val="en-US"/>
              </w:rPr>
            </w:pPr>
            <w:r w:rsidRPr="006834FE">
              <w:rPr>
                <w:color w:val="auto"/>
                <w:sz w:val="16"/>
                <w:szCs w:val="16"/>
                <w:lang w:val="en-US"/>
              </w:rPr>
              <w:t>S38</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6834FE">
              <w:rPr>
                <w:color w:val="auto"/>
                <w:sz w:val="16"/>
                <w:szCs w:val="16"/>
                <w:lang w:val="en-US"/>
              </w:rPr>
              <w:t>CTX-M-1</w:t>
            </w:r>
            <w:r w:rsidRPr="00ED54FD">
              <w:rPr>
                <w:color w:val="auto"/>
                <w:sz w:val="16"/>
                <w:szCs w:val="16"/>
              </w:rPr>
              <w:t>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5</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S40</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6</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S52</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7</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S53</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8</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S59</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9</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S79</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10</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S80</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11</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S89</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12</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S99</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13</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S105</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14</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M12</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CTX-M-12</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Pr>
                <w:color w:val="auto"/>
                <w:sz w:val="16"/>
                <w:szCs w:val="16"/>
              </w:rPr>
              <w:t xml:space="preserve"> </w:t>
            </w:r>
            <w:r w:rsidRPr="00ED54FD">
              <w:rPr>
                <w:color w:val="auto"/>
                <w:sz w:val="16"/>
                <w:szCs w:val="16"/>
              </w:rPr>
              <w:t>15</w:t>
            </w:r>
          </w:p>
        </w:tc>
        <w:tc>
          <w:tcPr>
            <w:tcW w:w="915"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MV</w:t>
            </w:r>
          </w:p>
        </w:tc>
        <w:tc>
          <w:tcPr>
            <w:tcW w:w="984"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CTX-M-60</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Pr>
                <w:color w:val="auto"/>
                <w:sz w:val="16"/>
                <w:szCs w:val="16"/>
              </w:rPr>
              <w:t xml:space="preserve"> </w:t>
            </w:r>
            <w:r w:rsidRPr="00ED54FD">
              <w:rPr>
                <w:color w:val="auto"/>
                <w:sz w:val="16"/>
                <w:szCs w:val="16"/>
              </w:rPr>
              <w:t>16</w:t>
            </w:r>
          </w:p>
        </w:tc>
        <w:tc>
          <w:tcPr>
            <w:tcW w:w="915" w:type="dxa"/>
            <w:tcBorders>
              <w:top w:val="single" w:sz="6" w:space="0" w:color="auto"/>
              <w:left w:val="single" w:sz="6" w:space="0" w:color="auto"/>
              <w:bottom w:val="single" w:sz="6" w:space="0" w:color="auto"/>
              <w:right w:val="single" w:sz="6" w:space="0" w:color="auto"/>
            </w:tcBorders>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M1</w:t>
            </w:r>
          </w:p>
        </w:tc>
        <w:tc>
          <w:tcPr>
            <w:tcW w:w="984" w:type="dxa"/>
            <w:tcBorders>
              <w:top w:val="single" w:sz="6" w:space="0" w:color="auto"/>
              <w:left w:val="single" w:sz="6" w:space="0" w:color="auto"/>
              <w:bottom w:val="single" w:sz="6" w:space="0" w:color="auto"/>
              <w:right w:val="single" w:sz="6" w:space="0" w:color="auto"/>
            </w:tcBorders>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w:t>
            </w:r>
          </w:p>
        </w:tc>
      </w:tr>
      <w:tr w:rsidR="00636C6C" w:rsidRPr="00ED54FD" w:rsidTr="00FE311D">
        <w:trPr>
          <w:trHeight w:val="149"/>
        </w:trPr>
        <w:tc>
          <w:tcPr>
            <w:tcW w:w="720" w:type="dxa"/>
            <w:tcBorders>
              <w:top w:val="single" w:sz="6" w:space="0" w:color="auto"/>
              <w:left w:val="single" w:sz="6" w:space="0" w:color="auto"/>
              <w:bottom w:val="single" w:sz="6" w:space="0" w:color="auto"/>
              <w:right w:val="single" w:sz="6" w:space="0" w:color="auto"/>
            </w:tcBorders>
            <w:noWrap/>
            <w:vAlign w:val="bottom"/>
          </w:tcPr>
          <w:p w:rsidR="00636C6C" w:rsidRPr="00ED54FD" w:rsidRDefault="00636C6C" w:rsidP="0050126E">
            <w:pPr>
              <w:pStyle w:val="TextotablasFiguras"/>
              <w:spacing w:line="480" w:lineRule="auto"/>
              <w:rPr>
                <w:color w:val="auto"/>
                <w:sz w:val="16"/>
                <w:szCs w:val="16"/>
              </w:rPr>
            </w:pPr>
            <w:r>
              <w:rPr>
                <w:color w:val="auto"/>
                <w:sz w:val="16"/>
                <w:szCs w:val="16"/>
              </w:rPr>
              <w:t xml:space="preserve"> </w:t>
            </w:r>
            <w:r w:rsidRPr="00ED54FD">
              <w:rPr>
                <w:color w:val="auto"/>
                <w:sz w:val="16"/>
                <w:szCs w:val="16"/>
              </w:rPr>
              <w:t>17</w:t>
            </w:r>
          </w:p>
        </w:tc>
        <w:tc>
          <w:tcPr>
            <w:tcW w:w="915" w:type="dxa"/>
            <w:tcBorders>
              <w:top w:val="single" w:sz="6" w:space="0" w:color="auto"/>
              <w:left w:val="single" w:sz="6" w:space="0" w:color="auto"/>
              <w:bottom w:val="single" w:sz="6" w:space="0" w:color="auto"/>
              <w:right w:val="single" w:sz="6" w:space="0" w:color="auto"/>
            </w:tcBorders>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M15</w:t>
            </w:r>
          </w:p>
        </w:tc>
        <w:tc>
          <w:tcPr>
            <w:tcW w:w="984" w:type="dxa"/>
            <w:tcBorders>
              <w:top w:val="single" w:sz="6" w:space="0" w:color="auto"/>
              <w:left w:val="single" w:sz="6" w:space="0" w:color="auto"/>
              <w:bottom w:val="single" w:sz="6" w:space="0" w:color="auto"/>
              <w:right w:val="single" w:sz="6" w:space="0" w:color="auto"/>
            </w:tcBorders>
            <w:vAlign w:val="bottom"/>
          </w:tcPr>
          <w:p w:rsidR="00636C6C" w:rsidRPr="00ED54FD" w:rsidRDefault="00636C6C" w:rsidP="0050126E">
            <w:pPr>
              <w:pStyle w:val="TextotablasFiguras"/>
              <w:spacing w:line="480" w:lineRule="auto"/>
              <w:rPr>
                <w:color w:val="auto"/>
                <w:sz w:val="16"/>
                <w:szCs w:val="16"/>
              </w:rPr>
            </w:pPr>
            <w:r w:rsidRPr="00ED54FD">
              <w:rPr>
                <w:color w:val="auto"/>
                <w:sz w:val="16"/>
                <w:szCs w:val="16"/>
              </w:rPr>
              <w:t>CTX-M-15</w:t>
            </w:r>
          </w:p>
        </w:tc>
      </w:tr>
    </w:tbl>
    <w:p w:rsidR="00636C6C" w:rsidRPr="00ED54FD" w:rsidRDefault="00636C6C" w:rsidP="0050126E">
      <w:pPr>
        <w:spacing w:after="240" w:line="480" w:lineRule="auto"/>
        <w:rPr>
          <w:b/>
        </w:rPr>
      </w:pPr>
      <w:r w:rsidRPr="00ED54FD">
        <w:rPr>
          <w:b/>
        </w:rPr>
        <w:t>C.</w:t>
      </w:r>
      <w:r>
        <w:rPr>
          <w:b/>
        </w:rPr>
        <w:t xml:space="preserve"> </w:t>
      </w:r>
    </w:p>
    <w:p w:rsidR="00636C6C" w:rsidRPr="00ED54FD" w:rsidRDefault="00636C6C" w:rsidP="0050126E">
      <w:pPr>
        <w:spacing w:after="240" w:line="480" w:lineRule="auto"/>
        <w:rPr>
          <w:sz w:val="16"/>
          <w:szCs w:val="16"/>
        </w:rPr>
      </w:pPr>
      <w:r w:rsidRPr="009F240D">
        <w:rPr>
          <w:noProof/>
          <w:sz w:val="16"/>
          <w:szCs w:val="16"/>
          <w:lang w:val="es-CO" w:eastAsia="es-CO"/>
        </w:rPr>
        <w:pict>
          <v:shape id="Imagen 2" o:spid="_x0000_i1026" type="#_x0000_t75" style="width:257.25pt;height:181.5pt;visibility:visible" o:bordertopcolor="black" o:borderleftcolor="black" o:borderbottomcolor="black" o:borderrightcolor="black">
            <v:imagedata r:id="rId74" o:title=""/>
            <w10:bordertop type="single" width="12"/>
            <w10:borderleft type="single" width="12"/>
            <w10:borderbottom type="single" width="12"/>
            <w10:borderright type="single" width="12"/>
          </v:shape>
        </w:pict>
      </w:r>
    </w:p>
    <w:p w:rsidR="00636C6C" w:rsidRPr="00ED54FD" w:rsidRDefault="00636C6C" w:rsidP="0050126E">
      <w:pPr>
        <w:spacing w:after="240" w:line="480" w:lineRule="auto"/>
        <w:rPr>
          <w:sz w:val="16"/>
          <w:szCs w:val="16"/>
        </w:rPr>
      </w:pPr>
    </w:p>
    <w:p w:rsidR="00636C6C" w:rsidRPr="00ED54FD" w:rsidRDefault="00636C6C" w:rsidP="0050126E">
      <w:pPr>
        <w:spacing w:after="240" w:line="480" w:lineRule="auto"/>
      </w:pPr>
      <w:r w:rsidRPr="00ED54FD">
        <w:rPr>
          <w:b/>
        </w:rPr>
        <w:t>Figura 1</w:t>
      </w:r>
      <w:r w:rsidRPr="00ED54FD">
        <w:t xml:space="preserve">. Análisis por PCR-SSCP de genes </w:t>
      </w:r>
      <w:r w:rsidRPr="00ED54FD">
        <w:rPr>
          <w:i/>
        </w:rPr>
        <w:t>bla</w:t>
      </w:r>
      <w:r w:rsidRPr="00ED54FD">
        <w:rPr>
          <w:vertAlign w:val="subscript"/>
        </w:rPr>
        <w:t>CTX-M</w:t>
      </w:r>
      <w:r w:rsidRPr="00ED54FD">
        <w:t xml:space="preserve"> amplificados por PCR y sometidos a restricción con la endonucleasa </w:t>
      </w:r>
      <w:r w:rsidRPr="00ED54FD">
        <w:rPr>
          <w:i/>
        </w:rPr>
        <w:t xml:space="preserve">Pvu </w:t>
      </w:r>
      <w:r w:rsidRPr="00ED54FD">
        <w:t>II.</w:t>
      </w:r>
      <w:r>
        <w:rPr>
          <w:b/>
        </w:rPr>
        <w:t xml:space="preserve"> </w:t>
      </w:r>
      <w:r w:rsidRPr="00ED54FD">
        <w:rPr>
          <w:b/>
        </w:rPr>
        <w:t>A.</w:t>
      </w:r>
      <w:r w:rsidRPr="00ED54FD">
        <w:t xml:space="preserve"> Relación de las muestras dispuestas en los carriles del gel de electroforesis.</w:t>
      </w:r>
      <w:r>
        <w:t xml:space="preserve"> </w:t>
      </w:r>
      <w:r w:rsidRPr="00ED54FD">
        <w:rPr>
          <w:b/>
        </w:rPr>
        <w:t>B.</w:t>
      </w:r>
      <w:r w:rsidRPr="00ED54FD">
        <w:t xml:space="preserve"> Perfiles de bandas SSCP de 13 muestras dispuestas en los carriles 1 a 13 y de los patrones M12, MV, M1 y M15 dispuestos en los carriles 14 a 17 respectivamente</w:t>
      </w:r>
      <w:r>
        <w:t xml:space="preserve">. </w:t>
      </w:r>
      <w:r w:rsidRPr="00ED54FD">
        <w:rPr>
          <w:b/>
        </w:rPr>
        <w:t>C.</w:t>
      </w:r>
      <w:r w:rsidRPr="00ED54FD">
        <w:t xml:space="preserve"> Dendograma obtenido por el método UPGMA con los perfiles de bandas de los genes</w:t>
      </w:r>
      <w:r w:rsidRPr="00ED54FD">
        <w:rPr>
          <w:i/>
        </w:rPr>
        <w:t xml:space="preserve"> bla</w:t>
      </w:r>
      <w:r w:rsidRPr="00ED54FD">
        <w:rPr>
          <w:vertAlign w:val="subscript"/>
        </w:rPr>
        <w:t xml:space="preserve">CTX-M </w:t>
      </w:r>
      <w:r w:rsidRPr="00ED54FD">
        <w:t>del grupo 1</w:t>
      </w:r>
      <w:r w:rsidRPr="00ED54FD">
        <w:rPr>
          <w:vertAlign w:val="subscript"/>
        </w:rPr>
        <w:t xml:space="preserve"> </w:t>
      </w:r>
      <w:r w:rsidRPr="00ED54FD">
        <w:t>de los</w:t>
      </w:r>
      <w:r w:rsidRPr="00ED54FD">
        <w:rPr>
          <w:vertAlign w:val="subscript"/>
        </w:rPr>
        <w:t xml:space="preserve"> </w:t>
      </w:r>
      <w:r w:rsidRPr="00ED54FD">
        <w:t>patrones</w:t>
      </w:r>
      <w:r w:rsidRPr="00ED54FD">
        <w:rPr>
          <w:vertAlign w:val="subscript"/>
        </w:rPr>
        <w:t xml:space="preserve"> </w:t>
      </w:r>
      <w:r w:rsidRPr="00ED54FD">
        <w:t>y de las muestras</w:t>
      </w:r>
      <w:r w:rsidRPr="00ED54FD">
        <w:rPr>
          <w:vertAlign w:val="subscript"/>
        </w:rPr>
        <w:t xml:space="preserve"> </w:t>
      </w:r>
      <w:r w:rsidRPr="00ED54FD">
        <w:t xml:space="preserve">numeradas en la tabla </w:t>
      </w:r>
      <w:r w:rsidRPr="00ED54FD">
        <w:rPr>
          <w:b/>
        </w:rPr>
        <w:t>A</w:t>
      </w:r>
      <w:r w:rsidRPr="00ED54FD">
        <w:t>.</w:t>
      </w:r>
    </w:p>
    <w:p w:rsidR="00636C6C" w:rsidRPr="00ED54FD" w:rsidRDefault="00636C6C" w:rsidP="0050126E">
      <w:pPr>
        <w:spacing w:after="240" w:line="480" w:lineRule="auto"/>
      </w:pPr>
    </w:p>
    <w:sectPr w:rsidR="00636C6C" w:rsidRPr="00ED54FD" w:rsidSect="00F17C75">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C6C" w:rsidRDefault="00636C6C">
      <w:r>
        <w:separator/>
      </w:r>
    </w:p>
  </w:endnote>
  <w:endnote w:type="continuationSeparator" w:id="0">
    <w:p w:rsidR="00636C6C" w:rsidRDefault="00636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PJKXK+Avenir-Roman">
    <w:altName w:val="Aveni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C6C" w:rsidRDefault="00636C6C">
      <w:r>
        <w:separator/>
      </w:r>
    </w:p>
  </w:footnote>
  <w:footnote w:type="continuationSeparator" w:id="0">
    <w:p w:rsidR="00636C6C" w:rsidRDefault="00636C6C">
      <w:r>
        <w:continuationSeparator/>
      </w:r>
    </w:p>
  </w:footnote>
  <w:footnote w:id="1">
    <w:p w:rsidR="00636C6C" w:rsidRDefault="00636C6C" w:rsidP="006718B9">
      <w:pPr>
        <w:pStyle w:val="FootnoteText"/>
      </w:pPr>
      <w:r>
        <w:t xml:space="preserve"> </w:t>
      </w:r>
      <w:r w:rsidRPr="00ED54FD">
        <w:rPr>
          <w:rStyle w:val="FootnoteReference"/>
        </w:rPr>
        <w:t>*</w:t>
      </w:r>
      <w:r w:rsidRPr="00B22C50">
        <w:t>Químico Farmacéutico, M</w:t>
      </w:r>
      <w:r>
        <w:t xml:space="preserve">. </w:t>
      </w:r>
      <w:r w:rsidRPr="00B22C50">
        <w:t>Sc.</w:t>
      </w:r>
      <w:r>
        <w:t>,</w:t>
      </w:r>
      <w:r w:rsidRPr="00B22C50">
        <w:t xml:space="preserve"> Instituto de Biotecnología, Universidad Nacional de Colombia, Avenida 30 No. 45-03</w:t>
      </w:r>
      <w:r>
        <w:t>,</w:t>
      </w:r>
      <w:r w:rsidRPr="00B22C50">
        <w:t xml:space="preserve"> Edificio Manuel Ancízar. jrmantillaa@unal.edu.co</w:t>
      </w:r>
    </w:p>
  </w:footnote>
  <w:footnote w:id="2">
    <w:p w:rsidR="00636C6C" w:rsidRPr="00B22C50" w:rsidRDefault="00636C6C" w:rsidP="006718B9">
      <w:pPr>
        <w:pStyle w:val="FootnoteText"/>
      </w:pPr>
    </w:p>
    <w:p w:rsidR="00636C6C" w:rsidRDefault="00636C6C" w:rsidP="006718B9">
      <w:pPr>
        <w:pStyle w:val="FootnoteText"/>
      </w:pPr>
      <w:r w:rsidRPr="00B22C50">
        <w:rPr>
          <w:rStyle w:val="FootnoteReference"/>
        </w:rPr>
        <w:t>*</w:t>
      </w:r>
      <w:r w:rsidRPr="00B22C50">
        <w:t xml:space="preserve"> </w:t>
      </w:r>
      <w:r w:rsidRPr="00B22C50">
        <w:rPr>
          <w:rStyle w:val="FootnoteReference"/>
        </w:rPr>
        <w:t>*</w:t>
      </w:r>
      <w:r w:rsidRPr="00B22C50">
        <w:t xml:space="preserve"> Químico Farmacéutico, M</w:t>
      </w:r>
      <w:r>
        <w:t xml:space="preserve">. </w:t>
      </w:r>
      <w:r w:rsidRPr="00B22C50">
        <w:t>Sc</w:t>
      </w:r>
      <w:r>
        <w:t>.</w:t>
      </w:r>
      <w:r w:rsidRPr="00B22C50">
        <w:t>, Ph</w:t>
      </w:r>
      <w:r>
        <w:t xml:space="preserve">. </w:t>
      </w:r>
      <w:r w:rsidRPr="00B22C50">
        <w:t>D.</w:t>
      </w:r>
      <w:r>
        <w:t>,</w:t>
      </w:r>
      <w:r w:rsidRPr="00B22C50">
        <w:t xml:space="preserve"> Instituto de Biotecnología, Universidad Nacional de Colombia</w:t>
      </w:r>
      <w:r>
        <w:t>.</w:t>
      </w:r>
      <w:r w:rsidRPr="00B22C50">
        <w:t xml:space="preserve"> </w:t>
      </w:r>
      <w:smartTag w:uri="urn:schemas-microsoft-com:office:smarttags" w:element="PersonName">
        <w:r w:rsidRPr="00B22C50">
          <w:t>ebarretoh@unal.edu.co</w:t>
        </w:r>
      </w:smartTag>
    </w:p>
  </w:footnote>
  <w:footnote w:id="3">
    <w:p w:rsidR="00636C6C" w:rsidRDefault="00636C6C" w:rsidP="006718B9">
      <w:pPr>
        <w:pStyle w:val="FootnoteText"/>
      </w:pPr>
    </w:p>
  </w:footnote>
  <w:footnote w:id="4">
    <w:p w:rsidR="00636C6C" w:rsidRDefault="00636C6C" w:rsidP="006718B9">
      <w:pPr>
        <w:pStyle w:val="FootnoteText"/>
      </w:pPr>
    </w:p>
  </w:footnote>
  <w:footnote w:id="5">
    <w:p w:rsidR="00636C6C" w:rsidRDefault="00636C6C" w:rsidP="006718B9">
      <w:pPr>
        <w:pStyle w:val="FootnoteText"/>
      </w:pPr>
      <w:r w:rsidRPr="00B22C50">
        <w:rPr>
          <w:rStyle w:val="FootnoteReference"/>
        </w:rPr>
        <w:t>***</w:t>
      </w:r>
      <w:r w:rsidRPr="00B22C50">
        <w:t xml:space="preserve"> Química Farmacéutica, M</w:t>
      </w:r>
      <w:r>
        <w:t xml:space="preserve">. </w:t>
      </w:r>
      <w:r w:rsidRPr="00B22C50">
        <w:t>Sc.</w:t>
      </w:r>
      <w:r>
        <w:t>,</w:t>
      </w:r>
      <w:r w:rsidRPr="00B22C50">
        <w:t xml:space="preserve"> Instituto de Biotecnología, Universidad Nacional de Colombia</w:t>
      </w:r>
      <w:r>
        <w:t>.</w:t>
      </w:r>
      <w:r w:rsidRPr="00B22C50">
        <w:t xml:space="preserve"> </w:t>
      </w:r>
      <w:smartTag w:uri="urn:schemas-microsoft-com:office:smarttags" w:element="PersonName">
        <w:r w:rsidRPr="00B22C50">
          <w:t>mtregueror@unal.edu.co</w:t>
        </w:r>
      </w:smartTag>
    </w:p>
  </w:footnote>
  <w:footnote w:id="6">
    <w:p w:rsidR="00636C6C" w:rsidRDefault="00636C6C" w:rsidP="006718B9">
      <w:pPr>
        <w:pStyle w:val="FootnoteText"/>
      </w:pPr>
    </w:p>
  </w:footnote>
  <w:footnote w:id="7">
    <w:p w:rsidR="00636C6C" w:rsidRDefault="00636C6C" w:rsidP="006718B9">
      <w:pPr>
        <w:pStyle w:val="FootnoteText"/>
      </w:pPr>
      <w:r w:rsidRPr="00B22C50">
        <w:rPr>
          <w:rStyle w:val="FootnoteReference"/>
        </w:rPr>
        <w:t>****</w:t>
      </w:r>
      <w:r w:rsidRPr="00B22C50">
        <w:t xml:space="preserve"> Químico, M</w:t>
      </w:r>
      <w:r>
        <w:t xml:space="preserve">. </w:t>
      </w:r>
      <w:r w:rsidRPr="00B22C50">
        <w:t>Sc.</w:t>
      </w:r>
      <w:r>
        <w:t>,</w:t>
      </w:r>
      <w:r w:rsidRPr="00B22C50">
        <w:t xml:space="preserve"> Instituto de Biotecnología, Universidad Nacional de Colombia</w:t>
      </w:r>
      <w:r>
        <w:t xml:space="preserve">. </w:t>
      </w:r>
      <w:r w:rsidRPr="00B22C50">
        <w:t xml:space="preserve"> davelandiar@unal.edu.co</w:t>
      </w:r>
    </w:p>
  </w:footnote>
  <w:footnote w:id="8">
    <w:p w:rsidR="00636C6C" w:rsidRDefault="00636C6C" w:rsidP="006718B9">
      <w:pPr>
        <w:pStyle w:val="FootnoteText"/>
      </w:pPr>
    </w:p>
  </w:footnote>
  <w:footnote w:id="9">
    <w:p w:rsidR="00636C6C" w:rsidRDefault="00636C6C" w:rsidP="006718B9">
      <w:pPr>
        <w:pStyle w:val="FootnoteText"/>
      </w:pPr>
    </w:p>
  </w:footnote>
  <w:footnote w:id="10">
    <w:p w:rsidR="00636C6C" w:rsidRDefault="00636C6C" w:rsidP="006718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6364"/>
    <w:multiLevelType w:val="hybridMultilevel"/>
    <w:tmpl w:val="6CC89190"/>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AA57D4B"/>
    <w:multiLevelType w:val="hybridMultilevel"/>
    <w:tmpl w:val="B99E96AA"/>
    <w:lvl w:ilvl="0" w:tplc="E14E2D2E">
      <w:start w:val="39"/>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0AD94C2D"/>
    <w:multiLevelType w:val="hybridMultilevel"/>
    <w:tmpl w:val="4344F7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E48086E"/>
    <w:multiLevelType w:val="hybridMultilevel"/>
    <w:tmpl w:val="12549C92"/>
    <w:lvl w:ilvl="0" w:tplc="86863EDC">
      <w:start w:val="53"/>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139863BA"/>
    <w:multiLevelType w:val="hybridMultilevel"/>
    <w:tmpl w:val="08808654"/>
    <w:lvl w:ilvl="0" w:tplc="2CBEEF82">
      <w:start w:val="25"/>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650388A"/>
    <w:multiLevelType w:val="hybridMultilevel"/>
    <w:tmpl w:val="E33058E4"/>
    <w:lvl w:ilvl="0" w:tplc="6C988E8A">
      <w:start w:val="74"/>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1FBF1DFC"/>
    <w:multiLevelType w:val="hybridMultilevel"/>
    <w:tmpl w:val="620A7D36"/>
    <w:lvl w:ilvl="0" w:tplc="FFFFFFFF">
      <w:start w:val="1"/>
      <w:numFmt w:val="decimal"/>
      <w:pStyle w:val="Figuras"/>
      <w:lvlText w:val="Figura %1."/>
      <w:lvlJc w:val="left"/>
      <w:pPr>
        <w:tabs>
          <w:tab w:val="num" w:pos="720"/>
        </w:tabs>
        <w:ind w:left="720" w:hanging="360"/>
      </w:pPr>
      <w:rPr>
        <w:rFonts w:cs="Times New Roman" w:hint="default"/>
        <w:b/>
        <w:i w:val="0"/>
      </w:rPr>
    </w:lvl>
    <w:lvl w:ilvl="1" w:tplc="0C0A0001">
      <w:start w:val="1"/>
      <w:numFmt w:val="bullet"/>
      <w:lvlText w:val=""/>
      <w:lvlJc w:val="left"/>
      <w:pPr>
        <w:tabs>
          <w:tab w:val="num" w:pos="1440"/>
        </w:tabs>
        <w:ind w:left="1440" w:hanging="360"/>
      </w:pPr>
      <w:rPr>
        <w:rFonts w:ascii="Symbol" w:hAnsi="Symbol" w:hint="default"/>
        <w:b/>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28515AE7"/>
    <w:multiLevelType w:val="hybridMultilevel"/>
    <w:tmpl w:val="98D00DA6"/>
    <w:lvl w:ilvl="0" w:tplc="06BA8B6E">
      <w:start w:val="16"/>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2D844AE7"/>
    <w:multiLevelType w:val="hybridMultilevel"/>
    <w:tmpl w:val="0FFA3586"/>
    <w:lvl w:ilvl="0" w:tplc="5002C256">
      <w:start w:val="50"/>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2EA64F18"/>
    <w:multiLevelType w:val="hybridMultilevel"/>
    <w:tmpl w:val="261C65B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37C95DA7"/>
    <w:multiLevelType w:val="hybridMultilevel"/>
    <w:tmpl w:val="6C78A66E"/>
    <w:lvl w:ilvl="0" w:tplc="5A26EADA">
      <w:start w:val="38"/>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3B3D606E"/>
    <w:multiLevelType w:val="hybridMultilevel"/>
    <w:tmpl w:val="F692F99A"/>
    <w:lvl w:ilvl="0" w:tplc="DB84ECC6">
      <w:start w:val="66"/>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3D2F06FB"/>
    <w:multiLevelType w:val="hybridMultilevel"/>
    <w:tmpl w:val="E9F86742"/>
    <w:lvl w:ilvl="0" w:tplc="716CBA0C">
      <w:start w:val="85"/>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456C1483"/>
    <w:multiLevelType w:val="hybridMultilevel"/>
    <w:tmpl w:val="9D9E65F8"/>
    <w:lvl w:ilvl="0" w:tplc="FCDAE840">
      <w:start w:val="58"/>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50B73F68"/>
    <w:multiLevelType w:val="hybridMultilevel"/>
    <w:tmpl w:val="68A63BF6"/>
    <w:lvl w:ilvl="0" w:tplc="01100F3A">
      <w:start w:val="55"/>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51741F5E"/>
    <w:multiLevelType w:val="hybridMultilevel"/>
    <w:tmpl w:val="E1528D18"/>
    <w:lvl w:ilvl="0" w:tplc="232A5FC8">
      <w:start w:val="12"/>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56386EA9"/>
    <w:multiLevelType w:val="hybridMultilevel"/>
    <w:tmpl w:val="112AB53A"/>
    <w:lvl w:ilvl="0" w:tplc="86863EDC">
      <w:start w:val="53"/>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5F4D4AAF"/>
    <w:multiLevelType w:val="hybridMultilevel"/>
    <w:tmpl w:val="ADCA8D90"/>
    <w:lvl w:ilvl="0" w:tplc="5D84ED3C">
      <w:start w:val="78"/>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61DD34C2"/>
    <w:multiLevelType w:val="hybridMultilevel"/>
    <w:tmpl w:val="0CC64994"/>
    <w:lvl w:ilvl="0" w:tplc="ADD2FABE">
      <w:start w:val="69"/>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65244F7B"/>
    <w:multiLevelType w:val="hybridMultilevel"/>
    <w:tmpl w:val="770A21AE"/>
    <w:lvl w:ilvl="0" w:tplc="FEB03A5E">
      <w:start w:val="77"/>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65886163"/>
    <w:multiLevelType w:val="hybridMultilevel"/>
    <w:tmpl w:val="47363BF0"/>
    <w:lvl w:ilvl="0" w:tplc="733AF9EA">
      <w:start w:val="28"/>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6F30589D"/>
    <w:multiLevelType w:val="hybridMultilevel"/>
    <w:tmpl w:val="68AE350C"/>
    <w:lvl w:ilvl="0" w:tplc="02EA3BBE">
      <w:start w:val="19"/>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73DD2D1D"/>
    <w:multiLevelType w:val="hybridMultilevel"/>
    <w:tmpl w:val="D47407E8"/>
    <w:lvl w:ilvl="0" w:tplc="803CDD98">
      <w:start w:val="2"/>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77845323"/>
    <w:multiLevelType w:val="hybridMultilevel"/>
    <w:tmpl w:val="6C8CC0BE"/>
    <w:lvl w:ilvl="0" w:tplc="17D6E2BE">
      <w:start w:val="1"/>
      <w:numFmt w:val="decimal"/>
      <w:pStyle w:val="Tablas"/>
      <w:lvlText w:val="Tabla %1."/>
      <w:lvlJc w:val="left"/>
      <w:pPr>
        <w:tabs>
          <w:tab w:val="num" w:pos="531"/>
        </w:tabs>
        <w:ind w:left="531" w:hanging="360"/>
      </w:pPr>
      <w:rPr>
        <w:rFonts w:ascii="Times New Roman" w:hAnsi="Times New Roman" w:cs="Times New Roman" w:hint="default"/>
        <w:b/>
        <w:i w:val="0"/>
        <w:sz w:val="24"/>
        <w:szCs w:val="24"/>
      </w:rPr>
    </w:lvl>
    <w:lvl w:ilvl="1" w:tplc="2C58930A" w:tentative="1">
      <w:start w:val="1"/>
      <w:numFmt w:val="lowerLetter"/>
      <w:lvlText w:val="%2."/>
      <w:lvlJc w:val="left"/>
      <w:pPr>
        <w:tabs>
          <w:tab w:val="num" w:pos="1251"/>
        </w:tabs>
        <w:ind w:left="1251" w:hanging="360"/>
      </w:pPr>
      <w:rPr>
        <w:rFonts w:cs="Times New Roman"/>
      </w:rPr>
    </w:lvl>
    <w:lvl w:ilvl="2" w:tplc="4900F2FE" w:tentative="1">
      <w:start w:val="1"/>
      <w:numFmt w:val="lowerRoman"/>
      <w:lvlText w:val="%3."/>
      <w:lvlJc w:val="right"/>
      <w:pPr>
        <w:tabs>
          <w:tab w:val="num" w:pos="1971"/>
        </w:tabs>
        <w:ind w:left="1971" w:hanging="180"/>
      </w:pPr>
      <w:rPr>
        <w:rFonts w:cs="Times New Roman"/>
      </w:rPr>
    </w:lvl>
    <w:lvl w:ilvl="3" w:tplc="0C0A000F" w:tentative="1">
      <w:start w:val="1"/>
      <w:numFmt w:val="decimal"/>
      <w:lvlText w:val="%4."/>
      <w:lvlJc w:val="left"/>
      <w:pPr>
        <w:tabs>
          <w:tab w:val="num" w:pos="2691"/>
        </w:tabs>
        <w:ind w:left="2691" w:hanging="360"/>
      </w:pPr>
      <w:rPr>
        <w:rFonts w:cs="Times New Roman"/>
      </w:rPr>
    </w:lvl>
    <w:lvl w:ilvl="4" w:tplc="0C0A0019" w:tentative="1">
      <w:start w:val="1"/>
      <w:numFmt w:val="lowerLetter"/>
      <w:lvlText w:val="%5."/>
      <w:lvlJc w:val="left"/>
      <w:pPr>
        <w:tabs>
          <w:tab w:val="num" w:pos="3411"/>
        </w:tabs>
        <w:ind w:left="3411" w:hanging="360"/>
      </w:pPr>
      <w:rPr>
        <w:rFonts w:cs="Times New Roman"/>
      </w:rPr>
    </w:lvl>
    <w:lvl w:ilvl="5" w:tplc="0C0A001B" w:tentative="1">
      <w:start w:val="1"/>
      <w:numFmt w:val="lowerRoman"/>
      <w:lvlText w:val="%6."/>
      <w:lvlJc w:val="right"/>
      <w:pPr>
        <w:tabs>
          <w:tab w:val="num" w:pos="4131"/>
        </w:tabs>
        <w:ind w:left="4131" w:hanging="180"/>
      </w:pPr>
      <w:rPr>
        <w:rFonts w:cs="Times New Roman"/>
      </w:rPr>
    </w:lvl>
    <w:lvl w:ilvl="6" w:tplc="0C0A000F" w:tentative="1">
      <w:start w:val="1"/>
      <w:numFmt w:val="decimal"/>
      <w:lvlText w:val="%7."/>
      <w:lvlJc w:val="left"/>
      <w:pPr>
        <w:tabs>
          <w:tab w:val="num" w:pos="4851"/>
        </w:tabs>
        <w:ind w:left="4851" w:hanging="360"/>
      </w:pPr>
      <w:rPr>
        <w:rFonts w:cs="Times New Roman"/>
      </w:rPr>
    </w:lvl>
    <w:lvl w:ilvl="7" w:tplc="0C0A0019" w:tentative="1">
      <w:start w:val="1"/>
      <w:numFmt w:val="lowerLetter"/>
      <w:lvlText w:val="%8."/>
      <w:lvlJc w:val="left"/>
      <w:pPr>
        <w:tabs>
          <w:tab w:val="num" w:pos="5571"/>
        </w:tabs>
        <w:ind w:left="5571" w:hanging="360"/>
      </w:pPr>
      <w:rPr>
        <w:rFonts w:cs="Times New Roman"/>
      </w:rPr>
    </w:lvl>
    <w:lvl w:ilvl="8" w:tplc="0C0A001B" w:tentative="1">
      <w:start w:val="1"/>
      <w:numFmt w:val="lowerRoman"/>
      <w:lvlText w:val="%9."/>
      <w:lvlJc w:val="right"/>
      <w:pPr>
        <w:tabs>
          <w:tab w:val="num" w:pos="6291"/>
        </w:tabs>
        <w:ind w:left="6291" w:hanging="180"/>
      </w:pPr>
      <w:rPr>
        <w:rFonts w:cs="Times New Roman"/>
      </w:rPr>
    </w:lvl>
  </w:abstractNum>
  <w:num w:numId="1">
    <w:abstractNumId w:val="2"/>
  </w:num>
  <w:num w:numId="2">
    <w:abstractNumId w:val="6"/>
  </w:num>
  <w:num w:numId="3">
    <w:abstractNumId w:val="23"/>
  </w:num>
  <w:num w:numId="4">
    <w:abstractNumId w:val="0"/>
  </w:num>
  <w:num w:numId="5">
    <w:abstractNumId w:val="18"/>
  </w:num>
  <w:num w:numId="6">
    <w:abstractNumId w:val="4"/>
  </w:num>
  <w:num w:numId="7">
    <w:abstractNumId w:val="21"/>
  </w:num>
  <w:num w:numId="8">
    <w:abstractNumId w:val="13"/>
  </w:num>
  <w:num w:numId="9">
    <w:abstractNumId w:val="11"/>
  </w:num>
  <w:num w:numId="10">
    <w:abstractNumId w:val="5"/>
  </w:num>
  <w:num w:numId="11">
    <w:abstractNumId w:val="15"/>
  </w:num>
  <w:num w:numId="12">
    <w:abstractNumId w:val="7"/>
  </w:num>
  <w:num w:numId="13">
    <w:abstractNumId w:val="1"/>
  </w:num>
  <w:num w:numId="14">
    <w:abstractNumId w:val="14"/>
  </w:num>
  <w:num w:numId="15">
    <w:abstractNumId w:val="17"/>
  </w:num>
  <w:num w:numId="16">
    <w:abstractNumId w:val="10"/>
  </w:num>
  <w:num w:numId="17">
    <w:abstractNumId w:val="8"/>
  </w:num>
  <w:num w:numId="18">
    <w:abstractNumId w:val="22"/>
  </w:num>
  <w:num w:numId="19">
    <w:abstractNumId w:val="20"/>
  </w:num>
  <w:num w:numId="20">
    <w:abstractNumId w:val="19"/>
  </w:num>
  <w:num w:numId="21">
    <w:abstractNumId w:val="12"/>
  </w:num>
  <w:num w:numId="22">
    <w:abstractNumId w:val="16"/>
  </w:num>
  <w:num w:numId="23">
    <w:abstractNumId w:val="3"/>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stylePaneFormatFilter w:val="3F01"/>
  <w:trackRevisions/>
  <w:defaultTabStop w:val="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7F2"/>
    <w:rsid w:val="00004817"/>
    <w:rsid w:val="00025C95"/>
    <w:rsid w:val="00051FCA"/>
    <w:rsid w:val="00055CA5"/>
    <w:rsid w:val="000745F0"/>
    <w:rsid w:val="000822C9"/>
    <w:rsid w:val="00094F9A"/>
    <w:rsid w:val="000E7CCE"/>
    <w:rsid w:val="00103164"/>
    <w:rsid w:val="001E42C2"/>
    <w:rsid w:val="00241964"/>
    <w:rsid w:val="0025154E"/>
    <w:rsid w:val="002970A0"/>
    <w:rsid w:val="002C0443"/>
    <w:rsid w:val="002F7598"/>
    <w:rsid w:val="0032175C"/>
    <w:rsid w:val="003251E8"/>
    <w:rsid w:val="003A5538"/>
    <w:rsid w:val="00450995"/>
    <w:rsid w:val="00474631"/>
    <w:rsid w:val="0049630B"/>
    <w:rsid w:val="004B0DDF"/>
    <w:rsid w:val="0050126E"/>
    <w:rsid w:val="0050358D"/>
    <w:rsid w:val="00506A13"/>
    <w:rsid w:val="00535D59"/>
    <w:rsid w:val="00587711"/>
    <w:rsid w:val="005A591E"/>
    <w:rsid w:val="005D06E1"/>
    <w:rsid w:val="005E6ABB"/>
    <w:rsid w:val="00636C6C"/>
    <w:rsid w:val="00651EFE"/>
    <w:rsid w:val="006718B9"/>
    <w:rsid w:val="00673095"/>
    <w:rsid w:val="006834FE"/>
    <w:rsid w:val="006B3F82"/>
    <w:rsid w:val="006C5AC7"/>
    <w:rsid w:val="00722233"/>
    <w:rsid w:val="007261D8"/>
    <w:rsid w:val="0079332A"/>
    <w:rsid w:val="007D2D0D"/>
    <w:rsid w:val="007F3E99"/>
    <w:rsid w:val="00810887"/>
    <w:rsid w:val="008507C0"/>
    <w:rsid w:val="00861F44"/>
    <w:rsid w:val="00884AB3"/>
    <w:rsid w:val="008A6356"/>
    <w:rsid w:val="008B2F35"/>
    <w:rsid w:val="008B3177"/>
    <w:rsid w:val="009426F1"/>
    <w:rsid w:val="00942D89"/>
    <w:rsid w:val="00980236"/>
    <w:rsid w:val="009B31C6"/>
    <w:rsid w:val="009B4B77"/>
    <w:rsid w:val="009C61F7"/>
    <w:rsid w:val="009F240D"/>
    <w:rsid w:val="00A00401"/>
    <w:rsid w:val="00A16ABB"/>
    <w:rsid w:val="00A347A2"/>
    <w:rsid w:val="00A37D12"/>
    <w:rsid w:val="00AD7083"/>
    <w:rsid w:val="00AD7A38"/>
    <w:rsid w:val="00B01BEC"/>
    <w:rsid w:val="00B069CA"/>
    <w:rsid w:val="00B1180B"/>
    <w:rsid w:val="00B17114"/>
    <w:rsid w:val="00B22C50"/>
    <w:rsid w:val="00B417B5"/>
    <w:rsid w:val="00BE2F61"/>
    <w:rsid w:val="00C41D41"/>
    <w:rsid w:val="00C4503D"/>
    <w:rsid w:val="00C53FE5"/>
    <w:rsid w:val="00C71131"/>
    <w:rsid w:val="00C72FEA"/>
    <w:rsid w:val="00C9399F"/>
    <w:rsid w:val="00D41817"/>
    <w:rsid w:val="00D6525D"/>
    <w:rsid w:val="00D95C39"/>
    <w:rsid w:val="00DE3FD5"/>
    <w:rsid w:val="00DE5D85"/>
    <w:rsid w:val="00E03699"/>
    <w:rsid w:val="00E11875"/>
    <w:rsid w:val="00E667F2"/>
    <w:rsid w:val="00E762AB"/>
    <w:rsid w:val="00E811DB"/>
    <w:rsid w:val="00E94A75"/>
    <w:rsid w:val="00ED54FD"/>
    <w:rsid w:val="00EE0C32"/>
    <w:rsid w:val="00EE622F"/>
    <w:rsid w:val="00F00211"/>
    <w:rsid w:val="00F17C75"/>
    <w:rsid w:val="00F646EA"/>
    <w:rsid w:val="00F777DE"/>
    <w:rsid w:val="00FE311D"/>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7F2"/>
    <w:rPr>
      <w:sz w:val="24"/>
      <w:szCs w:val="24"/>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667F2"/>
    <w:rPr>
      <w:rFonts w:cs="Times New Roman"/>
      <w:color w:val="0000FF"/>
      <w:u w:val="single"/>
    </w:rPr>
  </w:style>
  <w:style w:type="paragraph" w:styleId="FootnoteText">
    <w:name w:val="footnote text"/>
    <w:basedOn w:val="Normal"/>
    <w:link w:val="FootnoteTextChar"/>
    <w:uiPriority w:val="99"/>
    <w:semiHidden/>
    <w:rsid w:val="00E667F2"/>
    <w:rPr>
      <w:sz w:val="20"/>
      <w:szCs w:val="20"/>
    </w:rPr>
  </w:style>
  <w:style w:type="character" w:customStyle="1" w:styleId="FootnoteTextChar">
    <w:name w:val="Footnote Text Char"/>
    <w:basedOn w:val="DefaultParagraphFont"/>
    <w:link w:val="FootnoteText"/>
    <w:uiPriority w:val="99"/>
    <w:semiHidden/>
    <w:rsid w:val="002A7CCF"/>
    <w:rPr>
      <w:sz w:val="20"/>
      <w:szCs w:val="20"/>
      <w:lang w:val="es-ES" w:eastAsia="es-ES"/>
    </w:rPr>
  </w:style>
  <w:style w:type="character" w:styleId="FootnoteReference">
    <w:name w:val="footnote reference"/>
    <w:basedOn w:val="DefaultParagraphFont"/>
    <w:uiPriority w:val="99"/>
    <w:semiHidden/>
    <w:rsid w:val="00E667F2"/>
    <w:rPr>
      <w:rFonts w:cs="Times New Roman"/>
      <w:vertAlign w:val="superscript"/>
    </w:rPr>
  </w:style>
  <w:style w:type="character" w:styleId="CommentReference">
    <w:name w:val="annotation reference"/>
    <w:basedOn w:val="DefaultParagraphFont"/>
    <w:uiPriority w:val="99"/>
    <w:rsid w:val="00E667F2"/>
    <w:rPr>
      <w:rFonts w:cs="Times New Roman"/>
      <w:sz w:val="18"/>
      <w:szCs w:val="18"/>
    </w:rPr>
  </w:style>
  <w:style w:type="paragraph" w:styleId="CommentText">
    <w:name w:val="annotation text"/>
    <w:basedOn w:val="Normal"/>
    <w:link w:val="CommentTextChar"/>
    <w:uiPriority w:val="99"/>
    <w:rsid w:val="00E667F2"/>
  </w:style>
  <w:style w:type="character" w:customStyle="1" w:styleId="CommentTextChar">
    <w:name w:val="Comment Text Char"/>
    <w:basedOn w:val="DefaultParagraphFont"/>
    <w:link w:val="CommentText"/>
    <w:uiPriority w:val="99"/>
    <w:locked/>
    <w:rsid w:val="00E667F2"/>
    <w:rPr>
      <w:rFonts w:cs="Times New Roman"/>
      <w:sz w:val="24"/>
      <w:szCs w:val="24"/>
      <w:lang w:val="es-ES" w:eastAsia="es-ES" w:bidi="ar-SA"/>
    </w:rPr>
  </w:style>
  <w:style w:type="paragraph" w:customStyle="1" w:styleId="Figuras">
    <w:name w:val="Figuras"/>
    <w:basedOn w:val="Normal"/>
    <w:next w:val="TextotablasFiguras"/>
    <w:uiPriority w:val="99"/>
    <w:rsid w:val="00E667F2"/>
    <w:pPr>
      <w:numPr>
        <w:numId w:val="2"/>
      </w:numPr>
      <w:spacing w:after="240"/>
    </w:pPr>
    <w:rPr>
      <w:lang w:val="es-CO" w:eastAsia="en-US"/>
    </w:rPr>
  </w:style>
  <w:style w:type="table" w:styleId="TableGrid">
    <w:name w:val="Table Grid"/>
    <w:basedOn w:val="TableNormal"/>
    <w:uiPriority w:val="99"/>
    <w:rsid w:val="00E667F2"/>
    <w:pPr>
      <w:spacing w:before="60" w:after="6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tablasFiguras">
    <w:name w:val="Texto tablas&amp;Figuras"/>
    <w:basedOn w:val="Figuras"/>
    <w:link w:val="TextotablasFigurasCar"/>
    <w:uiPriority w:val="99"/>
    <w:rsid w:val="00E667F2"/>
    <w:pPr>
      <w:numPr>
        <w:numId w:val="0"/>
      </w:numPr>
      <w:spacing w:after="0"/>
    </w:pPr>
    <w:rPr>
      <w:color w:val="000000"/>
      <w:sz w:val="20"/>
      <w:szCs w:val="20"/>
      <w:lang w:eastAsia="es-CO"/>
    </w:rPr>
  </w:style>
  <w:style w:type="character" w:customStyle="1" w:styleId="TextotablasFigurasCar">
    <w:name w:val="Texto tablas&amp;Figuras Car"/>
    <w:basedOn w:val="DefaultParagraphFont"/>
    <w:link w:val="TextotablasFiguras"/>
    <w:uiPriority w:val="99"/>
    <w:locked/>
    <w:rsid w:val="00E667F2"/>
    <w:rPr>
      <w:rFonts w:cs="Times New Roman"/>
      <w:color w:val="000000"/>
      <w:lang w:bidi="ar-SA"/>
    </w:rPr>
  </w:style>
  <w:style w:type="paragraph" w:customStyle="1" w:styleId="Tablas">
    <w:name w:val="Tablas"/>
    <w:basedOn w:val="Normal"/>
    <w:next w:val="Normal"/>
    <w:link w:val="TablasCar"/>
    <w:uiPriority w:val="99"/>
    <w:rsid w:val="00E667F2"/>
    <w:pPr>
      <w:numPr>
        <w:numId w:val="3"/>
      </w:numPr>
      <w:spacing w:after="80"/>
      <w:ind w:right="284"/>
      <w:jc w:val="both"/>
    </w:pPr>
    <w:rPr>
      <w:lang w:val="es-CO" w:eastAsia="en-US"/>
    </w:rPr>
  </w:style>
  <w:style w:type="character" w:customStyle="1" w:styleId="TablasCar">
    <w:name w:val="Tablas Car"/>
    <w:basedOn w:val="DefaultParagraphFont"/>
    <w:link w:val="Tablas"/>
    <w:uiPriority w:val="99"/>
    <w:locked/>
    <w:rsid w:val="00E667F2"/>
    <w:rPr>
      <w:rFonts w:cs="Times New Roman"/>
      <w:sz w:val="24"/>
      <w:szCs w:val="24"/>
      <w:lang w:val="es-CO" w:eastAsia="en-US" w:bidi="ar-SA"/>
    </w:rPr>
  </w:style>
  <w:style w:type="paragraph" w:styleId="BalloonText">
    <w:name w:val="Balloon Text"/>
    <w:basedOn w:val="Normal"/>
    <w:link w:val="BalloonTextChar"/>
    <w:uiPriority w:val="99"/>
    <w:semiHidden/>
    <w:rsid w:val="00E667F2"/>
    <w:rPr>
      <w:rFonts w:ascii="Tahoma" w:hAnsi="Tahoma" w:cs="Tahoma"/>
      <w:sz w:val="16"/>
      <w:szCs w:val="16"/>
    </w:rPr>
  </w:style>
  <w:style w:type="character" w:customStyle="1" w:styleId="BalloonTextChar">
    <w:name w:val="Balloon Text Char"/>
    <w:basedOn w:val="DefaultParagraphFont"/>
    <w:link w:val="BalloonText"/>
    <w:uiPriority w:val="99"/>
    <w:semiHidden/>
    <w:rsid w:val="002A7CCF"/>
    <w:rPr>
      <w:sz w:val="0"/>
      <w:szCs w:val="0"/>
      <w:lang w:val="es-ES" w:eastAsia="es-ES"/>
    </w:r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semiHidden/>
    <w:rsid w:val="002A7CCF"/>
    <w:rPr>
      <w:sz w:val="24"/>
      <w:szCs w:val="24"/>
      <w:lang w:val="es-ES" w:eastAsia="es-ES"/>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semiHidden/>
    <w:rsid w:val="002A7CCF"/>
    <w:rPr>
      <w:sz w:val="24"/>
      <w:szCs w:val="24"/>
      <w:lang w:val="es-ES" w:eastAsia="es-ES"/>
    </w:rPr>
  </w:style>
  <w:style w:type="character" w:styleId="Strong">
    <w:name w:val="Strong"/>
    <w:basedOn w:val="DefaultParagraphFont"/>
    <w:uiPriority w:val="99"/>
    <w:qFormat/>
    <w:rPr>
      <w:rFonts w:cs="Times New Roman"/>
      <w:b/>
      <w:bCs/>
    </w:rPr>
  </w:style>
  <w:style w:type="character" w:styleId="Emphasis">
    <w:name w:val="Emphasis"/>
    <w:basedOn w:val="DefaultParagraphFont"/>
    <w:uiPriority w:val="99"/>
    <w:qFormat/>
    <w:rPr>
      <w:rFonts w:cs="Times New Roman"/>
      <w:i/>
      <w:iCs/>
    </w:rPr>
  </w:style>
  <w:style w:type="paragraph" w:customStyle="1" w:styleId="title1">
    <w:name w:val="title1"/>
    <w:basedOn w:val="Normal"/>
    <w:uiPriority w:val="99"/>
    <w:pPr>
      <w:spacing w:before="100" w:beforeAutospacing="1"/>
      <w:ind w:left="825"/>
    </w:pPr>
    <w:rPr>
      <w:sz w:val="22"/>
      <w:szCs w:val="22"/>
    </w:rPr>
  </w:style>
  <w:style w:type="paragraph" w:customStyle="1" w:styleId="authors1">
    <w:name w:val="authors1"/>
    <w:basedOn w:val="Normal"/>
    <w:uiPriority w:val="99"/>
    <w:pPr>
      <w:spacing w:before="72" w:line="240" w:lineRule="atLeast"/>
      <w:ind w:left="825"/>
    </w:pPr>
    <w:rPr>
      <w:sz w:val="22"/>
      <w:szCs w:val="22"/>
    </w:rPr>
  </w:style>
  <w:style w:type="paragraph" w:customStyle="1" w:styleId="source1">
    <w:name w:val="source1"/>
    <w:basedOn w:val="Normal"/>
    <w:uiPriority w:val="99"/>
    <w:pPr>
      <w:spacing w:before="120" w:after="84" w:line="240" w:lineRule="atLeast"/>
      <w:ind w:left="825"/>
    </w:pPr>
    <w:rPr>
      <w:sz w:val="18"/>
      <w:szCs w:val="18"/>
    </w:rPr>
  </w:style>
  <w:style w:type="paragraph" w:customStyle="1" w:styleId="pmid1">
    <w:name w:val="pmid1"/>
    <w:basedOn w:val="Normal"/>
    <w:uiPriority w:val="99"/>
    <w:pPr>
      <w:spacing w:before="84" w:after="84" w:line="240" w:lineRule="atLeast"/>
      <w:ind w:left="825"/>
    </w:pPr>
    <w:rPr>
      <w:color w:val="696969"/>
      <w:sz w:val="18"/>
      <w:szCs w:val="18"/>
    </w:rPr>
  </w:style>
  <w:style w:type="character" w:customStyle="1" w:styleId="journalname">
    <w:name w:val="journalname"/>
    <w:basedOn w:val="DefaultParagraphFont"/>
    <w:uiPriority w:val="99"/>
    <w:rPr>
      <w:rFonts w:cs="Times New Roman"/>
    </w:rPr>
  </w:style>
  <w:style w:type="character" w:customStyle="1" w:styleId="ti">
    <w:name w:val="ti"/>
    <w:basedOn w:val="DefaultParagraphFont"/>
    <w:uiPriority w:val="99"/>
    <w:rPr>
      <w:rFonts w:cs="Times New Roman"/>
    </w:rPr>
  </w:style>
  <w:style w:type="character" w:customStyle="1" w:styleId="searchmatch">
    <w:name w:val="searchmatch"/>
    <w:basedOn w:val="DefaultParagraphFont"/>
    <w:uiPriority w:val="99"/>
    <w:rsid w:val="002C0443"/>
    <w:rPr>
      <w:rFonts w:cs="Times New Roman"/>
    </w:rPr>
  </w:style>
  <w:style w:type="character" w:styleId="LineNumber">
    <w:name w:val="line number"/>
    <w:basedOn w:val="DefaultParagraphFont"/>
    <w:uiPriority w:val="99"/>
    <w:rsid w:val="001E42C2"/>
    <w:rPr>
      <w:rFonts w:cs="Times New Roman"/>
    </w:rPr>
  </w:style>
  <w:style w:type="character" w:styleId="FollowedHyperlink">
    <w:name w:val="FollowedHyperlink"/>
    <w:basedOn w:val="DefaultParagraphFont"/>
    <w:uiPriority w:val="99"/>
    <w:rsid w:val="00004817"/>
    <w:rPr>
      <w:rFonts w:cs="Times New Roman"/>
      <w:color w:val="800080"/>
      <w:u w:val="single"/>
    </w:rPr>
  </w:style>
  <w:style w:type="paragraph" w:customStyle="1" w:styleId="Pa9">
    <w:name w:val="Pa9"/>
    <w:basedOn w:val="Normal"/>
    <w:next w:val="Normal"/>
    <w:uiPriority w:val="99"/>
    <w:rsid w:val="00004817"/>
    <w:pPr>
      <w:autoSpaceDE w:val="0"/>
      <w:autoSpaceDN w:val="0"/>
      <w:adjustRightInd w:val="0"/>
      <w:spacing w:line="200" w:lineRule="atLeast"/>
    </w:pPr>
    <w:rPr>
      <w:rFonts w:ascii="CPJKXK+Avenir-Roman" w:hAnsi="CPJKXK+Avenir-Roman"/>
    </w:rPr>
  </w:style>
</w:styles>
</file>

<file path=word/webSettings.xml><?xml version="1.0" encoding="utf-8"?>
<w:webSettings xmlns:r="http://schemas.openxmlformats.org/officeDocument/2006/relationships" xmlns:w="http://schemas.openxmlformats.org/wordprocessingml/2006/main">
  <w:divs>
    <w:div w:id="1402800098">
      <w:marLeft w:val="0"/>
      <w:marRight w:val="0"/>
      <w:marTop w:val="0"/>
      <w:marBottom w:val="0"/>
      <w:divBdr>
        <w:top w:val="none" w:sz="0" w:space="0" w:color="auto"/>
        <w:left w:val="none" w:sz="0" w:space="0" w:color="auto"/>
        <w:bottom w:val="none" w:sz="0" w:space="0" w:color="auto"/>
        <w:right w:val="none" w:sz="0" w:space="0" w:color="auto"/>
      </w:divBdr>
      <w:divsChild>
        <w:div w:id="1402800116">
          <w:marLeft w:val="0"/>
          <w:marRight w:val="0"/>
          <w:marTop w:val="0"/>
          <w:marBottom w:val="0"/>
          <w:divBdr>
            <w:top w:val="none" w:sz="0" w:space="0" w:color="auto"/>
            <w:left w:val="none" w:sz="0" w:space="0" w:color="auto"/>
            <w:bottom w:val="none" w:sz="0" w:space="0" w:color="auto"/>
            <w:right w:val="none" w:sz="0" w:space="0" w:color="auto"/>
          </w:divBdr>
          <w:divsChild>
            <w:div w:id="1402800106">
              <w:marLeft w:val="0"/>
              <w:marRight w:val="0"/>
              <w:marTop w:val="0"/>
              <w:marBottom w:val="0"/>
              <w:divBdr>
                <w:top w:val="none" w:sz="0" w:space="0" w:color="auto"/>
                <w:left w:val="none" w:sz="0" w:space="0" w:color="auto"/>
                <w:bottom w:val="none" w:sz="0" w:space="0" w:color="auto"/>
                <w:right w:val="none" w:sz="0" w:space="0" w:color="auto"/>
              </w:divBdr>
              <w:divsChild>
                <w:div w:id="1402800097">
                  <w:marLeft w:val="0"/>
                  <w:marRight w:val="0"/>
                  <w:marTop w:val="0"/>
                  <w:marBottom w:val="0"/>
                  <w:divBdr>
                    <w:top w:val="none" w:sz="0" w:space="0" w:color="auto"/>
                    <w:left w:val="none" w:sz="0" w:space="0" w:color="auto"/>
                    <w:bottom w:val="none" w:sz="0" w:space="0" w:color="auto"/>
                    <w:right w:val="none" w:sz="0" w:space="0" w:color="auto"/>
                  </w:divBdr>
                  <w:divsChild>
                    <w:div w:id="1402800113">
                      <w:marLeft w:val="0"/>
                      <w:marRight w:val="0"/>
                      <w:marTop w:val="0"/>
                      <w:marBottom w:val="0"/>
                      <w:divBdr>
                        <w:top w:val="none" w:sz="0" w:space="0" w:color="auto"/>
                        <w:left w:val="none" w:sz="0" w:space="0" w:color="auto"/>
                        <w:bottom w:val="none" w:sz="0" w:space="0" w:color="auto"/>
                        <w:right w:val="none" w:sz="0" w:space="0" w:color="auto"/>
                      </w:divBdr>
                      <w:divsChild>
                        <w:div w:id="1402800103">
                          <w:marLeft w:val="0"/>
                          <w:marRight w:val="0"/>
                          <w:marTop w:val="0"/>
                          <w:marBottom w:val="0"/>
                          <w:divBdr>
                            <w:top w:val="none" w:sz="0" w:space="0" w:color="auto"/>
                            <w:left w:val="none" w:sz="0" w:space="0" w:color="auto"/>
                            <w:bottom w:val="none" w:sz="0" w:space="0" w:color="auto"/>
                            <w:right w:val="none" w:sz="0" w:space="0" w:color="auto"/>
                          </w:divBdr>
                          <w:divsChild>
                            <w:div w:id="14028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00111">
      <w:marLeft w:val="0"/>
      <w:marRight w:val="0"/>
      <w:marTop w:val="0"/>
      <w:marBottom w:val="0"/>
      <w:divBdr>
        <w:top w:val="none" w:sz="0" w:space="0" w:color="auto"/>
        <w:left w:val="none" w:sz="0" w:space="0" w:color="auto"/>
        <w:bottom w:val="none" w:sz="0" w:space="0" w:color="auto"/>
        <w:right w:val="none" w:sz="0" w:space="0" w:color="auto"/>
      </w:divBdr>
      <w:divsChild>
        <w:div w:id="1402800095">
          <w:marLeft w:val="120"/>
          <w:marRight w:val="120"/>
          <w:marTop w:val="0"/>
          <w:marBottom w:val="0"/>
          <w:divBdr>
            <w:top w:val="none" w:sz="0" w:space="0" w:color="auto"/>
            <w:left w:val="none" w:sz="0" w:space="0" w:color="auto"/>
            <w:bottom w:val="none" w:sz="0" w:space="0" w:color="auto"/>
            <w:right w:val="none" w:sz="0" w:space="0" w:color="auto"/>
          </w:divBdr>
          <w:divsChild>
            <w:div w:id="1402800100">
              <w:marLeft w:val="0"/>
              <w:marRight w:val="0"/>
              <w:marTop w:val="0"/>
              <w:marBottom w:val="0"/>
              <w:divBdr>
                <w:top w:val="none" w:sz="0" w:space="0" w:color="auto"/>
                <w:left w:val="none" w:sz="0" w:space="0" w:color="auto"/>
                <w:bottom w:val="none" w:sz="0" w:space="0" w:color="auto"/>
                <w:right w:val="none" w:sz="0" w:space="0" w:color="auto"/>
              </w:divBdr>
              <w:divsChild>
                <w:div w:id="1402800105">
                  <w:marLeft w:val="0"/>
                  <w:marRight w:val="0"/>
                  <w:marTop w:val="72"/>
                  <w:marBottom w:val="0"/>
                  <w:divBdr>
                    <w:top w:val="none" w:sz="0" w:space="0" w:color="auto"/>
                    <w:left w:val="none" w:sz="0" w:space="0" w:color="auto"/>
                    <w:bottom w:val="none" w:sz="0" w:space="0" w:color="auto"/>
                    <w:right w:val="none" w:sz="0" w:space="0" w:color="auto"/>
                  </w:divBdr>
                  <w:divsChild>
                    <w:div w:id="1402800104">
                      <w:marLeft w:val="0"/>
                      <w:marRight w:val="0"/>
                      <w:marTop w:val="0"/>
                      <w:marBottom w:val="0"/>
                      <w:divBdr>
                        <w:top w:val="none" w:sz="0" w:space="0" w:color="auto"/>
                        <w:left w:val="none" w:sz="0" w:space="0" w:color="auto"/>
                        <w:bottom w:val="none" w:sz="0" w:space="0" w:color="auto"/>
                        <w:right w:val="none" w:sz="0" w:space="0" w:color="auto"/>
                      </w:divBdr>
                      <w:divsChild>
                        <w:div w:id="1402800101">
                          <w:marLeft w:val="120"/>
                          <w:marRight w:val="0"/>
                          <w:marTop w:val="0"/>
                          <w:marBottom w:val="0"/>
                          <w:divBdr>
                            <w:top w:val="none" w:sz="0" w:space="0" w:color="auto"/>
                            <w:left w:val="none" w:sz="0" w:space="0" w:color="auto"/>
                            <w:bottom w:val="none" w:sz="0" w:space="0" w:color="auto"/>
                            <w:right w:val="none" w:sz="0" w:space="0" w:color="auto"/>
                          </w:divBdr>
                          <w:divsChild>
                            <w:div w:id="1402800112">
                              <w:marLeft w:val="0"/>
                              <w:marRight w:val="0"/>
                              <w:marTop w:val="0"/>
                              <w:marBottom w:val="0"/>
                              <w:divBdr>
                                <w:top w:val="none" w:sz="0" w:space="0" w:color="auto"/>
                                <w:left w:val="none" w:sz="0" w:space="0" w:color="auto"/>
                                <w:bottom w:val="none" w:sz="0" w:space="0" w:color="auto"/>
                                <w:right w:val="none" w:sz="0" w:space="0" w:color="auto"/>
                              </w:divBdr>
                              <w:divsChild>
                                <w:div w:id="1402800117">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800114">
      <w:marLeft w:val="0"/>
      <w:marRight w:val="0"/>
      <w:marTop w:val="0"/>
      <w:marBottom w:val="0"/>
      <w:divBdr>
        <w:top w:val="none" w:sz="0" w:space="0" w:color="auto"/>
        <w:left w:val="none" w:sz="0" w:space="0" w:color="auto"/>
        <w:bottom w:val="none" w:sz="0" w:space="0" w:color="auto"/>
        <w:right w:val="none" w:sz="0" w:space="0" w:color="auto"/>
      </w:divBdr>
      <w:divsChild>
        <w:div w:id="1402800115">
          <w:marLeft w:val="120"/>
          <w:marRight w:val="120"/>
          <w:marTop w:val="0"/>
          <w:marBottom w:val="0"/>
          <w:divBdr>
            <w:top w:val="none" w:sz="0" w:space="0" w:color="auto"/>
            <w:left w:val="none" w:sz="0" w:space="0" w:color="auto"/>
            <w:bottom w:val="none" w:sz="0" w:space="0" w:color="auto"/>
            <w:right w:val="none" w:sz="0" w:space="0" w:color="auto"/>
          </w:divBdr>
          <w:divsChild>
            <w:div w:id="1402800096">
              <w:marLeft w:val="0"/>
              <w:marRight w:val="0"/>
              <w:marTop w:val="0"/>
              <w:marBottom w:val="0"/>
              <w:divBdr>
                <w:top w:val="none" w:sz="0" w:space="0" w:color="auto"/>
                <w:left w:val="none" w:sz="0" w:space="0" w:color="auto"/>
                <w:bottom w:val="none" w:sz="0" w:space="0" w:color="auto"/>
                <w:right w:val="none" w:sz="0" w:space="0" w:color="auto"/>
              </w:divBdr>
              <w:divsChild>
                <w:div w:id="1402800109">
                  <w:marLeft w:val="0"/>
                  <w:marRight w:val="0"/>
                  <w:marTop w:val="72"/>
                  <w:marBottom w:val="0"/>
                  <w:divBdr>
                    <w:top w:val="none" w:sz="0" w:space="0" w:color="auto"/>
                    <w:left w:val="none" w:sz="0" w:space="0" w:color="auto"/>
                    <w:bottom w:val="none" w:sz="0" w:space="0" w:color="auto"/>
                    <w:right w:val="none" w:sz="0" w:space="0" w:color="auto"/>
                  </w:divBdr>
                  <w:divsChild>
                    <w:div w:id="1402800110">
                      <w:marLeft w:val="0"/>
                      <w:marRight w:val="0"/>
                      <w:marTop w:val="0"/>
                      <w:marBottom w:val="0"/>
                      <w:divBdr>
                        <w:top w:val="none" w:sz="0" w:space="0" w:color="auto"/>
                        <w:left w:val="none" w:sz="0" w:space="0" w:color="auto"/>
                        <w:bottom w:val="none" w:sz="0" w:space="0" w:color="auto"/>
                        <w:right w:val="none" w:sz="0" w:space="0" w:color="auto"/>
                      </w:divBdr>
                      <w:divsChild>
                        <w:div w:id="1402800107">
                          <w:marLeft w:val="120"/>
                          <w:marRight w:val="0"/>
                          <w:marTop w:val="0"/>
                          <w:marBottom w:val="0"/>
                          <w:divBdr>
                            <w:top w:val="none" w:sz="0" w:space="0" w:color="auto"/>
                            <w:left w:val="none" w:sz="0" w:space="0" w:color="auto"/>
                            <w:bottom w:val="none" w:sz="0" w:space="0" w:color="auto"/>
                            <w:right w:val="none" w:sz="0" w:space="0" w:color="auto"/>
                          </w:divBdr>
                          <w:divsChild>
                            <w:div w:id="1402800099">
                              <w:marLeft w:val="0"/>
                              <w:marRight w:val="0"/>
                              <w:marTop w:val="0"/>
                              <w:marBottom w:val="0"/>
                              <w:divBdr>
                                <w:top w:val="none" w:sz="0" w:space="0" w:color="auto"/>
                                <w:left w:val="none" w:sz="0" w:space="0" w:color="auto"/>
                                <w:bottom w:val="none" w:sz="0" w:space="0" w:color="auto"/>
                                <w:right w:val="none" w:sz="0" w:space="0" w:color="auto"/>
                              </w:divBdr>
                              <w:divsChild>
                                <w:div w:id="140280010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Jungwirth%20R%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Sampaio%20JL%22%5BAuthor%5D&amp;itool=EntrezSystem2.PEntrez.Pubmed.Pubmed_ResultsPanel.Pubmed_DiscoveryPanel.Pubmed_RVAbstractPlus" TargetMode="External"/><Relationship Id="rId26" Type="http://schemas.openxmlformats.org/officeDocument/2006/relationships/hyperlink" Target="http://www.ncbi.nlm.nih.gov/sites/entrez?Db=pubmed&amp;Cmd=Search&amp;Term=%22Sirot%20D%22%5BAuthor%5D&amp;itool=EntrezSystem2.PEntrez.Pubmed.Pubmed_ResultsPanel.Pubmed_DiscoveryPanel.Pubmed_RVAbstractPlus" TargetMode="External"/><Relationship Id="rId39" Type="http://schemas.openxmlformats.org/officeDocument/2006/relationships/hyperlink" Target="http://www.ncbi.nlm.nih.gov/sites/entrez?Db=pubmed&amp;Cmd=Search&amp;Term=%22Ko%20C%22%5BAuthor%5D&amp;itool=EntrezSystem2.PEntrez.Pubmed.Pubmed_ResultsPanel.Pubmed_DiscoveryPanel.Pubmed_RVAbstractPlus" TargetMode="External"/><Relationship Id="rId21" Type="http://schemas.openxmlformats.org/officeDocument/2006/relationships/hyperlink" Target="http://www.ncbi.nlm.nih.gov/sites/entrez?Db=pubmed&amp;Cmd=Search&amp;Term=%22Labia%20R%22%5BAuthor%5D&amp;itool=EntrezSystem2.PEntrez.Pubmed.Pubmed_ResultsPanel.Pubmed_DiscoveryPanel.Pubmed_RVAbstractPlus" TargetMode="External"/><Relationship Id="rId34" Type="http://schemas.openxmlformats.org/officeDocument/2006/relationships/hyperlink" Target="http://www.ncbi.nlm.nih.gov/sites/entrez?Db=pubmed&amp;Cmd=Search&amp;Term=%22Hawkey%20PM%22%5BAuthor%5D&amp;itool=EntrezSystem2.PEntrez.Pubmed.Pubmed_ResultsPanel.Pubmed_DiscoveryPanel.Pubmed_RVAbstractPlus" TargetMode="External"/><Relationship Id="rId42" Type="http://schemas.openxmlformats.org/officeDocument/2006/relationships/hyperlink" Target="http://www.ncbi.nlm.nih.gov/sites/entrez?Db=pubmed&amp;Cmd=Search&amp;Term=%22Nagarajan%20S%22%5BAuthor%5D&amp;itool=EntrezSystem2.PEntrez.Pubmed.Pubmed_ResultsPanel.Pubmed_DiscoveryPanel.Pubmed_RVAbstractPlus" TargetMode="External"/><Relationship Id="rId47" Type="http://schemas.openxmlformats.org/officeDocument/2006/relationships/hyperlink" Target="http://www.ncbi.nlm.nih.gov/sites/entrez?Db=pubmed&amp;Cmd=Search&amp;Term=%22Leflon-Guibout%20V%22%5BAuthor%5D&amp;itool=EntrezSystem2.PEntrez.Pubmed.Pubmed_ResultsPanel.Pubmed_DiscoveryPanel.Pubmed_RVAbstractPlus" TargetMode="External"/><Relationship Id="rId50" Type="http://schemas.openxmlformats.org/officeDocument/2006/relationships/hyperlink" Target="http://www.ncbi.nlm.nih.gov/sites/entrez?Db=pubmed&amp;Cmd=Search&amp;Term=%22Nicolas-Chanoine%20M%22%5BAuthor%5D&amp;itool=EntrezSystem2.PEntrez.Pubmed.Pubmed_ResultsPanel.Pubmed_DiscoveryPanel.Pubmed_RVAbstractPlus" TargetMode="External"/><Relationship Id="rId55" Type="http://schemas.openxmlformats.org/officeDocument/2006/relationships/hyperlink" Target="http://www.ncbi.nlm.nih.gov/sites/entrez?Db=pubmed&amp;Cmd=Search&amp;Term=%22M'Zali%20FH%22%5BAuthor%5D&amp;itool=EntrezSystem2.PEntrez.Pubmed.Pubmed_ResultsPanel.Pubmed_DiscoveryPanel.Pubmed_RVAbstractPlus" TargetMode="External"/><Relationship Id="rId63" Type="http://schemas.openxmlformats.org/officeDocument/2006/relationships/hyperlink" Target="http://www.ncbi.nlm.nih.gov/sites/entrez?Db=pubmed&amp;Cmd=Search&amp;Term=%22Le%20Thomas%20I%22%5BAuthor%5D&amp;itool=EntrezSystem2.PEntrez.Pubmed.Pubmed_ResultsPanel.Pubmed_DiscoveryPanel.Pubmed_RVAbstractPlus" TargetMode="External"/><Relationship Id="rId68" Type="http://schemas.openxmlformats.org/officeDocument/2006/relationships/hyperlink" Target="http://www.ncbi.nlm.nih.gov/pubmed/10725543?ordinalpos=3&amp;itool=EntrezSystem2.PEntrez.Pubmed.Pubmed_ResultsPanel.Pubmed_DefaultReportPanel.Pubmed_RVDocSum" TargetMode="External"/><Relationship Id="rId76" Type="http://schemas.openxmlformats.org/officeDocument/2006/relationships/theme" Target="theme/theme1.xml"/><Relationship Id="rId7" Type="http://schemas.openxmlformats.org/officeDocument/2006/relationships/hyperlink" Target="http://www.ncbi.nlm.nih.gov/sites/entrez?Db=pubmed&amp;Cmd=Search&amp;Term=%22Alonso%20R%22%5BAuthor%5D&amp;itool=EntrezSystem2.PEntrez.Pubmed.Pubmed_ResultsPanel.Pubmed_DiscoveryPanel.Pubmed_RVAbstractPlus" TargetMode="External"/><Relationship Id="rId71" Type="http://schemas.openxmlformats.org/officeDocument/2006/relationships/hyperlink" Target="http://www.ncbi.nlm.nih.gov/sites/entrez?Db=pubmed&amp;Cmd=Search&amp;Term=%22Labia%20R%22%5BAuthor%5D&amp;itool=EntrezSystem2.PEntrez.Pubmed.Pubmed_ResultsPanel.Pubmed_DiscoveryPanel.Pubmed_RVAbstractPlus" TargetMode="External"/><Relationship Id="rId2" Type="http://schemas.openxmlformats.org/officeDocument/2006/relationships/styles" Target="styles.xml"/><Relationship Id="rId16" Type="http://schemas.openxmlformats.org/officeDocument/2006/relationships/hyperlink" Target="http://www.ncbi.nlm.nih.gov/sites/entrez?Db=pubmed&amp;Cmd=Search&amp;Term=%22Bonnet%20R%22%5BAuthor%5D&amp;itool=EntrezSystem2.PEntrez.Pubmed.Pubmed_ResultsPanel.Pubmed_DiscoveryPanel.Pubmed_RVAbstractPlus" TargetMode="External"/><Relationship Id="rId29" Type="http://schemas.openxmlformats.org/officeDocument/2006/relationships/hyperlink" Target="http://www.sciencedirect.com/science/article/B6VS2-4KSD8CX-5/2/ad4198527fe4d2363030b83e21f3b5cf" TargetMode="External"/><Relationship Id="rId11" Type="http://schemas.openxmlformats.org/officeDocument/2006/relationships/hyperlink" Target="http://www.ncbi.nlm.nih.gov/sites/entrez?Db=pubmed&amp;Cmd=Search&amp;Term=%22Bauernfeind%20A%22%5BAuthor%5D&amp;itool=EntrezSystem2.PEntrez.Pubmed.Pubmed_ResultsPanel.Pubmed_DiscoveryPanel.Pubmed_RVAbstractPlus" TargetMode="External"/><Relationship Id="rId24" Type="http://schemas.openxmlformats.org/officeDocument/2006/relationships/hyperlink" Target="http://www.ncbi.nlm.nih.gov/sites/entrez?Db=pubmed&amp;Cmd=Search&amp;Term=%22Baraduc%20R%22%5BAuthor%5D&amp;itool=EntrezSystem2.PEntrez.Pubmed.Pubmed_ResultsPanel.Pubmed_DiscoveryPanel.Pubmed_RVAbstractPlus" TargetMode="External"/><Relationship Id="rId32" Type="http://schemas.openxmlformats.org/officeDocument/2006/relationships/hyperlink" Target="http://www.ncbi.nlm.nih.gov/sites/entrez?Db=pubmed&amp;Cmd=Search&amp;Term=%22Heritage%20J%22%5BAuthor%5D&amp;itool=EntrezSystem2.PEntrez.Pubmed.Pubmed_ResultsPanel.Pubmed_DiscoveryPanel.Pubmed_RVAbstractPlus" TargetMode="External"/><Relationship Id="rId37" Type="http://schemas.openxmlformats.org/officeDocument/2006/relationships/hyperlink" Target="http://www.ncbi.nlm.nih.gov/sites/entrez?Db=pubmed&amp;Cmd=Search&amp;Term=%22Hennessy%20LK%22%5BAuthor%5D&amp;itool=EntrezSystem2.PEntrez.Pubmed.Pubmed_ResultsPanel.Pubmed_DiscoveryPanel.Pubmed_RVAbstractPlus" TargetMode="External"/><Relationship Id="rId40" Type="http://schemas.openxmlformats.org/officeDocument/2006/relationships/hyperlink" Target="http://www.ncbi.nlm.nih.gov/sites/entrez?Db=pubmed&amp;Cmd=Search&amp;Term=%22Karim%20A%22%5BAuthor%5D&amp;itool=EntrezSystem2.PEntrez.Pubmed.Pubmed_ResultsPanel.Pubmed_DiscoveryPanel.Pubmed_RVAbstractPlus" TargetMode="External"/><Relationship Id="rId45" Type="http://schemas.openxmlformats.org/officeDocument/2006/relationships/hyperlink" Target="http://www.ncbi.nlm.nih.gov/sites/entrez?Db=pubmed&amp;Cmd=Search&amp;Term=%22Tamura%20K%22%5BAuthor%5D&amp;itool=EntrezSystem2.PEntrez.Pubmed.Pubmed_ResultsPanel.Pubmed_DiscoveryPanel.Pubmed_RVAbstractPlus" TargetMode="External"/><Relationship Id="rId53" Type="http://schemas.openxmlformats.org/officeDocument/2006/relationships/hyperlink" Target="http://www.ncbi.nlm.nih.gov/sites/entrez?Db=pubmed&amp;Cmd=Search&amp;Term=%22Heritage%20J%22%5BAuthor%5D&amp;itool=EntrezSystem2.PEntrez.Pubmed.Pubmed_ResultsPanel.Pubmed_DiscoveryPanel.Pubmed_RVAbstractPlus" TargetMode="External"/><Relationship Id="rId58" Type="http://schemas.openxmlformats.org/officeDocument/2006/relationships/hyperlink" Target="http://www.ncbi.nlm.nih.gov/sites/entrez?Db=pubmed&amp;Cmd=Search&amp;Term=%22Snelling%20AM%22%5BAuthor%5D&amp;itool=EntrezSystem2.PEntrez.Pubmed.Pubmed_ResultsPanel.Pubmed_DiscoveryPanel.Pubmed_RVAbstractPlus" TargetMode="External"/><Relationship Id="rId66" Type="http://schemas.openxmlformats.org/officeDocument/2006/relationships/hyperlink" Target="http://www.ncbi.nlm.nih.gov/sites/entrez?Db=pubmed&amp;Cmd=Search&amp;Term=%22Nordmann%20P%22%5BAuthor%5D&amp;itool=EntrezSystem2.PEntrez.Pubmed.Pubmed_ResultsPanel.Pubmed_DiscoveryPanel.Pubmed_RVAbstractPlus" TargetMode="External"/><Relationship Id="rId7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www.ncbi.nlm.nih.gov/sites/entrez?Db=pubmed&amp;Cmd=Search&amp;Term=%22Casellas%20JM%22%5BAuthor%5D&amp;itool=EntrezSystem2.PEntrez.Pubmed.Pubmed_ResultsPanel.Pubmed_DiscoveryPanel.Pubmed_RVAbstractPlus" TargetMode="External"/><Relationship Id="rId23" Type="http://schemas.openxmlformats.org/officeDocument/2006/relationships/hyperlink" Target="http://www.ncbi.nlm.nih.gov/sites/entrez?Db=pubmed&amp;Cmd=Search&amp;Term=%22Recule%20C%22%5BAuthor%5D&amp;itool=EntrezSystem2.PEntrez.Pubmed.Pubmed_ResultsPanel.Pubmed_DiscoveryPanel.Pubmed_RVAbstractPlus" TargetMode="External"/><Relationship Id="rId28" Type="http://schemas.openxmlformats.org/officeDocument/2006/relationships/hyperlink" Target="http://www.ncbi.nlm.nih.gov/sites/entrez?Db=pubmed&amp;Cmd=Search&amp;Term=%22Sirot%20J%22%5BAuthor%5D&amp;itool=EntrezSystem2.PEntrez.Pubmed.Pubmed_ResultsPanel.Pubmed_DiscoveryPanel.Pubmed_RVAbstractPlus" TargetMode="External"/><Relationship Id="rId36" Type="http://schemas.openxmlformats.org/officeDocument/2006/relationships/hyperlink" Target="http://bioinf.ibun.unal.edu.co/servicios/BLEE%3e.%20%5bConsulta:%20marzo%202007%5d" TargetMode="External"/><Relationship Id="rId49" Type="http://schemas.openxmlformats.org/officeDocument/2006/relationships/hyperlink" Target="http://www.ncbi.nlm.nih.gov/sites/entrez?Db=pubmed&amp;Cmd=Search&amp;Term=%22Heym%20B%22%5BAuthor%5D&amp;itool=EntrezSystem2.PEntrez.Pubmed.Pubmed_ResultsPanel.Pubmed_DiscoveryPanel.Pubmed_RVAbstractPlus" TargetMode="External"/><Relationship Id="rId57" Type="http://schemas.openxmlformats.org/officeDocument/2006/relationships/hyperlink" Target="http://www.ncbi.nlm.nih.gov/sites/entrez?Db=pubmed&amp;Cmd=Search&amp;Term=%22Gascoyne-Binzi%20DM%22%5BAuthor%5D&amp;itool=EntrezSystem2.PEntrez.Pubmed.Pubmed_ResultsPanel.Pubmed_DiscoveryPanel.Pubmed_RVAbstractPlus" TargetMode="External"/><Relationship Id="rId61" Type="http://schemas.openxmlformats.org/officeDocument/2006/relationships/hyperlink" Target="http://www.ncbi.nlm.nih.gov/sites/entrez?Db=pubmed&amp;Cmd=Search&amp;Term=%22Poirel%20L%22%5BAuthor%5D&amp;itool=EntrezSystem2.PEntrez.Pubmed.Pubmed_ResultsPanel.Pubmed_DiscoveryPanel.Pubmed_RVAbstractPlus" TargetMode="External"/><Relationship Id="rId10" Type="http://schemas.openxmlformats.org/officeDocument/2006/relationships/hyperlink" Target="http://www.ncbi.nlm.nih.gov/sites/entrez?Db=pubmed&amp;Cmd=Search&amp;Term=%22Cisterna%20R%22%5BAuthor%5D&amp;itool=EntrezSystem2.PEntrez.Pubmed.Pubmed_ResultsPanel.Pubmed_DiscoveryPanel.Pubmed_RVAbstractPlus" TargetMode="External"/><Relationship Id="rId19" Type="http://schemas.openxmlformats.org/officeDocument/2006/relationships/hyperlink" Target="http://www.ncbi.nlm.nih.gov/sites/entrez?Db=pubmed&amp;Cmd=Search&amp;Term=%22Chanal%20C%22%5BAuthor%5D&amp;itool=EntrezSystem2.PEntrez.Pubmed.Pubmed_ResultsPanel.Pubmed_DiscoveryPanel.Pubmed_RVAbstractPlus" TargetMode="External"/><Relationship Id="rId31" Type="http://schemas.openxmlformats.org/officeDocument/2006/relationships/hyperlink" Target="http://www.ncbi.nlm.nih.gov/sites/entrez?Db=pubmed&amp;Cmd=Search&amp;Term=%22M'Zali%20FH%22%5BAuthor%5D&amp;itool=EntrezSystem2.PEntrez.Pubmed.Pubmed_ResultsPanel.Pubmed_DiscoveryPanel.Pubmed_RVAbstractPlus" TargetMode="External"/><Relationship Id="rId44" Type="http://schemas.openxmlformats.org/officeDocument/2006/relationships/hyperlink" Target="http://www.ncbi.nlm.nih.gov/sites/entrez?Db=pubmed&amp;Cmd=Search&amp;Term=%22Kumar%20S%22%5BAuthor%5D&amp;itool=EntrezSystem2.PEntrez.Pubmed.Pubmed_ResultsPanel.Pubmed_DiscoveryPanel.Pubmed_RVAbstractPlus" TargetMode="External"/><Relationship Id="rId52" Type="http://schemas.openxmlformats.org/officeDocument/2006/relationships/hyperlink" Target="http://www.ncbi.nlm.nih.gov/sites/entrez?Db=pubmed&amp;Cmd=Search&amp;Term=%22Gascoyne-Binzi%20DM%22%5BAuthor%5D&amp;itool=EntrezSystem2.PEntrez.Pubmed.Pubmed_ResultsPanel.Pubmed_DiscoveryPanel.Pubmed_RVAbstractPlus" TargetMode="External"/><Relationship Id="rId60" Type="http://schemas.openxmlformats.org/officeDocument/2006/relationships/hyperlink" Target="http://www.ncbi.nlm.nih.gov/pubmed/2565038?ordinalpos=26&amp;itool=EntrezSystem2.PEntrez.Pubmed.Pubmed_ResultsPanel.Pubmed_DefaultReportPanel.Pubmed_RVDocSum" TargetMode="External"/><Relationship Id="rId65" Type="http://schemas.openxmlformats.org/officeDocument/2006/relationships/hyperlink" Target="http://www.ncbi.nlm.nih.gov/sites/entrez?Db=pubmed&amp;Cmd=Search&amp;Term=%22Bingen%20E%22%5BAuthor%5D&amp;itool=EntrezSystem2.PEntrez.Pubmed.Pubmed_ResultsPanel.Pubmed_DiscoveryPanel.Pubmed_RVAbstractPlus" TargetMode="External"/><Relationship Id="rId73"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ncbi.nlm.nih.gov/sites/entrez?Db=pubmed&amp;Cmd=Search&amp;Term=%22Colom%20K%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Ernst%20S%22%5BAuthor%5D&amp;itool=EntrezSystem2.PEntrez.Pubmed.Pubmed_ResultsPanel.Pubmed_DiscoveryPanel.Pubmed_RVAbstractPlus" TargetMode="External"/><Relationship Id="rId22" Type="http://schemas.openxmlformats.org/officeDocument/2006/relationships/hyperlink" Target="http://www.ncbi.nlm.nih.gov/sites/entrez?Db=pubmed&amp;Cmd=Search&amp;Term=%22Bonnet%20R%22%5BAuthor%5D&amp;itool=EntrezSystem2.PEntrez.Pubmed.Pubmed_ResultsPanel.Pubmed_DiscoveryPanel.Pubmed_RVAbstractPlus" TargetMode="External"/><Relationship Id="rId27" Type="http://schemas.openxmlformats.org/officeDocument/2006/relationships/hyperlink" Target="http://www.ncbi.nlm.nih.gov/sites/entrez?Db=pubmed&amp;Cmd=Search&amp;Term=%22De%20Champs%20C%22%5BAuthor%5D&amp;itool=EntrezSystem2.PEntrez.Pubmed.Pubmed_ResultsPanel.Pubmed_DiscoveryPanel.Pubmed_RVAbstractPlus" TargetMode="External"/><Relationship Id="rId30" Type="http://schemas.openxmlformats.org/officeDocument/2006/relationships/hyperlink" Target="http://www.ncbi.nlm.nih.gov/sites/entrez?Db=pubmed&amp;Cmd=Search&amp;Term=%22Chanawong%20A%22%5BAuthor%5D&amp;itool=EntrezSystem2.PEntrez.Pubmed.Pubmed_ResultsPanel.Pubmed_DiscoveryPanel.Pubmed_RVAbstractPlus" TargetMode="External"/><Relationship Id="rId35" Type="http://schemas.openxmlformats.org/officeDocument/2006/relationships/hyperlink" Target="http://www.ncbi.nlm.nih.gov/pubmed/9593162?ordinalpos=66&amp;itool=EntrezSystem2.PEntrez.Pubmed.Pubmed_ResultsPanel.Pubmed_DefaultReportPanel.Pubmed_RVDocSum" TargetMode="External"/><Relationship Id="rId43" Type="http://schemas.openxmlformats.org/officeDocument/2006/relationships/hyperlink" Target="http://www.ncbi.nlm.nih.gov/sites/entrez?Db=pubmed&amp;Cmd=Search&amp;Term=%22Nordmann%20P%22%5BAuthor%5D&amp;itool=EntrezSystem2.PEntrez.Pubmed.Pubmed_ResultsPanel.Pubmed_DiscoveryPanel.Pubmed_RVAbstractPlus" TargetMode="External"/><Relationship Id="rId48" Type="http://schemas.openxmlformats.org/officeDocument/2006/relationships/hyperlink" Target="http://www.ncbi.nlm.nih.gov/sites/entrez?Db=pubmed&amp;Cmd=Search&amp;Term=%22Speldooren%20V%22%5BAuthor%5D&amp;itool=EntrezSystem2.PEntrez.Pubmed.Pubmed_ResultsPanel.Pubmed_DiscoveryPanel.Pubmed_RVAbstractPlus" TargetMode="External"/><Relationship Id="rId56" Type="http://schemas.openxmlformats.org/officeDocument/2006/relationships/hyperlink" Target="http://www.ncbi.nlm.nih.gov/sites/entrez?Db=pubmed&amp;Cmd=Search&amp;Term=%22Heritage%20J%22%5BAuthor%5D&amp;itool=EntrezSystem2.PEntrez.Pubmed.Pubmed_ResultsPanel.Pubmed_DiscoveryPanel.Pubmed_RVAbstractPlus" TargetMode="External"/><Relationship Id="rId64" Type="http://schemas.openxmlformats.org/officeDocument/2006/relationships/hyperlink" Target="http://www.ncbi.nlm.nih.gov/sites/entrez?Db=pubmed&amp;Cmd=Search&amp;Term=%22Karim%20A%22%5BAuthor%5D&amp;itool=EntrezSystem2.PEntrez.Pubmed.Pubmed_ResultsPanel.Pubmed_DiscoveryPanel.Pubmed_RVAbstractPlus" TargetMode="External"/><Relationship Id="rId69" Type="http://schemas.openxmlformats.org/officeDocument/2006/relationships/hyperlink" Target="http://www.ncbi.nlm.nih.gov/sites/entrez?Db=pubmed&amp;Cmd=Search&amp;Term=%22Speldooren%20V%22%5BAuthor%5D&amp;itool=EntrezSystem2.PEntrez.Pubmed.Pubmed_ResultsPanel.Pubmed_DiscoveryPanel.Pubmed_RVAbstractPlus" TargetMode="External"/><Relationship Id="rId8" Type="http://schemas.openxmlformats.org/officeDocument/2006/relationships/hyperlink" Target="http://www.ncbi.nlm.nih.gov/sites/entrez?Db=pubmed&amp;Cmd=Search&amp;Term=%22Fern%C3%A1ndez-Aranguiz%20A%22%5BAuthor%5D&amp;itool=EntrezSystem2.PEntrez.Pubmed.Pubmed_ResultsPanel.Pubmed_DiscoveryPanel.Pubmed_RVAbstractPlus" TargetMode="External"/><Relationship Id="rId51" Type="http://schemas.openxmlformats.org/officeDocument/2006/relationships/hyperlink" Target="http://www.ncbi.nlm.nih.gov/sites/entrez?Db=pubmed&amp;Cmd=Search&amp;Term=%22M'Zali%20FH%22%5BAuthor%5D&amp;itool=EntrezSystem2.PEntrez.Pubmed.Pubmed_ResultsPanel.Pubmed_DiscoveryPanel.Pubmed_RVAbstractPlus" TargetMode="External"/><Relationship Id="rId72" Type="http://schemas.openxmlformats.org/officeDocument/2006/relationships/hyperlink" Target="http://www.ncbi.nlm.nih.gov/sites/entrez?Db=pubmed&amp;Cmd=Search&amp;Term=%22Nicolas-Chanoine%20MH%22%5BAuthor%5D&amp;itool=EntrezSystem2.PEntrez.Pubmed.Pubmed_ResultsPanel.Pubmed_DiscoveryPanel.Pubmed_RVAbstractPlus" TargetMode="External"/><Relationship Id="rId3" Type="http://schemas.openxmlformats.org/officeDocument/2006/relationships/settings" Target="settings.xml"/><Relationship Id="rId12" Type="http://schemas.openxmlformats.org/officeDocument/2006/relationships/hyperlink" Target="http://www.ncbi.nlm.nih.gov/sites/entrez?Db=pubmed&amp;Cmd=Search&amp;Term=%22Stemplinger%20I%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Dutour%20C%22%5BAuthor%5D&amp;itool=EntrezSystem2.PEntrez.Pubmed.Pubmed_ResultsPanel.Pubmed_DiscoveryPanel.Pubmed_RVAbstractPlus" TargetMode="External"/><Relationship Id="rId25" Type="http://schemas.openxmlformats.org/officeDocument/2006/relationships/hyperlink" Target="http://www.ncbi.nlm.nih.gov/sites/entrez?Db=pubmed&amp;Cmd=Search&amp;Term=%22Chanal%20C%22%5BAuthor%5D&amp;itool=EntrezSystem2.PEntrez.Pubmed.Pubmed_ResultsPanel.Pubmed_DiscoveryPanel.Pubmed_RVAbstractPlus" TargetMode="External"/><Relationship Id="rId33" Type="http://schemas.openxmlformats.org/officeDocument/2006/relationships/hyperlink" Target="http://www.ncbi.nlm.nih.gov/sites/entrez?Db=pubmed&amp;Cmd=Search&amp;Term=%22Lulitanond%20A%22%5BAuthor%5D&amp;itool=EntrezSystem2.PEntrez.Pubmed.Pubmed_ResultsPanel.Pubmed_DiscoveryPanel.Pubmed_RVAbstractPlus" TargetMode="External"/><Relationship Id="rId38" Type="http://schemas.openxmlformats.org/officeDocument/2006/relationships/hyperlink" Target="http://www.ncbi.nlm.nih.gov/sites/entrez?Db=pubmed&amp;Cmd=Search&amp;Term=%22Teare%20J%22%5BAuthor%5D&amp;itool=EntrezSystem2.PEntrez.Pubmed.Pubmed_ResultsPanel.Pubmed_DiscoveryPanel.Pubmed_RVAbstractPlus" TargetMode="External"/><Relationship Id="rId46" Type="http://schemas.openxmlformats.org/officeDocument/2006/relationships/hyperlink" Target="http://www.ncbi.nlm.nih.gov/sites/entrez?Db=pubmed&amp;Cmd=Search&amp;Term=%22Nei%20M%22%5BAuthor%5D&amp;itool=EntrezSystem2.PEntrez.Pubmed.Pubmed_ResultsPanel.Pubmed_DiscoveryPanel.Pubmed_RVAbstractPlus" TargetMode="External"/><Relationship Id="rId59" Type="http://schemas.openxmlformats.org/officeDocument/2006/relationships/hyperlink" Target="http://www.ncbi.nlm.nih.gov/sites/entrez?Db=pubmed&amp;Cmd=Search&amp;Term=%22Hawkey%20PM%22%5BAuthor%5D&amp;itool=EntrezSystem2.PEntrez.Pubmed.Pubmed_ResultsPanel.Pubmed_DiscoveryPanel.Pubmed_RVAbstractPlus" TargetMode="External"/><Relationship Id="rId67" Type="http://schemas.openxmlformats.org/officeDocument/2006/relationships/hyperlink" Target="http://www.ncbi.nlm.nih.gov/pubmed/12936986?ordinalpos=8&amp;itool=EntrezSystem2.PEntrez.Pubmed.Pubmed_ResultsPanel.Pubmed_DefaultReportPanel.Pubmed_RVDocSum" TargetMode="External"/><Relationship Id="rId20" Type="http://schemas.openxmlformats.org/officeDocument/2006/relationships/hyperlink" Target="http://www.ncbi.nlm.nih.gov/sites/entrez?Db=pubmed&amp;Cmd=Search&amp;Term=%22Sirot%20D%22%5BAuthor%5D&amp;itool=EntrezSystem2.PEntrez.Pubmed.Pubmed_ResultsPanel.Pubmed_DiscoveryPanel.Pubmed_RVAbstractPlus" TargetMode="External"/><Relationship Id="rId41" Type="http://schemas.openxmlformats.org/officeDocument/2006/relationships/hyperlink" Target="http://www.ncbi.nlm.nih.gov/sites/entrez?Db=pubmed&amp;Cmd=Search&amp;Term=%22Poirel%20L%22%5BAuthor%5D&amp;itool=EntrezSystem2.PEntrez.Pubmed.Pubmed_ResultsPanel.Pubmed_DiscoveryPanel.Pubmed_RVAbstractPlus" TargetMode="External"/><Relationship Id="rId54" Type="http://schemas.openxmlformats.org/officeDocument/2006/relationships/hyperlink" Target="http://www.ncbi.nlm.nih.gov/sites/entrez?Db=pubmed&amp;Cmd=Search&amp;Term=%22Hawkey%20PM%22%5BAuthor%5D&amp;itool=EntrezSystem2.PEntrez.Pubmed.Pubmed_ResultsPanel.Pubmed_DiscoveryPanel.Pubmed_RVAbstractPlus" TargetMode="External"/><Relationship Id="rId62" Type="http://schemas.openxmlformats.org/officeDocument/2006/relationships/hyperlink" Target="http://www.ncbi.nlm.nih.gov/sites/entrez?Db=pubmed&amp;Cmd=Search&amp;Term=%22Naas%20T%22%5BAuthor%5D&amp;itool=EntrezSystem2.PEntrez.Pubmed.Pubmed_ResultsPanel.Pubmed_DiscoveryPanel.Pubmed_RVAbstractPlus" TargetMode="External"/><Relationship Id="rId70" Type="http://schemas.openxmlformats.org/officeDocument/2006/relationships/hyperlink" Target="http://www.ncbi.nlm.nih.gov/sites/entrez?Db=pubmed&amp;Cmd=Search&amp;Term=%22Heym%20B%22%5BAuthor%5D&amp;itool=EntrezSystem2.PEntrez.Pubmed.Pubmed_ResultsPanel.Pubmed_DiscoveryPanel.Pubmed_RVAbstractPlus"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22</Pages>
  <Words>6510</Words>
  <Characters>-32766</Characters>
  <Application>Microsoft Office Outlook</Application>
  <DocSecurity>0</DocSecurity>
  <Lines>0</Lines>
  <Paragraphs>0</Paragraphs>
  <ScaleCrop>false</ScaleCrop>
  <Company>UNAL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subject/>
  <dc:creator>Ramon Mantilla</dc:creator>
  <cp:keywords/>
  <dc:description/>
  <cp:lastModifiedBy>adm_corbi</cp:lastModifiedBy>
  <cp:revision>2</cp:revision>
  <cp:lastPrinted>2009-08-20T17:14:00Z</cp:lastPrinted>
  <dcterms:created xsi:type="dcterms:W3CDTF">2009-11-25T14:21:00Z</dcterms:created>
  <dcterms:modified xsi:type="dcterms:W3CDTF">2009-11-25T14:21:00Z</dcterms:modified>
</cp:coreProperties>
</file>