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C12" w:rsidRPr="00144189" w:rsidRDefault="00330C12" w:rsidP="00144189">
      <w:pPr>
        <w:spacing w:line="360" w:lineRule="auto"/>
        <w:jc w:val="center"/>
        <w:rPr>
          <w:b/>
          <w:i/>
        </w:rPr>
      </w:pPr>
      <w:r w:rsidRPr="00144189">
        <w:rPr>
          <w:b/>
        </w:rPr>
        <w:t xml:space="preserve">Efecto de un bioproducto a base de </w:t>
      </w:r>
      <w:r w:rsidRPr="00144189">
        <w:rPr>
          <w:b/>
          <w:i/>
        </w:rPr>
        <w:t xml:space="preserve">Pseudomona </w:t>
      </w:r>
      <w:r w:rsidRPr="00144189">
        <w:rPr>
          <w:b/>
          <w:bCs/>
          <w:i/>
          <w:lang w:val="es-ES_tradnl"/>
        </w:rPr>
        <w:t xml:space="preserve">aeruginosa </w:t>
      </w:r>
      <w:r w:rsidRPr="00144189">
        <w:rPr>
          <w:b/>
          <w:bCs/>
          <w:lang w:val="es-ES_tradnl"/>
        </w:rPr>
        <w:t>en el cultivo del tomate</w:t>
      </w:r>
      <w:r w:rsidRPr="00144189">
        <w:rPr>
          <w:b/>
        </w:rPr>
        <w:t xml:space="preserve"> </w:t>
      </w:r>
      <w:r w:rsidRPr="00144189">
        <w:rPr>
          <w:b/>
          <w:i/>
        </w:rPr>
        <w:t>Solanum licopersicum Mill)</w:t>
      </w:r>
      <w:r w:rsidR="0056411E">
        <w:rPr>
          <w:b/>
          <w:bCs/>
          <w:i/>
          <w:lang w:val="es-ES_tradnl"/>
        </w:rPr>
        <w:t xml:space="preserve"> </w:t>
      </w:r>
    </w:p>
    <w:p w:rsidR="00330C12" w:rsidRPr="00144189" w:rsidRDefault="00330C12" w:rsidP="00144189">
      <w:pPr>
        <w:spacing w:line="360" w:lineRule="auto"/>
        <w:jc w:val="center"/>
        <w:rPr>
          <w:b/>
          <w:i/>
        </w:rPr>
      </w:pPr>
    </w:p>
    <w:p w:rsidR="00330C12" w:rsidRPr="00144189" w:rsidRDefault="00330C12" w:rsidP="00144189">
      <w:pPr>
        <w:spacing w:line="360" w:lineRule="auto"/>
        <w:jc w:val="center"/>
        <w:rPr>
          <w:b/>
          <w:lang w:val="en-US"/>
        </w:rPr>
      </w:pPr>
      <w:r w:rsidRPr="00144189">
        <w:rPr>
          <w:b/>
          <w:lang w:val="en-US"/>
        </w:rPr>
        <w:t xml:space="preserve">Efect of bioproduct based in </w:t>
      </w:r>
      <w:r w:rsidRPr="00144189">
        <w:rPr>
          <w:b/>
          <w:i/>
          <w:lang w:val="en-GB"/>
        </w:rPr>
        <w:t xml:space="preserve">Pseudomona </w:t>
      </w:r>
      <w:r w:rsidRPr="00144189">
        <w:rPr>
          <w:b/>
          <w:bCs/>
          <w:i/>
          <w:lang w:val="en-GB"/>
        </w:rPr>
        <w:t xml:space="preserve">aeruginosa </w:t>
      </w:r>
      <w:r w:rsidRPr="00144189">
        <w:rPr>
          <w:b/>
          <w:bCs/>
          <w:lang w:val="en-GB"/>
        </w:rPr>
        <w:t>on</w:t>
      </w:r>
      <w:r w:rsidRPr="00144189">
        <w:rPr>
          <w:b/>
          <w:bCs/>
          <w:i/>
          <w:lang w:val="en-GB"/>
        </w:rPr>
        <w:t xml:space="preserve"> </w:t>
      </w:r>
      <w:r w:rsidRPr="00144189">
        <w:rPr>
          <w:b/>
          <w:lang w:val="en-GB"/>
        </w:rPr>
        <w:t>tomato crop (</w:t>
      </w:r>
      <w:r w:rsidRPr="00144189">
        <w:rPr>
          <w:b/>
          <w:i/>
          <w:lang w:val="en-GB"/>
        </w:rPr>
        <w:t>Solanum licopersicum</w:t>
      </w:r>
      <w:r w:rsidRPr="00144189">
        <w:rPr>
          <w:b/>
          <w:lang w:val="en-GB"/>
        </w:rPr>
        <w:t xml:space="preserve"> Mill)</w:t>
      </w:r>
    </w:p>
    <w:p w:rsidR="00F21376" w:rsidRPr="00330C12" w:rsidRDefault="00F21376" w:rsidP="00144189">
      <w:pPr>
        <w:spacing w:line="360" w:lineRule="auto"/>
        <w:jc w:val="center"/>
        <w:rPr>
          <w:lang w:val="en-US"/>
        </w:rPr>
      </w:pPr>
    </w:p>
    <w:p w:rsidR="009D4821" w:rsidRPr="00F21376" w:rsidRDefault="009D4821" w:rsidP="00144189">
      <w:pPr>
        <w:spacing w:line="360" w:lineRule="auto"/>
        <w:jc w:val="center"/>
        <w:rPr>
          <w:lang w:val="en-GB"/>
        </w:rPr>
      </w:pPr>
    </w:p>
    <w:p w:rsidR="009D4821" w:rsidRPr="003910DF" w:rsidRDefault="00F90864" w:rsidP="00144189">
      <w:pPr>
        <w:spacing w:line="360" w:lineRule="auto"/>
        <w:jc w:val="center"/>
      </w:pPr>
      <w:r w:rsidRPr="00F90864">
        <w:rPr>
          <w:highlight w:val="cyan"/>
        </w:rPr>
        <w:t xml:space="preserve">Título corto: Efecto de </w:t>
      </w:r>
      <w:r w:rsidRPr="00F90864">
        <w:rPr>
          <w:i/>
          <w:highlight w:val="cyan"/>
        </w:rPr>
        <w:t xml:space="preserve">Pseudomona </w:t>
      </w:r>
      <w:r w:rsidRPr="00F90864">
        <w:rPr>
          <w:bCs/>
          <w:i/>
          <w:highlight w:val="cyan"/>
        </w:rPr>
        <w:t>aeruginosa</w:t>
      </w:r>
      <w:r w:rsidRPr="00F90864">
        <w:rPr>
          <w:highlight w:val="cyan"/>
        </w:rPr>
        <w:t xml:space="preserve"> en el cultivo del tomate</w:t>
      </w:r>
    </w:p>
    <w:p w:rsidR="00732C6F" w:rsidRPr="003910DF" w:rsidRDefault="00732C6F" w:rsidP="00144189">
      <w:pPr>
        <w:pStyle w:val="NormalWeb"/>
        <w:spacing w:line="360" w:lineRule="auto"/>
        <w:jc w:val="center"/>
      </w:pPr>
      <w:r w:rsidRPr="003910DF">
        <w:t>Elein Terry Alfonso</w:t>
      </w:r>
      <w:r w:rsidR="00947253" w:rsidRPr="00947253">
        <w:rPr>
          <w:rStyle w:val="Refdenotaalpie"/>
        </w:rPr>
        <w:footnoteReference w:customMarkFollows="1" w:id="2"/>
        <w:sym w:font="Symbol" w:char="F02A"/>
      </w:r>
      <w:r w:rsidR="009D4821" w:rsidRPr="003910DF">
        <w:t>,</w:t>
      </w:r>
      <w:r w:rsidRPr="003910DF">
        <w:t xml:space="preserve"> Josefa Ruiz Padrón</w:t>
      </w:r>
      <w:r w:rsidR="00947253" w:rsidRPr="00947253">
        <w:rPr>
          <w:rStyle w:val="Refdenotaalpie"/>
        </w:rPr>
        <w:footnoteReference w:customMarkFollows="1" w:id="3"/>
        <w:sym w:font="Symbol" w:char="F02A"/>
      </w:r>
      <w:r w:rsidR="00947253">
        <w:rPr>
          <w:rStyle w:val="Refdenotaalpie"/>
        </w:rPr>
        <w:t>*</w:t>
      </w:r>
      <w:r w:rsidR="00947253">
        <w:t>,</w:t>
      </w:r>
      <w:r w:rsidR="009D4821" w:rsidRPr="003910DF">
        <w:t xml:space="preserve"> Tamara Tejeda Peraza</w:t>
      </w:r>
      <w:r w:rsidR="00947253" w:rsidRPr="00947253">
        <w:rPr>
          <w:rStyle w:val="Refdenotaalpie"/>
        </w:rPr>
        <w:footnoteReference w:customMarkFollows="1" w:id="4"/>
        <w:sym w:font="Symbol" w:char="F02A"/>
      </w:r>
      <w:r w:rsidR="00947253">
        <w:rPr>
          <w:rStyle w:val="Refdenotaalpie"/>
        </w:rPr>
        <w:t>**</w:t>
      </w:r>
    </w:p>
    <w:p w:rsidR="00732C6F" w:rsidRPr="003910DF" w:rsidRDefault="00910840" w:rsidP="00356A7E">
      <w:pPr>
        <w:pStyle w:val="NormalWeb"/>
        <w:spacing w:line="360" w:lineRule="auto"/>
        <w:jc w:val="both"/>
        <w:rPr>
          <w:b/>
        </w:rPr>
      </w:pPr>
      <w:r w:rsidRPr="003910DF">
        <w:rPr>
          <w:b/>
        </w:rPr>
        <w:t>Resumen</w:t>
      </w:r>
    </w:p>
    <w:p w:rsidR="00910840" w:rsidRPr="003910DF" w:rsidRDefault="00910840" w:rsidP="00356A7E">
      <w:pPr>
        <w:pStyle w:val="NormalWeb"/>
        <w:spacing w:line="360" w:lineRule="auto"/>
        <w:jc w:val="both"/>
      </w:pPr>
      <w:r w:rsidRPr="003910DF">
        <w:t>El uso de bioproductos se incrementa gradualmente en la agricultura de países que propugnan un cambio hacia un modelo en armonía con el medioambiente. El presente trabajo tuvo como objetivo</w:t>
      </w:r>
      <w:r w:rsidR="00781345">
        <w:t xml:space="preserve"> </w:t>
      </w:r>
      <w:r w:rsidRPr="003910DF">
        <w:t>e</w:t>
      </w:r>
      <w:r w:rsidR="00160DD8">
        <w:t>valuar</w:t>
      </w:r>
      <w:r w:rsidRPr="003910DF">
        <w:t xml:space="preserve"> la respuesta del cultivo del tomate a la aplicación del bioproducto Gluticid</w:t>
      </w:r>
      <w:bookmarkStart w:id="0" w:name="OLE_LINK1"/>
      <w:r w:rsidR="007906F3">
        <w:t>®</w:t>
      </w:r>
      <w:bookmarkEnd w:id="0"/>
      <w:r w:rsidRPr="003910DF">
        <w:t>, obtenido a partir de</w:t>
      </w:r>
      <w:r w:rsidR="00F420CD">
        <w:t xml:space="preserve"> metabolitos activos de</w:t>
      </w:r>
      <w:r w:rsidRPr="003910DF">
        <w:t xml:space="preserve"> </w:t>
      </w:r>
      <w:r w:rsidRPr="003910DF">
        <w:rPr>
          <w:i/>
        </w:rPr>
        <w:t>Pseudomona aeruginosa</w:t>
      </w:r>
      <w:r w:rsidRPr="003910DF">
        <w:t>. Los experimentos se desarrollaron en áreas experimentales del Instituto Nacional de Ciencias Agrícolas (INCA) de Cuba</w:t>
      </w:r>
      <w:r w:rsidR="00947253">
        <w:t>,</w:t>
      </w:r>
      <w:r w:rsidRPr="003910DF">
        <w:t xml:space="preserve"> y se estudiaron cinco tratamientos, cuatro con la aplicación de Gluticid</w:t>
      </w:r>
      <w:r w:rsidR="00F420CD">
        <w:t>®</w:t>
      </w:r>
      <w:r w:rsidRPr="003910DF">
        <w:t xml:space="preserve"> y un tratamiento testigo</w:t>
      </w:r>
      <w:r w:rsidR="00160DD8">
        <w:t xml:space="preserve"> (sin aplicación del producto)</w:t>
      </w:r>
      <w:r w:rsidRPr="003910DF">
        <w:t>. Los tratamientos con Gluticid</w:t>
      </w:r>
      <w:r w:rsidR="00F420CD">
        <w:t>®</w:t>
      </w:r>
      <w:r w:rsidRPr="003910DF">
        <w:t xml:space="preserve"> </w:t>
      </w:r>
      <w:r w:rsidR="00160DD8" w:rsidRPr="008A0372">
        <w:t>(</w:t>
      </w:r>
      <w:r w:rsidR="008A0372" w:rsidRPr="008A0372">
        <w:t>5 g</w:t>
      </w:r>
      <w:r w:rsidR="00160DD8" w:rsidRPr="008A0372">
        <w:t>.</w:t>
      </w:r>
      <w:r w:rsidR="008A0372" w:rsidRPr="008A0372">
        <w:t>L</w:t>
      </w:r>
      <w:r w:rsidR="00160DD8" w:rsidRPr="008A0372">
        <w:rPr>
          <w:vertAlign w:val="superscript"/>
        </w:rPr>
        <w:t>-1</w:t>
      </w:r>
      <w:r w:rsidR="00160DD8">
        <w:t xml:space="preserve">), </w:t>
      </w:r>
      <w:r w:rsidRPr="003910DF">
        <w:t xml:space="preserve">se realizaron </w:t>
      </w:r>
      <w:r w:rsidRPr="00947253">
        <w:t>imbibiendo</w:t>
      </w:r>
      <w:r w:rsidR="00947253">
        <w:t xml:space="preserve"> </w:t>
      </w:r>
      <w:r w:rsidRPr="003910DF">
        <w:t xml:space="preserve"> la</w:t>
      </w:r>
      <w:r w:rsidR="00160DD8">
        <w:t>s</w:t>
      </w:r>
      <w:r w:rsidRPr="003910DF">
        <w:t xml:space="preserve"> semilla</w:t>
      </w:r>
      <w:r w:rsidR="00160DD8">
        <w:t>s</w:t>
      </w:r>
      <w:r w:rsidRPr="003910DF">
        <w:t xml:space="preserve"> con el producto (15 y 30 min) y a su vez </w:t>
      </w:r>
      <w:r w:rsidR="007906F3">
        <w:t>se realizó</w:t>
      </w:r>
      <w:r w:rsidRPr="003910DF">
        <w:t xml:space="preserve"> una segunda aplicación foliar del bioproducto. En el cultivo se evaluaron algunas variables de crecimiento</w:t>
      </w:r>
      <w:r w:rsidR="00F420CD">
        <w:t xml:space="preserve"> y desarrollo</w:t>
      </w:r>
      <w:r w:rsidRPr="003910DF">
        <w:t xml:space="preserve">, </w:t>
      </w:r>
      <w:r w:rsidR="00947253">
        <w:t>y</w:t>
      </w:r>
      <w:r w:rsidRPr="003910DF">
        <w:t xml:space="preserve"> se determinó el rendimiento agrícola. Los resultados mostraron la efectividad del bioproducto, destacándose el tratamiento que recibió la aplicación de Gluticid</w:t>
      </w:r>
      <w:r w:rsidR="00F420CD">
        <w:t>®</w:t>
      </w:r>
      <w:r w:rsidRPr="003910DF">
        <w:t xml:space="preserve"> una sola vez con </w:t>
      </w:r>
      <w:r w:rsidR="00160DD8">
        <w:t xml:space="preserve">30 </w:t>
      </w:r>
      <w:r w:rsidRPr="003910DF">
        <w:t xml:space="preserve">min </w:t>
      </w:r>
      <w:r w:rsidRPr="003910DF">
        <w:lastRenderedPageBreak/>
        <w:t>de imbibición, confirmándose la efectividad de este bioproducto en la obtención de plantas m</w:t>
      </w:r>
      <w:r w:rsidR="00F420CD">
        <w:t>á</w:t>
      </w:r>
      <w:r w:rsidRPr="003910DF">
        <w:t>s vigorosas</w:t>
      </w:r>
      <w:r w:rsidR="00947253">
        <w:t>,</w:t>
      </w:r>
      <w:r w:rsidRPr="003910DF">
        <w:t xml:space="preserve"> así como</w:t>
      </w:r>
      <w:r w:rsidR="00781345">
        <w:t xml:space="preserve"> un </w:t>
      </w:r>
      <w:r w:rsidR="00947253">
        <w:t xml:space="preserve">estímulo </w:t>
      </w:r>
      <w:r w:rsidR="00781345">
        <w:t>en el crecimiento y desarrollo de las plantas con la consiguiente</w:t>
      </w:r>
      <w:r w:rsidRPr="003910DF">
        <w:t xml:space="preserve"> obtención de rendimientos aceptables.</w:t>
      </w:r>
    </w:p>
    <w:p w:rsidR="00910840" w:rsidRPr="003910DF" w:rsidRDefault="00F90864" w:rsidP="00356A7E">
      <w:pPr>
        <w:pStyle w:val="NormalWeb"/>
        <w:spacing w:line="360" w:lineRule="auto"/>
        <w:jc w:val="both"/>
      </w:pPr>
      <w:r w:rsidRPr="00F90864">
        <w:rPr>
          <w:b/>
        </w:rPr>
        <w:t>Palabras clave</w:t>
      </w:r>
      <w:r w:rsidR="00910840" w:rsidRPr="003910DF">
        <w:t>:</w:t>
      </w:r>
      <w:r w:rsidR="00F21376">
        <w:t xml:space="preserve"> </w:t>
      </w:r>
      <w:r w:rsidR="00947253">
        <w:t>b</w:t>
      </w:r>
      <w:r w:rsidR="00947253" w:rsidRPr="00330C12">
        <w:t>ioproducto</w:t>
      </w:r>
      <w:r w:rsidR="00330C12">
        <w:rPr>
          <w:i/>
        </w:rPr>
        <w:t>,</w:t>
      </w:r>
      <w:r w:rsidR="00330C12">
        <w:t xml:space="preserve"> </w:t>
      </w:r>
      <w:r w:rsidR="00947253">
        <w:t>tomate</w:t>
      </w:r>
      <w:r w:rsidR="00F21376">
        <w:t>,</w:t>
      </w:r>
      <w:r w:rsidR="00910840" w:rsidRPr="003910DF">
        <w:t xml:space="preserve"> crecimiento, desarrollo</w:t>
      </w:r>
      <w:r w:rsidR="00F21376">
        <w:t>, rendimiento</w:t>
      </w:r>
      <w:r w:rsidR="00910840" w:rsidRPr="003910DF">
        <w:t>.</w:t>
      </w:r>
    </w:p>
    <w:p w:rsidR="00EB4262" w:rsidRPr="00F21376" w:rsidRDefault="00910840" w:rsidP="00356A7E">
      <w:pPr>
        <w:pStyle w:val="NormalWeb"/>
        <w:spacing w:line="360" w:lineRule="auto"/>
        <w:jc w:val="both"/>
        <w:rPr>
          <w:b/>
          <w:lang w:val="en-GB"/>
        </w:rPr>
      </w:pPr>
      <w:r w:rsidRPr="00F21376">
        <w:rPr>
          <w:b/>
          <w:lang w:val="en-GB"/>
        </w:rPr>
        <w:t>Abstract</w:t>
      </w:r>
    </w:p>
    <w:p w:rsidR="007A7B8C" w:rsidRPr="007906F3" w:rsidRDefault="002921DE" w:rsidP="00356A7E">
      <w:pPr>
        <w:pStyle w:val="NormalWeb"/>
        <w:spacing w:line="360" w:lineRule="auto"/>
        <w:jc w:val="both"/>
        <w:rPr>
          <w:lang w:val="en-GB"/>
        </w:rPr>
      </w:pPr>
      <w:r w:rsidRPr="007906F3">
        <w:rPr>
          <w:lang w:val="en-GB"/>
        </w:rPr>
        <w:t xml:space="preserve">The </w:t>
      </w:r>
      <w:r w:rsidR="00781345" w:rsidRPr="007906F3">
        <w:rPr>
          <w:lang w:val="en-GB"/>
        </w:rPr>
        <w:t>use of bioproducts has</w:t>
      </w:r>
      <w:r w:rsidRPr="007906F3">
        <w:rPr>
          <w:lang w:val="en-GB"/>
        </w:rPr>
        <w:t xml:space="preserve"> increased gradually in the agriculture of countries that support a change toward a model in harmony with the environment. The present work had as objective to </w:t>
      </w:r>
      <w:r w:rsidR="00330C12">
        <w:rPr>
          <w:lang w:val="en-GB"/>
        </w:rPr>
        <w:t>evaluate t</w:t>
      </w:r>
      <w:r w:rsidRPr="007906F3">
        <w:rPr>
          <w:lang w:val="en-GB"/>
        </w:rPr>
        <w:t xml:space="preserve">he </w:t>
      </w:r>
      <w:r w:rsidR="00330C12">
        <w:rPr>
          <w:lang w:val="en-GB"/>
        </w:rPr>
        <w:t>response</w:t>
      </w:r>
      <w:r w:rsidRPr="007906F3">
        <w:rPr>
          <w:lang w:val="en-GB"/>
        </w:rPr>
        <w:t xml:space="preserve"> of tomato</w:t>
      </w:r>
      <w:r w:rsidR="007906F3" w:rsidRPr="007906F3">
        <w:rPr>
          <w:lang w:val="en-GB"/>
        </w:rPr>
        <w:t xml:space="preserve"> crop</w:t>
      </w:r>
      <w:r w:rsidRPr="007906F3">
        <w:rPr>
          <w:lang w:val="en-GB"/>
        </w:rPr>
        <w:t xml:space="preserve"> to the application of bioproduct Gluticid</w:t>
      </w:r>
      <w:r w:rsidR="007906F3" w:rsidRPr="007906F3">
        <w:rPr>
          <w:lang w:val="en-GB"/>
        </w:rPr>
        <w:t>®</w:t>
      </w:r>
      <w:r w:rsidRPr="007906F3">
        <w:rPr>
          <w:lang w:val="en-GB"/>
        </w:rPr>
        <w:t xml:space="preserve">, obtained from </w:t>
      </w:r>
      <w:r w:rsidRPr="007906F3">
        <w:rPr>
          <w:i/>
          <w:lang w:val="en-GB"/>
        </w:rPr>
        <w:t>Pseudomona aeruginosa</w:t>
      </w:r>
      <w:r w:rsidRPr="007906F3">
        <w:rPr>
          <w:lang w:val="en-GB"/>
        </w:rPr>
        <w:t>. The experiments were developed in experimental areas of National Institute of Agricultural Sciences (INCA) of Cuba and five treatments were studied, four with the application of Gluticid</w:t>
      </w:r>
      <w:r w:rsidR="007906F3" w:rsidRPr="007906F3">
        <w:rPr>
          <w:lang w:val="en-GB"/>
        </w:rPr>
        <w:t>®</w:t>
      </w:r>
      <w:r w:rsidRPr="007906F3">
        <w:rPr>
          <w:lang w:val="en-GB"/>
        </w:rPr>
        <w:t xml:space="preserve"> and a </w:t>
      </w:r>
      <w:r w:rsidR="007906F3" w:rsidRPr="007906F3">
        <w:rPr>
          <w:lang w:val="en-GB"/>
        </w:rPr>
        <w:t>test treatment</w:t>
      </w:r>
      <w:r w:rsidRPr="007906F3">
        <w:rPr>
          <w:lang w:val="en-GB"/>
        </w:rPr>
        <w:t xml:space="preserve">. The </w:t>
      </w:r>
      <w:r w:rsidR="00781345" w:rsidRPr="007906F3">
        <w:rPr>
          <w:lang w:val="en-GB"/>
        </w:rPr>
        <w:t>treatment</w:t>
      </w:r>
      <w:r w:rsidR="00781345">
        <w:rPr>
          <w:lang w:val="en-GB"/>
        </w:rPr>
        <w:t>s</w:t>
      </w:r>
      <w:r w:rsidR="00781345" w:rsidRPr="007906F3">
        <w:rPr>
          <w:lang w:val="en-GB"/>
        </w:rPr>
        <w:t xml:space="preserve"> with Gluticid® were carried out submerging the seed with the product (15 and 30 minutes) and in turn were</w:t>
      </w:r>
      <w:r w:rsidR="007906F3" w:rsidRPr="007906F3">
        <w:rPr>
          <w:lang w:val="en-GB"/>
        </w:rPr>
        <w:t xml:space="preserve"> carried out </w:t>
      </w:r>
      <w:r w:rsidRPr="007906F3">
        <w:rPr>
          <w:lang w:val="en-GB"/>
        </w:rPr>
        <w:t xml:space="preserve">a second </w:t>
      </w:r>
      <w:r w:rsidR="007906F3" w:rsidRPr="007906F3">
        <w:rPr>
          <w:lang w:val="en-GB"/>
        </w:rPr>
        <w:t xml:space="preserve">foliate </w:t>
      </w:r>
      <w:r w:rsidRPr="007906F3">
        <w:rPr>
          <w:lang w:val="en-GB"/>
        </w:rPr>
        <w:t xml:space="preserve">application of bioproduct. </w:t>
      </w:r>
      <w:r w:rsidR="007906F3" w:rsidRPr="007906F3">
        <w:rPr>
          <w:lang w:val="en-GB"/>
        </w:rPr>
        <w:t>S</w:t>
      </w:r>
      <w:r w:rsidRPr="007906F3">
        <w:rPr>
          <w:lang w:val="en-GB"/>
        </w:rPr>
        <w:t xml:space="preserve">ome </w:t>
      </w:r>
      <w:r w:rsidR="007906F3" w:rsidRPr="007906F3">
        <w:rPr>
          <w:lang w:val="en-GB"/>
        </w:rPr>
        <w:t>growth indicators</w:t>
      </w:r>
      <w:r w:rsidRPr="007906F3">
        <w:rPr>
          <w:lang w:val="en-GB"/>
        </w:rPr>
        <w:t xml:space="preserve"> were evaluated, as well as the agricultural yield was determined</w:t>
      </w:r>
      <w:r w:rsidR="007906F3" w:rsidRPr="007906F3">
        <w:rPr>
          <w:lang w:val="en-GB"/>
        </w:rPr>
        <w:t xml:space="preserve"> too</w:t>
      </w:r>
      <w:r w:rsidRPr="007906F3">
        <w:rPr>
          <w:lang w:val="en-GB"/>
        </w:rPr>
        <w:t>. The results showed the effectiveness of bioproduct, standing out the treatment that received the application of Gluticid</w:t>
      </w:r>
      <w:r w:rsidR="007906F3" w:rsidRPr="007906F3">
        <w:rPr>
          <w:lang w:val="en-GB"/>
        </w:rPr>
        <w:t>®</w:t>
      </w:r>
      <w:r w:rsidRPr="007906F3">
        <w:rPr>
          <w:lang w:val="en-GB"/>
        </w:rPr>
        <w:t xml:space="preserve"> a single time with 15 minutes of </w:t>
      </w:r>
      <w:r w:rsidR="007906F3" w:rsidRPr="007906F3">
        <w:rPr>
          <w:lang w:val="en-GB"/>
        </w:rPr>
        <w:t>submerging</w:t>
      </w:r>
      <w:r w:rsidRPr="007906F3">
        <w:rPr>
          <w:lang w:val="en-GB"/>
        </w:rPr>
        <w:t xml:space="preserve">, being confirmed the effectiveness of this bioproduct in the obtaining of </w:t>
      </w:r>
      <w:r w:rsidR="007906F3" w:rsidRPr="007906F3">
        <w:rPr>
          <w:lang w:val="en-GB"/>
        </w:rPr>
        <w:t xml:space="preserve">vigorous </w:t>
      </w:r>
      <w:r w:rsidRPr="007906F3">
        <w:rPr>
          <w:lang w:val="en-GB"/>
        </w:rPr>
        <w:t>plants as well as the obtaining of acceptable yields.</w:t>
      </w:r>
    </w:p>
    <w:p w:rsidR="00484F06" w:rsidRPr="00F21376" w:rsidRDefault="00F90864" w:rsidP="00356A7E">
      <w:pPr>
        <w:spacing w:line="360" w:lineRule="auto"/>
        <w:jc w:val="both"/>
        <w:rPr>
          <w:lang w:val="en-GB"/>
        </w:rPr>
      </w:pPr>
      <w:r w:rsidRPr="00F90864">
        <w:rPr>
          <w:b/>
          <w:lang w:val="en-GB"/>
        </w:rPr>
        <w:t>Key words</w:t>
      </w:r>
      <w:r w:rsidR="00F21376" w:rsidRPr="00F21376">
        <w:rPr>
          <w:lang w:val="en-GB"/>
        </w:rPr>
        <w:t xml:space="preserve">: </w:t>
      </w:r>
      <w:r w:rsidR="00330C12">
        <w:rPr>
          <w:lang w:val="en-GB"/>
        </w:rPr>
        <w:t xml:space="preserve">Bioproduct, </w:t>
      </w:r>
      <w:r w:rsidR="00947253">
        <w:rPr>
          <w:lang w:val="en-GB"/>
        </w:rPr>
        <w:t>t</w:t>
      </w:r>
      <w:r w:rsidR="00947253" w:rsidRPr="00F21376">
        <w:rPr>
          <w:lang w:val="en-GB"/>
        </w:rPr>
        <w:t>omato</w:t>
      </w:r>
      <w:r w:rsidR="00F21376" w:rsidRPr="00F21376">
        <w:rPr>
          <w:lang w:val="en-GB"/>
        </w:rPr>
        <w:t xml:space="preserve">, growth, development, </w:t>
      </w:r>
      <w:r w:rsidR="00F21376">
        <w:rPr>
          <w:lang w:val="en-GB"/>
        </w:rPr>
        <w:t>yield</w:t>
      </w:r>
      <w:r w:rsidR="00947253">
        <w:rPr>
          <w:lang w:val="en-GB"/>
        </w:rPr>
        <w:t>.</w:t>
      </w:r>
    </w:p>
    <w:p w:rsidR="00484F06" w:rsidRDefault="00484F06" w:rsidP="00356A7E">
      <w:pPr>
        <w:spacing w:line="360" w:lineRule="auto"/>
        <w:jc w:val="both"/>
        <w:rPr>
          <w:lang w:val="en-GB"/>
        </w:rPr>
      </w:pPr>
    </w:p>
    <w:p w:rsidR="00B27E55" w:rsidRDefault="00B27E55" w:rsidP="00356A7E">
      <w:pPr>
        <w:spacing w:line="360" w:lineRule="auto"/>
        <w:jc w:val="both"/>
        <w:rPr>
          <w:lang w:val="en-GB"/>
        </w:rPr>
      </w:pPr>
      <w:r>
        <w:rPr>
          <w:lang w:val="en-GB"/>
        </w:rPr>
        <w:t>Recibido: febrero 26 de 2010</w:t>
      </w:r>
    </w:p>
    <w:p w:rsidR="00B27E55" w:rsidRPr="00F21376" w:rsidRDefault="00B27E55" w:rsidP="00356A7E">
      <w:pPr>
        <w:spacing w:line="360" w:lineRule="auto"/>
        <w:jc w:val="both"/>
        <w:rPr>
          <w:lang w:val="en-GB"/>
        </w:rPr>
      </w:pPr>
      <w:r>
        <w:rPr>
          <w:lang w:val="en-GB"/>
        </w:rPr>
        <w:t>Aprobado: abril 19 de 2010</w:t>
      </w:r>
    </w:p>
    <w:p w:rsidR="00484F06" w:rsidRPr="00F21376" w:rsidRDefault="00484F06" w:rsidP="00356A7E">
      <w:pPr>
        <w:spacing w:line="360" w:lineRule="auto"/>
        <w:jc w:val="both"/>
        <w:rPr>
          <w:b/>
          <w:lang w:val="en-GB"/>
        </w:rPr>
      </w:pPr>
    </w:p>
    <w:p w:rsidR="00810DE2" w:rsidRPr="00E60631" w:rsidRDefault="0090189E" w:rsidP="00356A7E">
      <w:pPr>
        <w:spacing w:line="360" w:lineRule="auto"/>
        <w:jc w:val="both"/>
        <w:rPr>
          <w:b/>
          <w:lang w:val="es-CO"/>
        </w:rPr>
      </w:pPr>
      <w:r w:rsidRPr="00E60631">
        <w:rPr>
          <w:b/>
          <w:lang w:val="es-CO"/>
        </w:rPr>
        <w:t>Introducción</w:t>
      </w:r>
      <w:r w:rsidR="00947253">
        <w:rPr>
          <w:b/>
          <w:lang w:val="es-CO"/>
        </w:rPr>
        <w:t xml:space="preserve"> </w:t>
      </w:r>
    </w:p>
    <w:p w:rsidR="00F21376" w:rsidRPr="00E60631" w:rsidRDefault="00F21376" w:rsidP="00356A7E">
      <w:pPr>
        <w:spacing w:line="360" w:lineRule="auto"/>
        <w:jc w:val="both"/>
        <w:rPr>
          <w:b/>
          <w:lang w:val="es-CO"/>
        </w:rPr>
      </w:pPr>
    </w:p>
    <w:p w:rsidR="001126F7" w:rsidRPr="003910DF" w:rsidRDefault="001126F7" w:rsidP="00356A7E">
      <w:pPr>
        <w:pStyle w:val="NormalWeb1"/>
        <w:spacing w:line="360" w:lineRule="auto"/>
        <w:jc w:val="both"/>
        <w:rPr>
          <w:color w:val="000000"/>
        </w:rPr>
      </w:pPr>
      <w:r w:rsidRPr="003910DF">
        <w:rPr>
          <w:color w:val="000000"/>
        </w:rPr>
        <w:t xml:space="preserve">La agricultura ha de estar siempre en armonía con la naturaleza para mantener un equilibrio entre la producción de alimentos y la conservación de los recursos naturales. En la </w:t>
      </w:r>
      <w:r w:rsidRPr="003910DF">
        <w:rPr>
          <w:color w:val="000000"/>
        </w:rPr>
        <w:lastRenderedPageBreak/>
        <w:t>naturaleza todo se recicla, y como la materia no se destruye —sólo se transforma— la utilización de productos y residuos biológicos es una gran alternativa para la producción agrícola que deberá utilizar procesos o productos que no sean dañinos para el medioambiente</w:t>
      </w:r>
      <w:r w:rsidR="00473F2E" w:rsidRPr="003910DF">
        <w:rPr>
          <w:color w:val="000000"/>
        </w:rPr>
        <w:t xml:space="preserve"> (</w:t>
      </w:r>
      <w:r w:rsidR="00FE73C1" w:rsidRPr="003910DF">
        <w:rPr>
          <w:color w:val="000000"/>
        </w:rPr>
        <w:t>Morte</w:t>
      </w:r>
      <w:r w:rsidR="00473F2E" w:rsidRPr="003910DF">
        <w:rPr>
          <w:color w:val="000000"/>
        </w:rPr>
        <w:t>, 2009)</w:t>
      </w:r>
      <w:r w:rsidRPr="003910DF">
        <w:rPr>
          <w:color w:val="000000"/>
        </w:rPr>
        <w:t>.</w:t>
      </w:r>
    </w:p>
    <w:p w:rsidR="002010C6" w:rsidRPr="003910DF" w:rsidRDefault="00473F2E" w:rsidP="00356A7E">
      <w:pPr>
        <w:autoSpaceDE w:val="0"/>
        <w:autoSpaceDN w:val="0"/>
        <w:adjustRightInd w:val="0"/>
        <w:spacing w:line="360" w:lineRule="auto"/>
        <w:jc w:val="both"/>
      </w:pPr>
      <w:r w:rsidRPr="003910DF">
        <w:t>Los llamados bioproductos o bioinsumos agrícolas son productos económic</w:t>
      </w:r>
      <w:r w:rsidR="006E30D7" w:rsidRPr="003910DF">
        <w:t>o</w:t>
      </w:r>
      <w:r w:rsidRPr="003910DF">
        <w:t xml:space="preserve"> y ambientalmente aceptables, ya que además de reducir costos</w:t>
      </w:r>
      <w:r w:rsidR="00F420CD">
        <w:t>,</w:t>
      </w:r>
      <w:r w:rsidRPr="003910DF">
        <w:t xml:space="preserve"> contribuyen a </w:t>
      </w:r>
      <w:r w:rsidR="00E32378">
        <w:t xml:space="preserve">la obtención de producciones inocuas así como a </w:t>
      </w:r>
      <w:r w:rsidRPr="003910DF">
        <w:t xml:space="preserve">mejorar la fertilidad nativa del suelo, </w:t>
      </w:r>
      <w:r w:rsidR="00595486" w:rsidRPr="003910DF">
        <w:t>de ahí la importancia de potenciar su utilización agrícola</w:t>
      </w:r>
      <w:r w:rsidRPr="003910DF">
        <w:t>.</w:t>
      </w:r>
      <w:r w:rsidR="006E30D7" w:rsidRPr="003910DF">
        <w:t xml:space="preserve"> </w:t>
      </w:r>
    </w:p>
    <w:p w:rsidR="002010C6" w:rsidRPr="003910DF" w:rsidRDefault="002010C6" w:rsidP="00356A7E">
      <w:pPr>
        <w:autoSpaceDE w:val="0"/>
        <w:autoSpaceDN w:val="0"/>
        <w:adjustRightInd w:val="0"/>
        <w:spacing w:line="360" w:lineRule="auto"/>
        <w:jc w:val="both"/>
      </w:pPr>
    </w:p>
    <w:p w:rsidR="00473F2E" w:rsidRPr="003910DF" w:rsidRDefault="006E30D7" w:rsidP="00356A7E">
      <w:pPr>
        <w:autoSpaceDE w:val="0"/>
        <w:autoSpaceDN w:val="0"/>
        <w:adjustRightInd w:val="0"/>
        <w:spacing w:line="360" w:lineRule="auto"/>
        <w:jc w:val="both"/>
      </w:pPr>
      <w:r w:rsidRPr="003910DF">
        <w:t xml:space="preserve">Dentro de los bioproductos </w:t>
      </w:r>
      <w:r w:rsidR="00781345">
        <w:t>desarrollados con gran perspectiva en la actualidad,</w:t>
      </w:r>
      <w:r w:rsidRPr="003910DF">
        <w:t xml:space="preserve"> se encuentran los </w:t>
      </w:r>
      <w:r w:rsidR="00781345">
        <w:t xml:space="preserve">denominados </w:t>
      </w:r>
      <w:r w:rsidRPr="003910DF">
        <w:t xml:space="preserve">biofertilizantes, bioestimuladores y bioplaguicidas. En este sentido, son varios los bioproductos elaborados a partir de la bacteria </w:t>
      </w:r>
      <w:r w:rsidRPr="003910DF">
        <w:rPr>
          <w:i/>
        </w:rPr>
        <w:t>Pseudomona</w:t>
      </w:r>
      <w:r w:rsidR="002010C6" w:rsidRPr="003910DF">
        <w:t xml:space="preserve"> sp;</w:t>
      </w:r>
      <w:r w:rsidRPr="003910DF">
        <w:t xml:space="preserve"> </w:t>
      </w:r>
      <w:r w:rsidR="002010C6" w:rsidRPr="003910DF">
        <w:t xml:space="preserve">en los últimos años, esta especie adquiere vital importancia en estudios relacionados con la </w:t>
      </w:r>
      <w:hyperlink r:id="rId8" w:history="1">
        <w:r w:rsidR="002010C6" w:rsidRPr="003910DF">
          <w:rPr>
            <w:rStyle w:val="Hipervnculo"/>
            <w:color w:val="auto"/>
            <w:u w:val="none"/>
            <w:shd w:val="clear" w:color="auto" w:fill="FFFFFF"/>
          </w:rPr>
          <w:t>agricultura</w:t>
        </w:r>
      </w:hyperlink>
      <w:r w:rsidR="002010C6" w:rsidRPr="003910DF">
        <w:t xml:space="preserve">, debido fundamentalmente a la </w:t>
      </w:r>
      <w:hyperlink r:id="rId9" w:history="1">
        <w:r w:rsidR="002010C6" w:rsidRPr="003910DF">
          <w:rPr>
            <w:rStyle w:val="Hipervnculo"/>
            <w:color w:val="auto"/>
            <w:u w:val="none"/>
            <w:shd w:val="clear" w:color="auto" w:fill="FFFFFF"/>
          </w:rPr>
          <w:t>producción</w:t>
        </w:r>
      </w:hyperlink>
      <w:r w:rsidR="002010C6" w:rsidRPr="003910DF">
        <w:t xml:space="preserve"> de una amplia gama de metabolitos </w:t>
      </w:r>
      <w:hyperlink r:id="rId10" w:history="1">
        <w:r w:rsidR="002010C6" w:rsidRPr="003910DF">
          <w:rPr>
            <w:rStyle w:val="Hipervnculo"/>
            <w:color w:val="auto"/>
            <w:u w:val="none"/>
            <w:shd w:val="clear" w:color="auto" w:fill="FFFFFF"/>
          </w:rPr>
          <w:t>activos</w:t>
        </w:r>
      </w:hyperlink>
      <w:r w:rsidR="002010C6" w:rsidRPr="003910DF">
        <w:t xml:space="preserve"> que influyen positivamente sobre el crecimiento y desarrollo saludable de l</w:t>
      </w:r>
      <w:r w:rsidR="00F420CD">
        <w:t>o</w:t>
      </w:r>
      <w:r w:rsidR="002010C6" w:rsidRPr="003910DF">
        <w:t xml:space="preserve">s </w:t>
      </w:r>
      <w:r w:rsidR="00F420CD">
        <w:t>cultivos</w:t>
      </w:r>
      <w:r w:rsidR="002010C6" w:rsidRPr="003910DF">
        <w:t>. A</w:t>
      </w:r>
      <w:r w:rsidRPr="003910DF">
        <w:t>ctúa en las plantas de dos formas, directamente por la supresión de patógenos</w:t>
      </w:r>
      <w:r w:rsidR="00240962">
        <w:t>,</w:t>
      </w:r>
      <w:r w:rsidRPr="003910DF">
        <w:t xml:space="preserve"> e indirectamente a través de la secreción de fitohormonas y vitaminas, o por el incremento de la absorción de minerales por la planta. Uno de los minerales más importantes es el hierro</w:t>
      </w:r>
      <w:r w:rsidR="00F420CD">
        <w:t>,</w:t>
      </w:r>
      <w:r w:rsidRPr="003910DF">
        <w:t xml:space="preserve"> que convertido en sideróforo (moléculas de bajo peso con afinidad a hierro (III) quelado) por ciertas cepas bacterianas está más disponible </w:t>
      </w:r>
      <w:r w:rsidR="00240962">
        <w:t>para</w:t>
      </w:r>
      <w:r w:rsidR="00240962" w:rsidRPr="003910DF">
        <w:t xml:space="preserve"> </w:t>
      </w:r>
      <w:r w:rsidRPr="003910DF">
        <w:t>la planta, reduciendo el uso de fertilizantes minerales (</w:t>
      </w:r>
      <w:r w:rsidR="00636E2A" w:rsidRPr="003910DF">
        <w:t>Hernández</w:t>
      </w:r>
      <w:r w:rsidRPr="003910DF">
        <w:t xml:space="preserve"> </w:t>
      </w:r>
      <w:r w:rsidRPr="003910DF">
        <w:rPr>
          <w:i/>
        </w:rPr>
        <w:t>et al</w:t>
      </w:r>
      <w:r w:rsidRPr="003910DF">
        <w:t>.</w:t>
      </w:r>
      <w:r w:rsidR="00240962">
        <w:t>,</w:t>
      </w:r>
      <w:r w:rsidRPr="003910DF">
        <w:t xml:space="preserve"> 200</w:t>
      </w:r>
      <w:r w:rsidR="00636E2A" w:rsidRPr="003910DF">
        <w:t>4</w:t>
      </w:r>
      <w:r w:rsidRPr="003910DF">
        <w:t>).</w:t>
      </w:r>
    </w:p>
    <w:p w:rsidR="002010C6" w:rsidRPr="003910DF" w:rsidRDefault="002010C6" w:rsidP="00356A7E">
      <w:pPr>
        <w:pStyle w:val="NormalWeb1"/>
        <w:spacing w:after="0" w:line="360" w:lineRule="auto"/>
        <w:jc w:val="both"/>
      </w:pPr>
    </w:p>
    <w:p w:rsidR="002010C6" w:rsidRPr="003910DF" w:rsidRDefault="002010C6" w:rsidP="00356A7E">
      <w:pPr>
        <w:pStyle w:val="NormalWeb1"/>
        <w:spacing w:after="0" w:line="360" w:lineRule="auto"/>
        <w:jc w:val="both"/>
      </w:pPr>
      <w:r w:rsidRPr="003910DF">
        <w:t xml:space="preserve">De este género existen cepas patogénicas y </w:t>
      </w:r>
      <w:r w:rsidR="00240962" w:rsidRPr="003910DF">
        <w:t>saprof</w:t>
      </w:r>
      <w:r w:rsidR="00240962">
        <w:t>í</w:t>
      </w:r>
      <w:r w:rsidR="00240962" w:rsidRPr="003910DF">
        <w:t>ticas</w:t>
      </w:r>
      <w:r w:rsidRPr="003910DF">
        <w:t xml:space="preserve">, </w:t>
      </w:r>
      <w:r w:rsidR="00240962">
        <w:t>debido</w:t>
      </w:r>
      <w:r w:rsidR="00240962" w:rsidRPr="003910DF">
        <w:t xml:space="preserve"> </w:t>
      </w:r>
      <w:r w:rsidRPr="003910DF">
        <w:t xml:space="preserve">fundamentalmente </w:t>
      </w:r>
      <w:r w:rsidR="00240962">
        <w:t>a</w:t>
      </w:r>
      <w:r w:rsidR="00240962" w:rsidRPr="003910DF">
        <w:t xml:space="preserve"> </w:t>
      </w:r>
      <w:r w:rsidRPr="003910DF">
        <w:t xml:space="preserve">su gran diversidad </w:t>
      </w:r>
      <w:hyperlink r:id="rId11" w:history="1">
        <w:r w:rsidRPr="003910DF">
          <w:rPr>
            <w:rStyle w:val="Hipervnculo"/>
            <w:color w:val="auto"/>
            <w:u w:val="none"/>
            <w:shd w:val="clear" w:color="auto" w:fill="FFFFFF"/>
          </w:rPr>
          <w:t>genética</w:t>
        </w:r>
      </w:hyperlink>
      <w:r w:rsidRPr="003910DF">
        <w:t>. De aquí la importancia de trabajar con su parte activa, es decir</w:t>
      </w:r>
      <w:r w:rsidR="00240962">
        <w:t>,</w:t>
      </w:r>
      <w:r w:rsidRPr="003910DF">
        <w:t xml:space="preserve"> con los metabolitos secundarios que al parecer son los responsables de los efectos benéficos en plantas por lo que</w:t>
      </w:r>
      <w:r w:rsidR="00F420CD">
        <w:t>,</w:t>
      </w:r>
      <w:r w:rsidRPr="003910DF">
        <w:t xml:space="preserve"> al eliminar </w:t>
      </w:r>
      <w:hyperlink r:id="rId12" w:history="1">
        <w:r w:rsidRPr="003910DF">
          <w:rPr>
            <w:rStyle w:val="Hipervnculo"/>
            <w:color w:val="auto"/>
            <w:u w:val="none"/>
            <w:shd w:val="clear" w:color="auto" w:fill="FFFFFF"/>
          </w:rPr>
          <w:t>la célula</w:t>
        </w:r>
      </w:hyperlink>
      <w:r w:rsidRPr="003910DF">
        <w:t xml:space="preserve"> se evita cualquier problema de índole ecológico. </w:t>
      </w:r>
    </w:p>
    <w:p w:rsidR="007229BF" w:rsidRPr="003910DF" w:rsidRDefault="007229BF" w:rsidP="00356A7E">
      <w:pPr>
        <w:autoSpaceDE w:val="0"/>
        <w:autoSpaceDN w:val="0"/>
        <w:adjustRightInd w:val="0"/>
        <w:spacing w:line="360" w:lineRule="auto"/>
        <w:jc w:val="both"/>
      </w:pPr>
    </w:p>
    <w:p w:rsidR="002010C6" w:rsidRPr="003910DF" w:rsidRDefault="004267D9" w:rsidP="00356A7E">
      <w:pPr>
        <w:autoSpaceDE w:val="0"/>
        <w:autoSpaceDN w:val="0"/>
        <w:adjustRightInd w:val="0"/>
        <w:spacing w:line="360" w:lineRule="auto"/>
        <w:jc w:val="both"/>
      </w:pPr>
      <w:r>
        <w:t>En el mundo</w:t>
      </w:r>
      <w:r w:rsidR="00240962">
        <w:t>,</w:t>
      </w:r>
      <w:r>
        <w:t xml:space="preserve"> el hecho de usar metabolitos activos de </w:t>
      </w:r>
      <w:r w:rsidRPr="004267D9">
        <w:rPr>
          <w:i/>
        </w:rPr>
        <w:t>Pseudomona sp</w:t>
      </w:r>
      <w:r>
        <w:t xml:space="preserve"> como activadores de diferentes mecanismos en las plantas</w:t>
      </w:r>
      <w:r w:rsidR="00240962" w:rsidRPr="00240962">
        <w:t xml:space="preserve"> </w:t>
      </w:r>
      <w:r w:rsidR="00240962">
        <w:t>no es una temática ampliamente abordada</w:t>
      </w:r>
      <w:r>
        <w:t xml:space="preserve">, algunos </w:t>
      </w:r>
      <w:r>
        <w:lastRenderedPageBreak/>
        <w:t>autores refieren su efectividad sobre todo desde el punto de vista de su utilización como biocontrol de enfermedades en los cultivos (</w:t>
      </w:r>
      <w:r>
        <w:rPr>
          <w:rStyle w:val="CitaHTML"/>
          <w:i w:val="0"/>
          <w:iCs w:val="0"/>
        </w:rPr>
        <w:t xml:space="preserve">Prithiviraj </w:t>
      </w:r>
      <w:r w:rsidRPr="004267D9">
        <w:rPr>
          <w:rStyle w:val="CitaHTML"/>
          <w:iCs w:val="0"/>
        </w:rPr>
        <w:t>et al</w:t>
      </w:r>
      <w:r w:rsidR="00240962">
        <w:rPr>
          <w:rStyle w:val="CitaHTML"/>
          <w:i w:val="0"/>
          <w:iCs w:val="0"/>
        </w:rPr>
        <w:t>.,</w:t>
      </w:r>
      <w:r>
        <w:rPr>
          <w:rStyle w:val="CitaHTML"/>
          <w:i w:val="0"/>
          <w:iCs w:val="0"/>
        </w:rPr>
        <w:t xml:space="preserve"> 2005). </w:t>
      </w:r>
      <w:r w:rsidR="002010C6" w:rsidRPr="003910DF">
        <w:t>En Cuba, a partir de metabolitos activ</w:t>
      </w:r>
      <w:r w:rsidR="007229BF" w:rsidRPr="003910DF">
        <w:t xml:space="preserve">os de </w:t>
      </w:r>
      <w:r w:rsidR="007229BF" w:rsidRPr="003910DF">
        <w:rPr>
          <w:i/>
        </w:rPr>
        <w:t>Pseudomona aeruginosa</w:t>
      </w:r>
      <w:r w:rsidR="007229BF" w:rsidRPr="003910DF">
        <w:t xml:space="preserve"> se </w:t>
      </w:r>
      <w:r w:rsidR="002010C6" w:rsidRPr="003910DF">
        <w:t>obtuvo el producto de nombre comercial Gluticid</w:t>
      </w:r>
      <w:r w:rsidR="00F420CD">
        <w:t>®</w:t>
      </w:r>
      <w:r w:rsidR="007229BF" w:rsidRPr="003910DF">
        <w:t xml:space="preserve">, del cual se ha </w:t>
      </w:r>
      <w:r w:rsidR="007A7B8C" w:rsidRPr="003910DF">
        <w:t>evaluado</w:t>
      </w:r>
      <w:r w:rsidR="007229BF" w:rsidRPr="003910DF">
        <w:t xml:space="preserve"> su efecto </w:t>
      </w:r>
      <w:r w:rsidR="00781345">
        <w:t>en el crecimiento y desarrollo de</w:t>
      </w:r>
      <w:r w:rsidR="007229BF" w:rsidRPr="003910DF">
        <w:t xml:space="preserve"> diferentes cultivos agrícolas.</w:t>
      </w:r>
    </w:p>
    <w:p w:rsidR="007229BF" w:rsidRPr="003910DF" w:rsidRDefault="007229BF" w:rsidP="00356A7E">
      <w:pPr>
        <w:autoSpaceDE w:val="0"/>
        <w:autoSpaceDN w:val="0"/>
        <w:adjustRightInd w:val="0"/>
        <w:spacing w:line="360" w:lineRule="auto"/>
        <w:jc w:val="both"/>
      </w:pPr>
      <w:r w:rsidRPr="003910DF">
        <w:t xml:space="preserve">El presente trabajo tuvo como objetivo evaluar la </w:t>
      </w:r>
      <w:r w:rsidR="00E32378">
        <w:t>efectividad</w:t>
      </w:r>
      <w:r w:rsidR="007A7B8C" w:rsidRPr="003910DF">
        <w:t xml:space="preserve"> </w:t>
      </w:r>
      <w:r w:rsidR="00E32378" w:rsidRPr="003910DF">
        <w:t xml:space="preserve">del producto </w:t>
      </w:r>
      <w:r w:rsidR="00E32378">
        <w:t xml:space="preserve">comercial </w:t>
      </w:r>
      <w:r w:rsidR="00E32378" w:rsidRPr="003910DF">
        <w:t>Gluticid</w:t>
      </w:r>
      <w:r w:rsidR="00E32378">
        <w:t>® en</w:t>
      </w:r>
      <w:r w:rsidRPr="003910DF">
        <w:t xml:space="preserve"> plantas de tomate, según su efecto en el crecimiento, desarrollo y rendimiento del cultivo.</w:t>
      </w:r>
    </w:p>
    <w:p w:rsidR="00781345" w:rsidRDefault="00781345" w:rsidP="00356A7E">
      <w:pPr>
        <w:spacing w:line="360" w:lineRule="auto"/>
        <w:jc w:val="both"/>
        <w:rPr>
          <w:b/>
        </w:rPr>
      </w:pPr>
    </w:p>
    <w:p w:rsidR="0090189E" w:rsidRPr="003910DF" w:rsidRDefault="007229BF" w:rsidP="00356A7E">
      <w:pPr>
        <w:spacing w:line="360" w:lineRule="auto"/>
        <w:jc w:val="both"/>
        <w:rPr>
          <w:b/>
        </w:rPr>
      </w:pPr>
      <w:r w:rsidRPr="003910DF">
        <w:rPr>
          <w:b/>
        </w:rPr>
        <w:t xml:space="preserve">Materiales y </w:t>
      </w:r>
      <w:r w:rsidR="00240962">
        <w:rPr>
          <w:b/>
        </w:rPr>
        <w:t>m</w:t>
      </w:r>
      <w:r w:rsidR="00240962" w:rsidRPr="003910DF">
        <w:rPr>
          <w:b/>
        </w:rPr>
        <w:t>étodos</w:t>
      </w:r>
    </w:p>
    <w:p w:rsidR="00FB5324" w:rsidRPr="003910DF" w:rsidRDefault="00FB5324" w:rsidP="00356A7E">
      <w:pPr>
        <w:autoSpaceDE w:val="0"/>
        <w:autoSpaceDN w:val="0"/>
        <w:adjustRightInd w:val="0"/>
        <w:spacing w:line="360" w:lineRule="auto"/>
      </w:pPr>
    </w:p>
    <w:p w:rsidR="007229BF" w:rsidRDefault="007229BF" w:rsidP="00356A7E">
      <w:pPr>
        <w:spacing w:line="360" w:lineRule="auto"/>
        <w:jc w:val="both"/>
        <w:rPr>
          <w:lang w:val="es-MX"/>
        </w:rPr>
      </w:pPr>
      <w:r w:rsidRPr="003910DF">
        <w:rPr>
          <w:lang w:val="es-MX"/>
        </w:rPr>
        <w:t>El trabajo experimental fue realizado entre los meses de octubre</w:t>
      </w:r>
      <w:r w:rsidR="00240962">
        <w:rPr>
          <w:lang w:val="es-MX"/>
        </w:rPr>
        <w:t>-</w:t>
      </w:r>
      <w:r w:rsidRPr="003910DF">
        <w:rPr>
          <w:lang w:val="es-MX"/>
        </w:rPr>
        <w:t>diciembre de 200</w:t>
      </w:r>
      <w:r w:rsidR="00781345">
        <w:rPr>
          <w:lang w:val="es-MX"/>
        </w:rPr>
        <w:t>8</w:t>
      </w:r>
      <w:r w:rsidRPr="003910DF">
        <w:rPr>
          <w:lang w:val="es-MX"/>
        </w:rPr>
        <w:t xml:space="preserve"> y 200</w:t>
      </w:r>
      <w:r w:rsidR="00781345">
        <w:rPr>
          <w:lang w:val="es-MX"/>
        </w:rPr>
        <w:t>9</w:t>
      </w:r>
      <w:r w:rsidRPr="003910DF">
        <w:rPr>
          <w:lang w:val="es-MX"/>
        </w:rPr>
        <w:t>, en el área experimental del Instituto Nacional de Ciencias Agrícolas (INCA), ubicado</w:t>
      </w:r>
      <w:r w:rsidR="00F3117D">
        <w:rPr>
          <w:lang w:val="es-MX"/>
        </w:rPr>
        <w:t xml:space="preserve"> en</w:t>
      </w:r>
      <w:r w:rsidRPr="003910DF">
        <w:rPr>
          <w:lang w:val="es-MX"/>
        </w:rPr>
        <w:t xml:space="preserve"> San José de las Lajas, provincia La Habana, Cuba</w:t>
      </w:r>
      <w:r w:rsidR="00240962">
        <w:rPr>
          <w:lang w:val="es-MX"/>
        </w:rPr>
        <w:t>,</w:t>
      </w:r>
      <w:r w:rsidR="00240962" w:rsidRPr="003910DF">
        <w:rPr>
          <w:lang w:val="es-MX"/>
        </w:rPr>
        <w:t xml:space="preserve"> </w:t>
      </w:r>
      <w:r w:rsidRPr="003910DF">
        <w:rPr>
          <w:lang w:val="es-MX"/>
        </w:rPr>
        <w:t xml:space="preserve">en un suelo </w:t>
      </w:r>
      <w:r w:rsidR="00240962">
        <w:rPr>
          <w:lang w:val="es-MX"/>
        </w:rPr>
        <w:t>f</w:t>
      </w:r>
      <w:r w:rsidR="00240962" w:rsidRPr="003910DF">
        <w:rPr>
          <w:lang w:val="es-MX"/>
        </w:rPr>
        <w:t xml:space="preserve">erralítico </w:t>
      </w:r>
      <w:r w:rsidR="00240962">
        <w:rPr>
          <w:lang w:val="es-MX"/>
        </w:rPr>
        <w:t>r</w:t>
      </w:r>
      <w:r w:rsidR="00240962" w:rsidRPr="003910DF">
        <w:rPr>
          <w:lang w:val="es-MX"/>
        </w:rPr>
        <w:t xml:space="preserve">ojo </w:t>
      </w:r>
      <w:r w:rsidRPr="003910DF">
        <w:rPr>
          <w:lang w:val="es-MX"/>
        </w:rPr>
        <w:t>lixiviado típico</w:t>
      </w:r>
      <w:r w:rsidR="00330C89" w:rsidRPr="003910DF">
        <w:rPr>
          <w:lang w:val="es-MX"/>
        </w:rPr>
        <w:t xml:space="preserve"> (Hernández, 1999).</w:t>
      </w:r>
      <w:r w:rsidRPr="003910DF">
        <w:rPr>
          <w:lang w:val="es-MX"/>
        </w:rPr>
        <w:t xml:space="preserve"> La caracterización de un perfil de este suelo</w:t>
      </w:r>
      <w:r w:rsidR="00F3117D">
        <w:rPr>
          <w:lang w:val="es-MX"/>
        </w:rPr>
        <w:t xml:space="preserve"> en dos profundidades,</w:t>
      </w:r>
      <w:r w:rsidRPr="003910DF">
        <w:rPr>
          <w:lang w:val="es-MX"/>
        </w:rPr>
        <w:t xml:space="preserve"> se presenta en la </w:t>
      </w:r>
      <w:r w:rsidR="00240962">
        <w:rPr>
          <w:lang w:val="es-MX"/>
        </w:rPr>
        <w:t>t</w:t>
      </w:r>
      <w:r w:rsidR="00240962" w:rsidRPr="003910DF">
        <w:rPr>
          <w:lang w:val="es-MX"/>
        </w:rPr>
        <w:t xml:space="preserve">abla </w:t>
      </w:r>
      <w:r w:rsidRPr="003910DF">
        <w:rPr>
          <w:lang w:val="es-MX"/>
        </w:rPr>
        <w:t>1.</w:t>
      </w:r>
    </w:p>
    <w:p w:rsidR="00484F06" w:rsidRPr="003910DF" w:rsidRDefault="00484F06" w:rsidP="00356A7E">
      <w:pPr>
        <w:spacing w:line="360" w:lineRule="auto"/>
        <w:jc w:val="both"/>
        <w:rPr>
          <w:lang w:val="es-MX"/>
        </w:rPr>
      </w:pPr>
    </w:p>
    <w:p w:rsidR="007229BF" w:rsidRPr="003910DF" w:rsidRDefault="007229BF" w:rsidP="00356A7E">
      <w:pPr>
        <w:spacing w:line="360" w:lineRule="auto"/>
        <w:jc w:val="both"/>
        <w:rPr>
          <w:b/>
          <w:lang w:val="es-MX"/>
        </w:rPr>
      </w:pPr>
      <w:r w:rsidRPr="003910DF">
        <w:rPr>
          <w:b/>
          <w:lang w:val="es-MX"/>
        </w:rPr>
        <w:t>Tabla 1. Características químicas del suelo</w:t>
      </w:r>
    </w:p>
    <w:tbl>
      <w:tblPr>
        <w:tblW w:w="9430" w:type="dxa"/>
        <w:tblBorders>
          <w:top w:val="single" w:sz="12" w:space="0" w:color="008000"/>
          <w:bottom w:val="single" w:sz="12" w:space="0" w:color="008000"/>
        </w:tblBorders>
        <w:tblLayout w:type="fixed"/>
        <w:tblLook w:val="0000"/>
      </w:tblPr>
      <w:tblGrid>
        <w:gridCol w:w="1346"/>
        <w:gridCol w:w="1642"/>
        <w:gridCol w:w="682"/>
        <w:gridCol w:w="720"/>
        <w:gridCol w:w="900"/>
        <w:gridCol w:w="1260"/>
        <w:gridCol w:w="900"/>
        <w:gridCol w:w="1080"/>
        <w:gridCol w:w="900"/>
      </w:tblGrid>
      <w:tr w:rsidR="007229BF" w:rsidRPr="00FA5B95">
        <w:tc>
          <w:tcPr>
            <w:tcW w:w="1346" w:type="dxa"/>
            <w:shd w:val="clear" w:color="auto" w:fill="auto"/>
          </w:tcPr>
          <w:p w:rsidR="007229BF" w:rsidRPr="00FA5B95" w:rsidRDefault="007229BF" w:rsidP="00356A7E">
            <w:pPr>
              <w:spacing w:line="360" w:lineRule="auto"/>
              <w:jc w:val="center"/>
              <w:rPr>
                <w:b/>
                <w:lang w:val="es-MX"/>
              </w:rPr>
            </w:pPr>
            <w:r w:rsidRPr="00FA5B95">
              <w:rPr>
                <w:b/>
                <w:lang w:val="es-MX"/>
              </w:rPr>
              <w:t>Horizonte</w:t>
            </w:r>
          </w:p>
        </w:tc>
        <w:tc>
          <w:tcPr>
            <w:tcW w:w="1642" w:type="dxa"/>
            <w:shd w:val="clear" w:color="auto" w:fill="auto"/>
          </w:tcPr>
          <w:p w:rsidR="007229BF" w:rsidRPr="00FA5B95" w:rsidRDefault="007229BF" w:rsidP="00356A7E">
            <w:pPr>
              <w:spacing w:line="360" w:lineRule="auto"/>
              <w:jc w:val="center"/>
              <w:rPr>
                <w:b/>
                <w:lang w:val="es-MX"/>
              </w:rPr>
            </w:pPr>
            <w:r w:rsidRPr="00FA5B95">
              <w:rPr>
                <w:b/>
                <w:lang w:val="es-MX"/>
              </w:rPr>
              <w:t>Profundidad (cm)</w:t>
            </w:r>
          </w:p>
        </w:tc>
        <w:tc>
          <w:tcPr>
            <w:tcW w:w="682" w:type="dxa"/>
            <w:shd w:val="clear" w:color="auto" w:fill="auto"/>
          </w:tcPr>
          <w:p w:rsidR="007229BF" w:rsidRPr="00FA5B95" w:rsidRDefault="007229BF" w:rsidP="00356A7E">
            <w:pPr>
              <w:spacing w:line="360" w:lineRule="auto"/>
              <w:jc w:val="center"/>
              <w:rPr>
                <w:b/>
                <w:lang w:val="es-MX"/>
              </w:rPr>
            </w:pPr>
            <w:r w:rsidRPr="00FA5B95">
              <w:rPr>
                <w:b/>
                <w:lang w:val="es-MX"/>
              </w:rPr>
              <w:t>PH</w:t>
            </w:r>
          </w:p>
          <w:p w:rsidR="007229BF" w:rsidRPr="00FA5B95" w:rsidRDefault="007229BF" w:rsidP="00356A7E">
            <w:pPr>
              <w:spacing w:line="360" w:lineRule="auto"/>
              <w:jc w:val="center"/>
              <w:rPr>
                <w:b/>
                <w:lang w:val="es-MX"/>
              </w:rPr>
            </w:pPr>
            <w:r w:rsidRPr="00FA5B95">
              <w:rPr>
                <w:b/>
                <w:lang w:val="es-MX"/>
              </w:rPr>
              <w:t>H</w:t>
            </w:r>
            <w:r w:rsidRPr="00FA5B95">
              <w:rPr>
                <w:b/>
                <w:vertAlign w:val="subscript"/>
                <w:lang w:val="es-MX"/>
              </w:rPr>
              <w:t>2</w:t>
            </w:r>
            <w:r w:rsidRPr="00FA5B95">
              <w:rPr>
                <w:b/>
                <w:lang w:val="es-MX"/>
              </w:rPr>
              <w:t>O</w:t>
            </w:r>
          </w:p>
        </w:tc>
        <w:tc>
          <w:tcPr>
            <w:tcW w:w="720" w:type="dxa"/>
            <w:shd w:val="clear" w:color="auto" w:fill="auto"/>
          </w:tcPr>
          <w:p w:rsidR="007229BF" w:rsidRPr="00FA5B95" w:rsidRDefault="007229BF" w:rsidP="00356A7E">
            <w:pPr>
              <w:spacing w:line="360" w:lineRule="auto"/>
              <w:jc w:val="center"/>
              <w:rPr>
                <w:b/>
                <w:lang w:val="es-MX"/>
              </w:rPr>
            </w:pPr>
            <w:r w:rsidRPr="00FA5B95">
              <w:rPr>
                <w:b/>
                <w:lang w:val="es-MX"/>
              </w:rPr>
              <w:t>M.O</w:t>
            </w:r>
          </w:p>
          <w:p w:rsidR="007229BF" w:rsidRPr="00FA5B95" w:rsidRDefault="007229BF" w:rsidP="00356A7E">
            <w:pPr>
              <w:spacing w:line="360" w:lineRule="auto"/>
              <w:jc w:val="center"/>
              <w:rPr>
                <w:b/>
                <w:lang w:val="es-MX"/>
              </w:rPr>
            </w:pPr>
            <w:r w:rsidRPr="00FA5B95">
              <w:rPr>
                <w:b/>
                <w:lang w:val="es-MX"/>
              </w:rPr>
              <w:t>(%)</w:t>
            </w:r>
          </w:p>
        </w:tc>
        <w:tc>
          <w:tcPr>
            <w:tcW w:w="5040" w:type="dxa"/>
            <w:gridSpan w:val="5"/>
            <w:shd w:val="clear" w:color="auto" w:fill="auto"/>
          </w:tcPr>
          <w:p w:rsidR="007229BF" w:rsidRPr="00FA5B95" w:rsidRDefault="007229BF" w:rsidP="00356A7E">
            <w:pPr>
              <w:spacing w:line="360" w:lineRule="auto"/>
              <w:jc w:val="center"/>
              <w:rPr>
                <w:b/>
                <w:lang w:val="es-MX"/>
              </w:rPr>
            </w:pPr>
            <w:r w:rsidRPr="00FA5B95">
              <w:rPr>
                <w:b/>
                <w:lang w:val="es-MX"/>
              </w:rPr>
              <w:t xml:space="preserve">Cationes cambiables </w:t>
            </w:r>
          </w:p>
          <w:p w:rsidR="007229BF" w:rsidRPr="00FA5B95" w:rsidRDefault="007229BF" w:rsidP="00240962">
            <w:pPr>
              <w:spacing w:line="360" w:lineRule="auto"/>
              <w:jc w:val="center"/>
              <w:rPr>
                <w:b/>
                <w:lang w:val="es-MX"/>
              </w:rPr>
            </w:pPr>
            <w:r w:rsidRPr="00FA5B95">
              <w:rPr>
                <w:b/>
                <w:lang w:val="es-MX"/>
              </w:rPr>
              <w:t>(cmol</w:t>
            </w:r>
            <w:r w:rsidR="00240962">
              <w:rPr>
                <w:b/>
                <w:lang w:val="es-MX"/>
              </w:rPr>
              <w:t>/</w:t>
            </w:r>
            <w:r w:rsidRPr="00FA5B95">
              <w:rPr>
                <w:b/>
                <w:lang w:val="es-MX"/>
              </w:rPr>
              <w:t>kg</w:t>
            </w:r>
            <w:r w:rsidRPr="00FA5B95">
              <w:rPr>
                <w:b/>
                <w:vertAlign w:val="superscript"/>
                <w:lang w:val="es-MX"/>
              </w:rPr>
              <w:t>-1</w:t>
            </w:r>
            <w:r w:rsidRPr="00FA5B95">
              <w:rPr>
                <w:b/>
                <w:lang w:val="es-MX"/>
              </w:rPr>
              <w:t>)</w:t>
            </w:r>
          </w:p>
        </w:tc>
      </w:tr>
      <w:tr w:rsidR="007229BF" w:rsidRPr="00FA5B95">
        <w:tc>
          <w:tcPr>
            <w:tcW w:w="4390" w:type="dxa"/>
            <w:gridSpan w:val="4"/>
            <w:shd w:val="clear" w:color="auto" w:fill="auto"/>
          </w:tcPr>
          <w:p w:rsidR="007229BF" w:rsidRPr="00FA5B95" w:rsidRDefault="007229BF" w:rsidP="00356A7E">
            <w:pPr>
              <w:spacing w:line="360" w:lineRule="auto"/>
              <w:jc w:val="center"/>
              <w:rPr>
                <w:lang w:val="es-MX"/>
              </w:rPr>
            </w:pP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Calcio</w:t>
            </w:r>
          </w:p>
        </w:tc>
        <w:tc>
          <w:tcPr>
            <w:tcW w:w="1260" w:type="dxa"/>
            <w:shd w:val="clear" w:color="auto" w:fill="auto"/>
          </w:tcPr>
          <w:p w:rsidR="007229BF" w:rsidRPr="00FA5B95" w:rsidRDefault="007229BF" w:rsidP="00356A7E">
            <w:pPr>
              <w:spacing w:line="360" w:lineRule="auto"/>
              <w:jc w:val="center"/>
              <w:rPr>
                <w:lang w:val="es-MX"/>
              </w:rPr>
            </w:pPr>
            <w:r w:rsidRPr="00FA5B95">
              <w:rPr>
                <w:lang w:val="es-MX"/>
              </w:rPr>
              <w:t>Magnesio</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Sodio</w:t>
            </w:r>
          </w:p>
        </w:tc>
        <w:tc>
          <w:tcPr>
            <w:tcW w:w="1080" w:type="dxa"/>
            <w:shd w:val="clear" w:color="auto" w:fill="auto"/>
          </w:tcPr>
          <w:p w:rsidR="007229BF" w:rsidRPr="00FA5B95" w:rsidRDefault="007229BF" w:rsidP="00356A7E">
            <w:pPr>
              <w:spacing w:line="360" w:lineRule="auto"/>
              <w:jc w:val="center"/>
              <w:rPr>
                <w:lang w:val="es-MX"/>
              </w:rPr>
            </w:pPr>
            <w:r w:rsidRPr="00FA5B95">
              <w:rPr>
                <w:lang w:val="es-MX"/>
              </w:rPr>
              <w:t>Potasio</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Suma</w:t>
            </w:r>
          </w:p>
        </w:tc>
      </w:tr>
      <w:tr w:rsidR="007229BF" w:rsidRPr="00FA5B95">
        <w:tc>
          <w:tcPr>
            <w:tcW w:w="1346" w:type="dxa"/>
            <w:shd w:val="clear" w:color="auto" w:fill="auto"/>
          </w:tcPr>
          <w:p w:rsidR="007229BF" w:rsidRPr="00FA5B95" w:rsidRDefault="007229BF" w:rsidP="00356A7E">
            <w:pPr>
              <w:spacing w:line="360" w:lineRule="auto"/>
              <w:jc w:val="center"/>
              <w:rPr>
                <w:lang w:val="es-MX"/>
              </w:rPr>
            </w:pPr>
            <w:r w:rsidRPr="00FA5B95">
              <w:rPr>
                <w:lang w:val="es-MX"/>
              </w:rPr>
              <w:t>A11p</w:t>
            </w:r>
          </w:p>
        </w:tc>
        <w:tc>
          <w:tcPr>
            <w:tcW w:w="1642" w:type="dxa"/>
            <w:shd w:val="clear" w:color="auto" w:fill="auto"/>
          </w:tcPr>
          <w:p w:rsidR="007229BF" w:rsidRPr="00FA5B95" w:rsidRDefault="007229BF" w:rsidP="00356A7E">
            <w:pPr>
              <w:spacing w:line="360" w:lineRule="auto"/>
              <w:jc w:val="center"/>
              <w:rPr>
                <w:lang w:val="es-MX"/>
              </w:rPr>
            </w:pPr>
            <w:r w:rsidRPr="00FA5B95">
              <w:rPr>
                <w:lang w:val="es-MX"/>
              </w:rPr>
              <w:t>0-12</w:t>
            </w:r>
          </w:p>
        </w:tc>
        <w:tc>
          <w:tcPr>
            <w:tcW w:w="682" w:type="dxa"/>
            <w:shd w:val="clear" w:color="auto" w:fill="auto"/>
          </w:tcPr>
          <w:p w:rsidR="007229BF" w:rsidRPr="00FA5B95" w:rsidRDefault="007229BF" w:rsidP="00356A7E">
            <w:pPr>
              <w:spacing w:line="360" w:lineRule="auto"/>
              <w:jc w:val="center"/>
              <w:rPr>
                <w:lang w:val="es-MX"/>
              </w:rPr>
            </w:pPr>
            <w:r w:rsidRPr="00FA5B95">
              <w:rPr>
                <w:lang w:val="es-MX"/>
              </w:rPr>
              <w:t>7</w:t>
            </w:r>
            <w:r w:rsidR="00F3117D" w:rsidRPr="00FA5B95">
              <w:rPr>
                <w:lang w:val="es-MX"/>
              </w:rPr>
              <w:t>,</w:t>
            </w:r>
            <w:r w:rsidRPr="00FA5B95">
              <w:rPr>
                <w:lang w:val="es-MX"/>
              </w:rPr>
              <w:t>5</w:t>
            </w:r>
          </w:p>
        </w:tc>
        <w:tc>
          <w:tcPr>
            <w:tcW w:w="720" w:type="dxa"/>
            <w:shd w:val="clear" w:color="auto" w:fill="auto"/>
          </w:tcPr>
          <w:p w:rsidR="007229BF" w:rsidRPr="00FA5B95" w:rsidRDefault="007229BF" w:rsidP="00356A7E">
            <w:pPr>
              <w:spacing w:line="360" w:lineRule="auto"/>
              <w:jc w:val="center"/>
              <w:rPr>
                <w:lang w:val="es-MX"/>
              </w:rPr>
            </w:pPr>
            <w:r w:rsidRPr="00FA5B95">
              <w:rPr>
                <w:lang w:val="es-MX"/>
              </w:rPr>
              <w:t>1</w:t>
            </w:r>
            <w:r w:rsidR="00F3117D" w:rsidRPr="00FA5B95">
              <w:rPr>
                <w:lang w:val="es-MX"/>
              </w:rPr>
              <w:t>,</w:t>
            </w:r>
            <w:r w:rsidRPr="00FA5B95">
              <w:rPr>
                <w:lang w:val="es-MX"/>
              </w:rPr>
              <w:t>61</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16</w:t>
            </w:r>
            <w:r w:rsidR="00F3117D" w:rsidRPr="00FA5B95">
              <w:rPr>
                <w:lang w:val="es-MX"/>
              </w:rPr>
              <w:t>,</w:t>
            </w:r>
            <w:r w:rsidRPr="00FA5B95">
              <w:rPr>
                <w:lang w:val="es-MX"/>
              </w:rPr>
              <w:t>0</w:t>
            </w:r>
          </w:p>
        </w:tc>
        <w:tc>
          <w:tcPr>
            <w:tcW w:w="1260" w:type="dxa"/>
            <w:shd w:val="clear" w:color="auto" w:fill="auto"/>
          </w:tcPr>
          <w:p w:rsidR="007229BF" w:rsidRPr="00FA5B95" w:rsidRDefault="007229BF" w:rsidP="00356A7E">
            <w:pPr>
              <w:spacing w:line="360" w:lineRule="auto"/>
              <w:jc w:val="center"/>
              <w:rPr>
                <w:lang w:val="es-MX"/>
              </w:rPr>
            </w:pPr>
            <w:r w:rsidRPr="00FA5B95">
              <w:rPr>
                <w:lang w:val="es-MX"/>
              </w:rPr>
              <w:t>2</w:t>
            </w:r>
            <w:r w:rsidR="00F3117D" w:rsidRPr="00FA5B95">
              <w:rPr>
                <w:lang w:val="es-MX"/>
              </w:rPr>
              <w:t>,</w:t>
            </w:r>
            <w:r w:rsidRPr="00FA5B95">
              <w:rPr>
                <w:lang w:val="es-MX"/>
              </w:rPr>
              <w:t>0</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0</w:t>
            </w:r>
            <w:r w:rsidR="00F3117D" w:rsidRPr="00FA5B95">
              <w:rPr>
                <w:lang w:val="es-MX"/>
              </w:rPr>
              <w:t>,</w:t>
            </w:r>
            <w:r w:rsidRPr="00FA5B95">
              <w:rPr>
                <w:lang w:val="es-MX"/>
              </w:rPr>
              <w:t>1</w:t>
            </w:r>
          </w:p>
        </w:tc>
        <w:tc>
          <w:tcPr>
            <w:tcW w:w="1080" w:type="dxa"/>
            <w:shd w:val="clear" w:color="auto" w:fill="auto"/>
          </w:tcPr>
          <w:p w:rsidR="007229BF" w:rsidRPr="00FA5B95" w:rsidRDefault="007229BF" w:rsidP="00356A7E">
            <w:pPr>
              <w:spacing w:line="360" w:lineRule="auto"/>
              <w:jc w:val="center"/>
              <w:rPr>
                <w:lang w:val="es-MX"/>
              </w:rPr>
            </w:pPr>
            <w:r w:rsidRPr="00FA5B95">
              <w:rPr>
                <w:lang w:val="es-MX"/>
              </w:rPr>
              <w:t>0</w:t>
            </w:r>
            <w:r w:rsidR="00F3117D" w:rsidRPr="00FA5B95">
              <w:rPr>
                <w:lang w:val="es-MX"/>
              </w:rPr>
              <w:t>,</w:t>
            </w:r>
            <w:r w:rsidRPr="00FA5B95">
              <w:rPr>
                <w:lang w:val="es-MX"/>
              </w:rPr>
              <w:t>5</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18</w:t>
            </w:r>
            <w:r w:rsidR="00F3117D" w:rsidRPr="00FA5B95">
              <w:rPr>
                <w:lang w:val="es-MX"/>
              </w:rPr>
              <w:t>,</w:t>
            </w:r>
            <w:r w:rsidRPr="00FA5B95">
              <w:rPr>
                <w:lang w:val="es-MX"/>
              </w:rPr>
              <w:t>6</w:t>
            </w:r>
          </w:p>
        </w:tc>
      </w:tr>
      <w:tr w:rsidR="007229BF" w:rsidRPr="00FA5B95">
        <w:tc>
          <w:tcPr>
            <w:tcW w:w="1346" w:type="dxa"/>
            <w:shd w:val="clear" w:color="auto" w:fill="auto"/>
          </w:tcPr>
          <w:p w:rsidR="007229BF" w:rsidRPr="00FA5B95" w:rsidRDefault="007229BF" w:rsidP="00356A7E">
            <w:pPr>
              <w:spacing w:line="360" w:lineRule="auto"/>
              <w:jc w:val="center"/>
              <w:rPr>
                <w:lang w:val="es-MX"/>
              </w:rPr>
            </w:pPr>
            <w:r w:rsidRPr="00FA5B95">
              <w:rPr>
                <w:lang w:val="es-MX"/>
              </w:rPr>
              <w:t>B11t</w:t>
            </w:r>
          </w:p>
        </w:tc>
        <w:tc>
          <w:tcPr>
            <w:tcW w:w="1642" w:type="dxa"/>
            <w:shd w:val="clear" w:color="auto" w:fill="auto"/>
          </w:tcPr>
          <w:p w:rsidR="007229BF" w:rsidRPr="00FA5B95" w:rsidRDefault="007229BF" w:rsidP="00356A7E">
            <w:pPr>
              <w:spacing w:line="360" w:lineRule="auto"/>
              <w:jc w:val="center"/>
              <w:rPr>
                <w:lang w:val="es-MX"/>
              </w:rPr>
            </w:pPr>
            <w:r w:rsidRPr="00FA5B95">
              <w:rPr>
                <w:lang w:val="es-MX"/>
              </w:rPr>
              <w:t>12-22</w:t>
            </w:r>
          </w:p>
        </w:tc>
        <w:tc>
          <w:tcPr>
            <w:tcW w:w="682" w:type="dxa"/>
            <w:shd w:val="clear" w:color="auto" w:fill="auto"/>
          </w:tcPr>
          <w:p w:rsidR="007229BF" w:rsidRPr="00FA5B95" w:rsidRDefault="007229BF" w:rsidP="00356A7E">
            <w:pPr>
              <w:spacing w:line="360" w:lineRule="auto"/>
              <w:jc w:val="center"/>
              <w:rPr>
                <w:lang w:val="es-MX"/>
              </w:rPr>
            </w:pPr>
            <w:r w:rsidRPr="00FA5B95">
              <w:rPr>
                <w:lang w:val="es-MX"/>
              </w:rPr>
              <w:t>7</w:t>
            </w:r>
            <w:r w:rsidR="00F3117D" w:rsidRPr="00FA5B95">
              <w:rPr>
                <w:lang w:val="es-MX"/>
              </w:rPr>
              <w:t>,</w:t>
            </w:r>
            <w:r w:rsidRPr="00FA5B95">
              <w:rPr>
                <w:lang w:val="es-MX"/>
              </w:rPr>
              <w:t>4</w:t>
            </w:r>
          </w:p>
        </w:tc>
        <w:tc>
          <w:tcPr>
            <w:tcW w:w="720" w:type="dxa"/>
            <w:shd w:val="clear" w:color="auto" w:fill="auto"/>
          </w:tcPr>
          <w:p w:rsidR="007229BF" w:rsidRPr="00FA5B95" w:rsidRDefault="007229BF" w:rsidP="00356A7E">
            <w:pPr>
              <w:spacing w:line="360" w:lineRule="auto"/>
              <w:jc w:val="center"/>
              <w:rPr>
                <w:lang w:val="es-MX"/>
              </w:rPr>
            </w:pPr>
            <w:r w:rsidRPr="00FA5B95">
              <w:rPr>
                <w:lang w:val="es-MX"/>
              </w:rPr>
              <w:t>1</w:t>
            </w:r>
            <w:r w:rsidR="00F3117D" w:rsidRPr="00FA5B95">
              <w:rPr>
                <w:lang w:val="es-MX"/>
              </w:rPr>
              <w:t>,</w:t>
            </w:r>
            <w:r w:rsidRPr="00FA5B95">
              <w:rPr>
                <w:lang w:val="es-MX"/>
              </w:rPr>
              <w:t>67</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17</w:t>
            </w:r>
            <w:r w:rsidR="00F3117D" w:rsidRPr="00FA5B95">
              <w:rPr>
                <w:lang w:val="es-MX"/>
              </w:rPr>
              <w:t>,</w:t>
            </w:r>
            <w:r w:rsidRPr="00FA5B95">
              <w:rPr>
                <w:lang w:val="es-MX"/>
              </w:rPr>
              <w:t>5</w:t>
            </w:r>
          </w:p>
        </w:tc>
        <w:tc>
          <w:tcPr>
            <w:tcW w:w="1260" w:type="dxa"/>
            <w:shd w:val="clear" w:color="auto" w:fill="auto"/>
          </w:tcPr>
          <w:p w:rsidR="007229BF" w:rsidRPr="00FA5B95" w:rsidRDefault="007229BF" w:rsidP="00356A7E">
            <w:pPr>
              <w:spacing w:line="360" w:lineRule="auto"/>
              <w:jc w:val="center"/>
              <w:rPr>
                <w:lang w:val="es-MX"/>
              </w:rPr>
            </w:pPr>
            <w:r w:rsidRPr="00FA5B95">
              <w:rPr>
                <w:lang w:val="es-MX"/>
              </w:rPr>
              <w:t>2</w:t>
            </w:r>
            <w:r w:rsidR="00F3117D" w:rsidRPr="00FA5B95">
              <w:rPr>
                <w:lang w:val="es-MX"/>
              </w:rPr>
              <w:t>,</w:t>
            </w:r>
            <w:r w:rsidRPr="00FA5B95">
              <w:rPr>
                <w:lang w:val="es-MX"/>
              </w:rPr>
              <w:t>5</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0</w:t>
            </w:r>
            <w:r w:rsidR="00F3117D" w:rsidRPr="00FA5B95">
              <w:rPr>
                <w:lang w:val="es-MX"/>
              </w:rPr>
              <w:t>,</w:t>
            </w:r>
            <w:r w:rsidRPr="00FA5B95">
              <w:rPr>
                <w:lang w:val="es-MX"/>
              </w:rPr>
              <w:t>1</w:t>
            </w:r>
          </w:p>
        </w:tc>
        <w:tc>
          <w:tcPr>
            <w:tcW w:w="1080" w:type="dxa"/>
            <w:shd w:val="clear" w:color="auto" w:fill="auto"/>
          </w:tcPr>
          <w:p w:rsidR="007229BF" w:rsidRPr="00FA5B95" w:rsidRDefault="007229BF" w:rsidP="00356A7E">
            <w:pPr>
              <w:spacing w:line="360" w:lineRule="auto"/>
              <w:jc w:val="center"/>
              <w:rPr>
                <w:lang w:val="es-MX"/>
              </w:rPr>
            </w:pPr>
            <w:r w:rsidRPr="00FA5B95">
              <w:rPr>
                <w:lang w:val="es-MX"/>
              </w:rPr>
              <w:t>0</w:t>
            </w:r>
            <w:r w:rsidR="00F3117D" w:rsidRPr="00FA5B95">
              <w:rPr>
                <w:lang w:val="es-MX"/>
              </w:rPr>
              <w:t>,</w:t>
            </w:r>
            <w:r w:rsidRPr="00FA5B95">
              <w:rPr>
                <w:lang w:val="es-MX"/>
              </w:rPr>
              <w:t>5</w:t>
            </w:r>
          </w:p>
        </w:tc>
        <w:tc>
          <w:tcPr>
            <w:tcW w:w="900" w:type="dxa"/>
            <w:shd w:val="clear" w:color="auto" w:fill="auto"/>
          </w:tcPr>
          <w:p w:rsidR="007229BF" w:rsidRPr="00FA5B95" w:rsidRDefault="007229BF" w:rsidP="00356A7E">
            <w:pPr>
              <w:spacing w:line="360" w:lineRule="auto"/>
              <w:jc w:val="center"/>
              <w:rPr>
                <w:lang w:val="es-MX"/>
              </w:rPr>
            </w:pPr>
            <w:r w:rsidRPr="00FA5B95">
              <w:rPr>
                <w:lang w:val="es-MX"/>
              </w:rPr>
              <w:t>20</w:t>
            </w:r>
            <w:r w:rsidR="00F3117D" w:rsidRPr="00FA5B95">
              <w:rPr>
                <w:lang w:val="es-MX"/>
              </w:rPr>
              <w:t>,</w:t>
            </w:r>
            <w:r w:rsidRPr="00FA5B95">
              <w:rPr>
                <w:lang w:val="es-MX"/>
              </w:rPr>
              <w:t>6</w:t>
            </w:r>
          </w:p>
        </w:tc>
      </w:tr>
    </w:tbl>
    <w:p w:rsidR="00FB5324" w:rsidRPr="003910DF" w:rsidRDefault="00FB5324" w:rsidP="00356A7E">
      <w:pPr>
        <w:autoSpaceDE w:val="0"/>
        <w:autoSpaceDN w:val="0"/>
        <w:adjustRightInd w:val="0"/>
        <w:spacing w:line="360" w:lineRule="auto"/>
      </w:pPr>
    </w:p>
    <w:p w:rsidR="007229BF" w:rsidRPr="003910DF" w:rsidRDefault="007229BF" w:rsidP="00356A7E">
      <w:pPr>
        <w:spacing w:line="360" w:lineRule="auto"/>
        <w:jc w:val="both"/>
        <w:rPr>
          <w:bCs/>
          <w:lang w:val="es-ES_tradnl"/>
        </w:rPr>
      </w:pPr>
      <w:r w:rsidRPr="003910DF">
        <w:rPr>
          <w:lang w:val="es-MX"/>
        </w:rPr>
        <w:t xml:space="preserve">El </w:t>
      </w:r>
      <w:r w:rsidR="00781345">
        <w:rPr>
          <w:lang w:val="es-MX"/>
        </w:rPr>
        <w:t xml:space="preserve">producto comercial </w:t>
      </w:r>
      <w:r w:rsidRPr="00F420CD">
        <w:rPr>
          <w:lang w:val="es-MX"/>
        </w:rPr>
        <w:t>Glutici</w:t>
      </w:r>
      <w:r w:rsidR="003910DF" w:rsidRPr="00F420CD">
        <w:rPr>
          <w:lang w:val="es-MX"/>
        </w:rPr>
        <w:t>d</w:t>
      </w:r>
      <w:r w:rsidR="003910DF">
        <w:rPr>
          <w:i/>
          <w:lang w:val="es-MX"/>
        </w:rPr>
        <w:t>®</w:t>
      </w:r>
      <w:r w:rsidRPr="003910DF">
        <w:rPr>
          <w:lang w:val="es-MX"/>
        </w:rPr>
        <w:t xml:space="preserve"> fue obtenido en el Instituto Científico de Investigaciones </w:t>
      </w:r>
      <w:r w:rsidR="00781345">
        <w:rPr>
          <w:lang w:val="es-MX"/>
        </w:rPr>
        <w:t xml:space="preserve">de los </w:t>
      </w:r>
      <w:r w:rsidRPr="003910DF">
        <w:rPr>
          <w:lang w:val="es-MX"/>
        </w:rPr>
        <w:t>Derivad</w:t>
      </w:r>
      <w:r w:rsidR="00781345">
        <w:rPr>
          <w:lang w:val="es-MX"/>
        </w:rPr>
        <w:t>o</w:t>
      </w:r>
      <w:r w:rsidR="00D83B55" w:rsidRPr="003910DF">
        <w:rPr>
          <w:lang w:val="es-MX"/>
        </w:rPr>
        <w:t>s de la Caña de Azúcar (I</w:t>
      </w:r>
      <w:r w:rsidR="00240962" w:rsidRPr="003910DF">
        <w:rPr>
          <w:lang w:val="es-MX"/>
        </w:rPr>
        <w:t>cidca</w:t>
      </w:r>
      <w:r w:rsidR="00D83B55" w:rsidRPr="003910DF">
        <w:rPr>
          <w:lang w:val="es-MX"/>
        </w:rPr>
        <w:t>) en Cuba,</w:t>
      </w:r>
      <w:r w:rsidRPr="003910DF">
        <w:rPr>
          <w:lang w:val="es-MX"/>
        </w:rPr>
        <w:t xml:space="preserve"> </w:t>
      </w:r>
      <w:r w:rsidRPr="003910DF">
        <w:rPr>
          <w:bCs/>
          <w:lang w:val="es-ES_tradnl"/>
        </w:rPr>
        <w:t xml:space="preserve">mediante proceso biotecnológico a partir de la </w:t>
      </w:r>
      <w:r w:rsidR="00F21376">
        <w:rPr>
          <w:bCs/>
          <w:lang w:val="es-ES_tradnl"/>
        </w:rPr>
        <w:t>bacteria</w:t>
      </w:r>
      <w:r w:rsidRPr="003910DF">
        <w:rPr>
          <w:bCs/>
          <w:lang w:val="es-ES_tradnl"/>
        </w:rPr>
        <w:t xml:space="preserve"> </w:t>
      </w:r>
      <w:r w:rsidRPr="003910DF">
        <w:rPr>
          <w:bCs/>
          <w:i/>
          <w:lang w:val="es-ES_tradnl"/>
        </w:rPr>
        <w:t>Pseudomona aeruginosa</w:t>
      </w:r>
      <w:r w:rsidRPr="003910DF">
        <w:rPr>
          <w:bCs/>
          <w:lang w:val="es-ES_tradnl"/>
        </w:rPr>
        <w:t xml:space="preserve"> </w:t>
      </w:r>
      <w:r w:rsidR="003910DF">
        <w:rPr>
          <w:bCs/>
          <w:lang w:val="es-ES_tradnl"/>
        </w:rPr>
        <w:t xml:space="preserve">cepa </w:t>
      </w:r>
      <w:r w:rsidRPr="003910DF">
        <w:rPr>
          <w:bCs/>
          <w:lang w:val="es-ES_tradnl"/>
        </w:rPr>
        <w:t>PSS</w:t>
      </w:r>
      <w:r w:rsidR="003910DF">
        <w:rPr>
          <w:bCs/>
          <w:lang w:val="es-ES_tradnl"/>
        </w:rPr>
        <w:t>,</w:t>
      </w:r>
      <w:r w:rsidRPr="003910DF">
        <w:rPr>
          <w:bCs/>
          <w:lang w:val="es-ES_tradnl"/>
        </w:rPr>
        <w:t xml:space="preserve"> aislada del suelo (Patente Número 2085 Certificado 1079/ 2002</w:t>
      </w:r>
      <w:r w:rsidR="00A414BF" w:rsidRPr="003910DF">
        <w:rPr>
          <w:bCs/>
          <w:lang w:val="es-ES_tradnl"/>
        </w:rPr>
        <w:t>)</w:t>
      </w:r>
      <w:r w:rsidR="00330C89" w:rsidRPr="003910DF">
        <w:rPr>
          <w:bCs/>
          <w:lang w:val="es-ES_tradnl"/>
        </w:rPr>
        <w:t xml:space="preserve"> (</w:t>
      </w:r>
      <w:r w:rsidR="00FE73C1" w:rsidRPr="003910DF">
        <w:rPr>
          <w:bCs/>
          <w:lang w:val="es-ES_tradnl"/>
        </w:rPr>
        <w:t>I</w:t>
      </w:r>
      <w:r w:rsidR="00240962" w:rsidRPr="003910DF">
        <w:rPr>
          <w:bCs/>
          <w:lang w:val="es-ES_tradnl"/>
        </w:rPr>
        <w:t>cidca</w:t>
      </w:r>
      <w:r w:rsidR="00FE73C1" w:rsidRPr="003910DF">
        <w:rPr>
          <w:bCs/>
          <w:lang w:val="es-ES_tradnl"/>
        </w:rPr>
        <w:t>, 2007</w:t>
      </w:r>
      <w:r w:rsidR="00330C89" w:rsidRPr="003910DF">
        <w:rPr>
          <w:bCs/>
          <w:lang w:val="es-ES_tradnl"/>
        </w:rPr>
        <w:t>)</w:t>
      </w:r>
      <w:r w:rsidR="00595486" w:rsidRPr="003910DF">
        <w:rPr>
          <w:bCs/>
          <w:lang w:val="es-ES_tradnl"/>
        </w:rPr>
        <w:t>.</w:t>
      </w:r>
    </w:p>
    <w:p w:rsidR="007229BF" w:rsidRPr="003910DF" w:rsidRDefault="007229BF" w:rsidP="00356A7E">
      <w:pPr>
        <w:spacing w:line="360" w:lineRule="auto"/>
        <w:jc w:val="both"/>
        <w:rPr>
          <w:lang w:val="es-ES_tradnl"/>
        </w:rPr>
      </w:pPr>
    </w:p>
    <w:p w:rsidR="00A1177D" w:rsidRDefault="00A414BF" w:rsidP="00356A7E">
      <w:pPr>
        <w:spacing w:line="360" w:lineRule="auto"/>
        <w:jc w:val="both"/>
        <w:rPr>
          <w:lang w:val="es-MX"/>
        </w:rPr>
      </w:pPr>
      <w:r w:rsidRPr="003910DF">
        <w:rPr>
          <w:lang w:val="es-MX"/>
        </w:rPr>
        <w:lastRenderedPageBreak/>
        <w:t>Para el desarrollo del experimento s</w:t>
      </w:r>
      <w:r w:rsidR="007229BF" w:rsidRPr="003910DF">
        <w:rPr>
          <w:lang w:val="es-MX"/>
        </w:rPr>
        <w:t xml:space="preserve">e utilizó la variedad de tomate </w:t>
      </w:r>
      <w:r w:rsidR="00ED7843" w:rsidRPr="003910DF">
        <w:rPr>
          <w:lang w:val="es-MX"/>
        </w:rPr>
        <w:t>Mara</w:t>
      </w:r>
      <w:r w:rsidR="007229BF" w:rsidRPr="003910DF">
        <w:rPr>
          <w:lang w:val="es-MX"/>
        </w:rPr>
        <w:t>, procedente del Programa de Mejoramiento Genético del INCA</w:t>
      </w:r>
      <w:r w:rsidR="00240962">
        <w:rPr>
          <w:lang w:val="es-MX"/>
        </w:rPr>
        <w:t>,</w:t>
      </w:r>
      <w:r w:rsidR="007229BF" w:rsidRPr="003910DF">
        <w:rPr>
          <w:lang w:val="es-MX"/>
        </w:rPr>
        <w:t xml:space="preserve"> y generalizada en el país. Las plántulas se produjeron en </w:t>
      </w:r>
      <w:r w:rsidR="00F420CD">
        <w:rPr>
          <w:lang w:val="es-MX"/>
        </w:rPr>
        <w:t>bandejas</w:t>
      </w:r>
      <w:r w:rsidR="007229BF" w:rsidRPr="003910DF">
        <w:rPr>
          <w:lang w:val="es-MX"/>
        </w:rPr>
        <w:t xml:space="preserve"> </w:t>
      </w:r>
      <w:r w:rsidR="005235EB">
        <w:rPr>
          <w:lang w:val="es-MX"/>
        </w:rPr>
        <w:t xml:space="preserve">de poliespuma </w:t>
      </w:r>
      <w:r w:rsidR="00240962" w:rsidRPr="003910DF">
        <w:rPr>
          <w:lang w:val="es-MX"/>
        </w:rPr>
        <w:t>conformad</w:t>
      </w:r>
      <w:r w:rsidR="00240962">
        <w:rPr>
          <w:lang w:val="es-MX"/>
        </w:rPr>
        <w:t>a</w:t>
      </w:r>
      <w:r w:rsidR="00240962" w:rsidRPr="003910DF">
        <w:rPr>
          <w:lang w:val="es-MX"/>
        </w:rPr>
        <w:t xml:space="preserve">s </w:t>
      </w:r>
      <w:r w:rsidR="007229BF" w:rsidRPr="003910DF">
        <w:rPr>
          <w:lang w:val="es-MX"/>
        </w:rPr>
        <w:t xml:space="preserve">por una mezcla de suelo, cachaza y </w:t>
      </w:r>
      <w:r w:rsidR="00797756" w:rsidRPr="003910DF">
        <w:rPr>
          <w:lang w:val="es-MX"/>
        </w:rPr>
        <w:t>li</w:t>
      </w:r>
      <w:r w:rsidR="00F420CD">
        <w:rPr>
          <w:lang w:val="es-MX"/>
        </w:rPr>
        <w:t>t</w:t>
      </w:r>
      <w:r w:rsidR="00797756" w:rsidRPr="003910DF">
        <w:rPr>
          <w:lang w:val="es-MX"/>
        </w:rPr>
        <w:t>onita (3:2:1) en condiciones semicontroladas</w:t>
      </w:r>
      <w:r w:rsidR="007229BF" w:rsidRPr="003910DF">
        <w:rPr>
          <w:lang w:val="es-MX"/>
        </w:rPr>
        <w:t xml:space="preserve">. La plantación se realizó por el método de trasplante de </w:t>
      </w:r>
      <w:r w:rsidR="005235EB">
        <w:rPr>
          <w:lang w:val="es-MX"/>
        </w:rPr>
        <w:t>cepellones</w:t>
      </w:r>
      <w:r w:rsidR="007229BF" w:rsidRPr="003910DF">
        <w:rPr>
          <w:lang w:val="es-MX"/>
        </w:rPr>
        <w:t>, a una distancia de 1,40 x 0,30 m en parcelas de 35</w:t>
      </w:r>
      <w:r w:rsidR="007229BF" w:rsidRPr="003910DF">
        <w:rPr>
          <w:b/>
          <w:lang w:val="es-MX"/>
        </w:rPr>
        <w:t xml:space="preserve"> </w:t>
      </w:r>
      <w:r w:rsidR="007229BF" w:rsidRPr="003910DF">
        <w:rPr>
          <w:lang w:val="es-MX"/>
        </w:rPr>
        <w:t>m</w:t>
      </w:r>
      <w:r w:rsidR="007229BF" w:rsidRPr="003910DF">
        <w:rPr>
          <w:vertAlign w:val="superscript"/>
          <w:lang w:val="es-MX"/>
        </w:rPr>
        <w:t>2</w:t>
      </w:r>
      <w:r w:rsidR="007229BF" w:rsidRPr="003910DF">
        <w:rPr>
          <w:lang w:val="es-MX"/>
        </w:rPr>
        <w:t>, con un área de cálculo para la cosecha de 21</w:t>
      </w:r>
      <w:r w:rsidR="00240962">
        <w:rPr>
          <w:lang w:val="es-MX"/>
        </w:rPr>
        <w:t xml:space="preserve"> </w:t>
      </w:r>
      <w:r w:rsidR="007229BF" w:rsidRPr="003910DF">
        <w:rPr>
          <w:lang w:val="es-MX"/>
        </w:rPr>
        <w:t>m</w:t>
      </w:r>
      <w:r w:rsidR="007229BF" w:rsidRPr="003910DF">
        <w:rPr>
          <w:vertAlign w:val="superscript"/>
          <w:lang w:val="es-MX"/>
        </w:rPr>
        <w:t>2</w:t>
      </w:r>
      <w:r w:rsidR="00797756" w:rsidRPr="003910DF">
        <w:rPr>
          <w:lang w:val="es-MX"/>
        </w:rPr>
        <w:t xml:space="preserve">. </w:t>
      </w:r>
    </w:p>
    <w:p w:rsidR="00781345" w:rsidRDefault="00781345" w:rsidP="00356A7E">
      <w:pPr>
        <w:spacing w:line="360" w:lineRule="auto"/>
        <w:jc w:val="both"/>
        <w:rPr>
          <w:lang w:val="es-MX"/>
        </w:rPr>
      </w:pPr>
    </w:p>
    <w:p w:rsidR="007229BF" w:rsidRPr="003910DF" w:rsidRDefault="00ED7843" w:rsidP="00356A7E">
      <w:pPr>
        <w:spacing w:line="360" w:lineRule="auto"/>
        <w:jc w:val="both"/>
        <w:rPr>
          <w:lang w:val="es-MX"/>
        </w:rPr>
      </w:pPr>
      <w:r w:rsidRPr="003910DF">
        <w:rPr>
          <w:lang w:val="es-MX"/>
        </w:rPr>
        <w:t>La tecnología de utilización del bioproducto</w:t>
      </w:r>
      <w:r w:rsidR="00533581">
        <w:rPr>
          <w:lang w:val="es-MX"/>
        </w:rPr>
        <w:t xml:space="preserve"> consistió en una suspensión de 10</w:t>
      </w:r>
      <w:r w:rsidR="00533581">
        <w:rPr>
          <w:vertAlign w:val="superscript"/>
          <w:lang w:val="es-MX"/>
        </w:rPr>
        <w:t>8</w:t>
      </w:r>
      <w:r w:rsidR="00533581">
        <w:rPr>
          <w:lang w:val="es-MX"/>
        </w:rPr>
        <w:t xml:space="preserve"> ufc</w:t>
      </w:r>
      <w:r w:rsidR="00240962">
        <w:rPr>
          <w:lang w:val="es-MX"/>
        </w:rPr>
        <w:t>/</w:t>
      </w:r>
      <w:r w:rsidR="00533581">
        <w:rPr>
          <w:lang w:val="es-MX"/>
        </w:rPr>
        <w:t>mL</w:t>
      </w:r>
      <w:r w:rsidR="00533581">
        <w:rPr>
          <w:vertAlign w:val="superscript"/>
          <w:lang w:val="es-MX"/>
        </w:rPr>
        <w:t>-1</w:t>
      </w:r>
      <w:r w:rsidR="00533581">
        <w:rPr>
          <w:lang w:val="es-MX"/>
        </w:rPr>
        <w:t xml:space="preserve">, </w:t>
      </w:r>
      <w:r w:rsidR="00160DD8">
        <w:rPr>
          <w:lang w:val="es-MX"/>
        </w:rPr>
        <w:t xml:space="preserve">a una dosis de </w:t>
      </w:r>
      <w:r w:rsidR="008A0372" w:rsidRPr="008A0372">
        <w:rPr>
          <w:lang w:val="es-MX"/>
        </w:rPr>
        <w:t>5 g</w:t>
      </w:r>
      <w:r w:rsidR="00240962">
        <w:rPr>
          <w:lang w:val="es-MX"/>
        </w:rPr>
        <w:t>/</w:t>
      </w:r>
      <w:r w:rsidR="00160DD8" w:rsidRPr="008A0372">
        <w:rPr>
          <w:lang w:val="es-MX"/>
        </w:rPr>
        <w:t>L</w:t>
      </w:r>
      <w:r w:rsidR="00160DD8" w:rsidRPr="008A0372">
        <w:rPr>
          <w:vertAlign w:val="superscript"/>
          <w:lang w:val="es-MX"/>
        </w:rPr>
        <w:t>-1</w:t>
      </w:r>
      <w:r w:rsidR="008A0372" w:rsidRPr="008A0372">
        <w:rPr>
          <w:lang w:val="es-MX"/>
        </w:rPr>
        <w:t>,</w:t>
      </w:r>
      <w:r w:rsidR="008A0372">
        <w:rPr>
          <w:lang w:val="es-MX"/>
        </w:rPr>
        <w:t xml:space="preserve"> dando</w:t>
      </w:r>
      <w:r w:rsidR="00533581">
        <w:rPr>
          <w:lang w:val="es-MX"/>
        </w:rPr>
        <w:t xml:space="preserve"> lugar a</w:t>
      </w:r>
      <w:r w:rsidRPr="003910DF">
        <w:rPr>
          <w:lang w:val="es-MX"/>
        </w:rPr>
        <w:t xml:space="preserve"> l</w:t>
      </w:r>
      <w:r w:rsidR="007229BF" w:rsidRPr="003910DF">
        <w:rPr>
          <w:lang w:val="es-MX"/>
        </w:rPr>
        <w:t xml:space="preserve">os </w:t>
      </w:r>
      <w:r w:rsidRPr="003910DF">
        <w:rPr>
          <w:lang w:val="es-MX"/>
        </w:rPr>
        <w:t xml:space="preserve">siguientes </w:t>
      </w:r>
      <w:r w:rsidR="007229BF" w:rsidRPr="003910DF">
        <w:rPr>
          <w:lang w:val="es-MX"/>
        </w:rPr>
        <w:t xml:space="preserve">tratamientos: </w:t>
      </w:r>
    </w:p>
    <w:p w:rsidR="00ED7843" w:rsidRPr="003910DF" w:rsidRDefault="00ED7843" w:rsidP="00356A7E">
      <w:pPr>
        <w:numPr>
          <w:ilvl w:val="0"/>
          <w:numId w:val="2"/>
        </w:numPr>
        <w:spacing w:line="360" w:lineRule="auto"/>
        <w:jc w:val="both"/>
        <w:rPr>
          <w:lang w:val="es-MX"/>
        </w:rPr>
      </w:pPr>
      <w:r w:rsidRPr="003910DF">
        <w:rPr>
          <w:lang w:val="es-MX"/>
        </w:rPr>
        <w:t>15 min de imbibición</w:t>
      </w:r>
    </w:p>
    <w:p w:rsidR="00ED7843" w:rsidRPr="003910DF" w:rsidRDefault="00ED7843" w:rsidP="00356A7E">
      <w:pPr>
        <w:numPr>
          <w:ilvl w:val="0"/>
          <w:numId w:val="2"/>
        </w:numPr>
        <w:spacing w:line="360" w:lineRule="auto"/>
        <w:jc w:val="both"/>
        <w:rPr>
          <w:lang w:val="es-MX"/>
        </w:rPr>
      </w:pPr>
      <w:r w:rsidRPr="003910DF">
        <w:rPr>
          <w:lang w:val="es-MX"/>
        </w:rPr>
        <w:t xml:space="preserve">15 </w:t>
      </w:r>
      <w:r w:rsidR="00240962" w:rsidRPr="003910DF">
        <w:rPr>
          <w:lang w:val="es-MX"/>
        </w:rPr>
        <w:t xml:space="preserve">min </w:t>
      </w:r>
      <w:r w:rsidRPr="003910DF">
        <w:rPr>
          <w:lang w:val="es-MX"/>
        </w:rPr>
        <w:t>de imbibición + 1 aplicación foliar a los 1</w:t>
      </w:r>
      <w:r w:rsidR="00797756" w:rsidRPr="003910DF">
        <w:rPr>
          <w:lang w:val="es-MX"/>
        </w:rPr>
        <w:t>0</w:t>
      </w:r>
      <w:r w:rsidRPr="003910DF">
        <w:rPr>
          <w:lang w:val="es-MX"/>
        </w:rPr>
        <w:t xml:space="preserve"> DDS</w:t>
      </w:r>
    </w:p>
    <w:p w:rsidR="00ED7843" w:rsidRPr="003910DF" w:rsidRDefault="00ED7843" w:rsidP="00356A7E">
      <w:pPr>
        <w:numPr>
          <w:ilvl w:val="0"/>
          <w:numId w:val="2"/>
        </w:numPr>
        <w:spacing w:line="360" w:lineRule="auto"/>
        <w:jc w:val="both"/>
        <w:rPr>
          <w:lang w:val="es-MX"/>
        </w:rPr>
      </w:pPr>
      <w:r w:rsidRPr="003910DF">
        <w:rPr>
          <w:lang w:val="es-MX"/>
        </w:rPr>
        <w:t xml:space="preserve">30 </w:t>
      </w:r>
      <w:r w:rsidR="00240962" w:rsidRPr="003910DF">
        <w:rPr>
          <w:lang w:val="es-MX"/>
        </w:rPr>
        <w:t xml:space="preserve">min </w:t>
      </w:r>
      <w:r w:rsidRPr="003910DF">
        <w:rPr>
          <w:lang w:val="es-MX"/>
        </w:rPr>
        <w:t>de imbibición</w:t>
      </w:r>
    </w:p>
    <w:p w:rsidR="00ED7843" w:rsidRPr="003910DF" w:rsidRDefault="00ED7843" w:rsidP="00356A7E">
      <w:pPr>
        <w:numPr>
          <w:ilvl w:val="0"/>
          <w:numId w:val="2"/>
        </w:numPr>
        <w:spacing w:line="360" w:lineRule="auto"/>
        <w:jc w:val="both"/>
        <w:rPr>
          <w:lang w:val="es-MX"/>
        </w:rPr>
      </w:pPr>
      <w:r w:rsidRPr="003910DF">
        <w:rPr>
          <w:lang w:val="es-MX"/>
        </w:rPr>
        <w:t xml:space="preserve">30 </w:t>
      </w:r>
      <w:r w:rsidR="00240962" w:rsidRPr="003910DF">
        <w:rPr>
          <w:lang w:val="es-MX"/>
        </w:rPr>
        <w:t xml:space="preserve">min </w:t>
      </w:r>
      <w:r w:rsidRPr="003910DF">
        <w:rPr>
          <w:lang w:val="es-MX"/>
        </w:rPr>
        <w:t>de imbibición + 1 aplicación foliar a los 1</w:t>
      </w:r>
      <w:r w:rsidR="00797756" w:rsidRPr="003910DF">
        <w:rPr>
          <w:lang w:val="es-MX"/>
        </w:rPr>
        <w:t>0</w:t>
      </w:r>
      <w:r w:rsidRPr="003910DF">
        <w:rPr>
          <w:lang w:val="es-MX"/>
        </w:rPr>
        <w:t xml:space="preserve"> DDS</w:t>
      </w:r>
    </w:p>
    <w:p w:rsidR="00ED7843" w:rsidRPr="003910DF" w:rsidRDefault="00ED7843" w:rsidP="00356A7E">
      <w:pPr>
        <w:numPr>
          <w:ilvl w:val="0"/>
          <w:numId w:val="2"/>
        </w:numPr>
        <w:spacing w:line="360" w:lineRule="auto"/>
        <w:jc w:val="both"/>
        <w:rPr>
          <w:lang w:val="es-MX"/>
        </w:rPr>
      </w:pPr>
      <w:r w:rsidRPr="003910DF">
        <w:rPr>
          <w:lang w:val="es-MX"/>
        </w:rPr>
        <w:t>Testigo sin inocular</w:t>
      </w:r>
    </w:p>
    <w:p w:rsidR="00FB5324" w:rsidRDefault="00ED7843" w:rsidP="00356A7E">
      <w:pPr>
        <w:autoSpaceDE w:val="0"/>
        <w:autoSpaceDN w:val="0"/>
        <w:adjustRightInd w:val="0"/>
        <w:spacing w:line="360" w:lineRule="auto"/>
      </w:pPr>
      <w:r w:rsidRPr="003910DF">
        <w:t>DDS: días después de la siembra</w:t>
      </w:r>
    </w:p>
    <w:p w:rsidR="00A1177D" w:rsidRDefault="00A1177D" w:rsidP="00356A7E">
      <w:pPr>
        <w:autoSpaceDE w:val="0"/>
        <w:autoSpaceDN w:val="0"/>
        <w:adjustRightInd w:val="0"/>
        <w:spacing w:line="360" w:lineRule="auto"/>
        <w:jc w:val="both"/>
      </w:pPr>
      <w:r>
        <w:t>Las atenciones culturales</w:t>
      </w:r>
      <w:r w:rsidR="00F420CD">
        <w:t xml:space="preserve"> (fertilización, riego y labores fitotécnicas)</w:t>
      </w:r>
      <w:r>
        <w:t xml:space="preserve"> realizadas al cultivo fueron las recomendadas por el </w:t>
      </w:r>
      <w:r w:rsidR="00781345">
        <w:t>I</w:t>
      </w:r>
      <w:r>
        <w:t>nstructivo técnico del mismo (Cuba, MINAG, 1984)</w:t>
      </w:r>
      <w:r w:rsidR="00596082">
        <w:t>.</w:t>
      </w:r>
    </w:p>
    <w:p w:rsidR="00F90864" w:rsidRDefault="00F90864" w:rsidP="00F90864">
      <w:pPr>
        <w:spacing w:line="360" w:lineRule="auto"/>
        <w:jc w:val="both"/>
        <w:rPr>
          <w:b/>
          <w:lang w:val="es-MX"/>
        </w:rPr>
      </w:pPr>
    </w:p>
    <w:p w:rsidR="00F90864" w:rsidRPr="00F90864" w:rsidRDefault="00F90864" w:rsidP="00F90864">
      <w:pPr>
        <w:spacing w:line="360" w:lineRule="auto"/>
        <w:jc w:val="both"/>
        <w:rPr>
          <w:b/>
          <w:lang w:val="es-MX"/>
        </w:rPr>
      </w:pPr>
      <w:r w:rsidRPr="00F90864">
        <w:rPr>
          <w:b/>
          <w:lang w:val="es-MX"/>
        </w:rPr>
        <w:t xml:space="preserve">Evaluaciones realizadas </w:t>
      </w:r>
    </w:p>
    <w:p w:rsidR="00797756" w:rsidRPr="003910DF" w:rsidRDefault="00797756" w:rsidP="00356A7E">
      <w:pPr>
        <w:spacing w:line="360" w:lineRule="auto"/>
        <w:jc w:val="both"/>
        <w:rPr>
          <w:lang w:val="es-MX"/>
        </w:rPr>
      </w:pPr>
      <w:r w:rsidRPr="003910DF">
        <w:rPr>
          <w:lang w:val="es-MX"/>
        </w:rPr>
        <w:t xml:space="preserve">Análisis químico del suelo: </w:t>
      </w:r>
      <w:r w:rsidR="00240962">
        <w:rPr>
          <w:lang w:val="es-MX"/>
        </w:rPr>
        <w:t>l</w:t>
      </w:r>
      <w:r w:rsidR="00240962" w:rsidRPr="003910DF">
        <w:rPr>
          <w:lang w:val="es-MX"/>
        </w:rPr>
        <w:t xml:space="preserve">os </w:t>
      </w:r>
      <w:r w:rsidRPr="003910DF">
        <w:rPr>
          <w:lang w:val="es-MX"/>
        </w:rPr>
        <w:t>muestreos de suelos se realizaron al inicio de los experimentos con barrena edafológica. Las evaluaciones que a continuación se enumeran fueron realizadas siguiendo las técnicas descritas en el Manual de técnicas analíticas para el análisis de suelo, foliar, abonos orgánicos y fertilizantes químicos</w:t>
      </w:r>
      <w:r w:rsidR="00330C89" w:rsidRPr="003910DF">
        <w:rPr>
          <w:lang w:val="es-MX"/>
        </w:rPr>
        <w:t xml:space="preserve"> (INCA,</w:t>
      </w:r>
      <w:r w:rsidR="00FE73C1" w:rsidRPr="003910DF">
        <w:rPr>
          <w:lang w:val="es-MX"/>
        </w:rPr>
        <w:t xml:space="preserve"> 1999)</w:t>
      </w:r>
      <w:r w:rsidRPr="003910DF">
        <w:rPr>
          <w:lang w:val="es-MX"/>
        </w:rPr>
        <w:t>.</w:t>
      </w:r>
      <w:r w:rsidR="00E60631">
        <w:rPr>
          <w:lang w:val="es-MX"/>
        </w:rPr>
        <w:t xml:space="preserve"> </w:t>
      </w:r>
    </w:p>
    <w:p w:rsidR="00797756" w:rsidRPr="003910DF" w:rsidRDefault="00797756" w:rsidP="00356A7E">
      <w:pPr>
        <w:spacing w:line="360" w:lineRule="auto"/>
        <w:ind w:left="357"/>
        <w:jc w:val="both"/>
        <w:rPr>
          <w:lang w:val="es-MX"/>
        </w:rPr>
      </w:pPr>
      <w:r w:rsidRPr="003910DF">
        <w:rPr>
          <w:lang w:val="es-MX"/>
        </w:rPr>
        <w:t>-</w:t>
      </w:r>
      <w:r w:rsidR="005B3DED">
        <w:rPr>
          <w:lang w:val="es-MX"/>
        </w:rPr>
        <w:t xml:space="preserve"> </w:t>
      </w:r>
      <w:r w:rsidRPr="003910DF">
        <w:rPr>
          <w:lang w:val="es-MX"/>
        </w:rPr>
        <w:t>Materia orgánica (%): por el método de Walkley y Black</w:t>
      </w:r>
      <w:r w:rsidR="005B3DED">
        <w:rPr>
          <w:lang w:val="es-MX"/>
        </w:rPr>
        <w:t>.</w:t>
      </w:r>
    </w:p>
    <w:p w:rsidR="00797756" w:rsidRPr="003910DF" w:rsidRDefault="00797756" w:rsidP="00356A7E">
      <w:pPr>
        <w:spacing w:line="360" w:lineRule="auto"/>
        <w:ind w:left="360"/>
        <w:jc w:val="both"/>
        <w:rPr>
          <w:lang w:val="es-MX"/>
        </w:rPr>
      </w:pPr>
      <w:r w:rsidRPr="003910DF">
        <w:rPr>
          <w:lang w:val="es-MX"/>
        </w:rPr>
        <w:t>-</w:t>
      </w:r>
      <w:r w:rsidR="005B3DED">
        <w:rPr>
          <w:lang w:val="es-MX"/>
        </w:rPr>
        <w:t xml:space="preserve"> </w:t>
      </w:r>
      <w:r w:rsidRPr="003910DF">
        <w:rPr>
          <w:lang w:val="es-MX"/>
        </w:rPr>
        <w:t>pH (H</w:t>
      </w:r>
      <w:r w:rsidRPr="003910DF">
        <w:rPr>
          <w:vertAlign w:val="subscript"/>
          <w:lang w:val="es-MX"/>
        </w:rPr>
        <w:t>2</w:t>
      </w:r>
      <w:r w:rsidRPr="003910DF">
        <w:rPr>
          <w:lang w:val="es-MX"/>
        </w:rPr>
        <w:t>O): por el método potenciométrico</w:t>
      </w:r>
      <w:r w:rsidR="005B3DED">
        <w:rPr>
          <w:lang w:val="es-MX"/>
        </w:rPr>
        <w:t>.</w:t>
      </w:r>
    </w:p>
    <w:p w:rsidR="00797756" w:rsidRPr="003910DF" w:rsidRDefault="00797756" w:rsidP="00356A7E">
      <w:pPr>
        <w:spacing w:line="360" w:lineRule="auto"/>
        <w:ind w:left="360"/>
        <w:jc w:val="both"/>
        <w:rPr>
          <w:lang w:val="es-MX"/>
        </w:rPr>
      </w:pPr>
      <w:r w:rsidRPr="003910DF">
        <w:rPr>
          <w:lang w:val="es-MX"/>
        </w:rPr>
        <w:t>-</w:t>
      </w:r>
      <w:r w:rsidR="005B3DED">
        <w:rPr>
          <w:lang w:val="es-MX"/>
        </w:rPr>
        <w:t xml:space="preserve"> </w:t>
      </w:r>
      <w:r w:rsidRPr="003910DF">
        <w:rPr>
          <w:lang w:val="es-MX"/>
        </w:rPr>
        <w:t>P</w:t>
      </w:r>
      <w:r w:rsidRPr="003910DF">
        <w:rPr>
          <w:vertAlign w:val="subscript"/>
          <w:lang w:val="es-MX"/>
        </w:rPr>
        <w:t>2</w:t>
      </w:r>
      <w:r w:rsidRPr="003910DF">
        <w:rPr>
          <w:lang w:val="es-MX"/>
        </w:rPr>
        <w:t>O</w:t>
      </w:r>
      <w:r w:rsidRPr="003910DF">
        <w:rPr>
          <w:vertAlign w:val="subscript"/>
          <w:lang w:val="es-MX"/>
        </w:rPr>
        <w:t>5</w:t>
      </w:r>
      <w:r w:rsidRPr="003910DF">
        <w:rPr>
          <w:lang w:val="es-MX"/>
        </w:rPr>
        <w:t xml:space="preserve"> (ppm): mediante extracción con H</w:t>
      </w:r>
      <w:r w:rsidRPr="003910DF">
        <w:rPr>
          <w:vertAlign w:val="subscript"/>
          <w:lang w:val="es-MX"/>
        </w:rPr>
        <w:t>2</w:t>
      </w:r>
      <w:r w:rsidRPr="003910DF">
        <w:rPr>
          <w:lang w:val="es-MX"/>
        </w:rPr>
        <w:t>SO</w:t>
      </w:r>
      <w:r w:rsidRPr="003910DF">
        <w:rPr>
          <w:vertAlign w:val="subscript"/>
          <w:lang w:val="es-MX"/>
        </w:rPr>
        <w:t>4</w:t>
      </w:r>
      <w:r w:rsidRPr="003910DF">
        <w:rPr>
          <w:lang w:val="es-MX"/>
        </w:rPr>
        <w:t xml:space="preserve"> 0,1 N y determinación colorimétrica</w:t>
      </w:r>
      <w:r w:rsidR="005B3DED">
        <w:rPr>
          <w:lang w:val="es-MX"/>
        </w:rPr>
        <w:t>.</w:t>
      </w:r>
    </w:p>
    <w:p w:rsidR="00797756" w:rsidRPr="003910DF" w:rsidRDefault="00797756" w:rsidP="00356A7E">
      <w:pPr>
        <w:spacing w:line="360" w:lineRule="auto"/>
        <w:ind w:left="360"/>
        <w:jc w:val="both"/>
        <w:rPr>
          <w:lang w:val="es-MX"/>
        </w:rPr>
      </w:pPr>
      <w:r w:rsidRPr="003910DF">
        <w:rPr>
          <w:lang w:val="es-MX"/>
        </w:rPr>
        <w:t>-</w:t>
      </w:r>
      <w:r w:rsidR="005B3DED">
        <w:rPr>
          <w:lang w:val="es-MX"/>
        </w:rPr>
        <w:t xml:space="preserve"> </w:t>
      </w:r>
      <w:r w:rsidRPr="003910DF">
        <w:rPr>
          <w:lang w:val="es-MX"/>
        </w:rPr>
        <w:t>K, Ca, y Mg intercambiables (cmol</w:t>
      </w:r>
      <w:r w:rsidR="005B3DED">
        <w:rPr>
          <w:lang w:val="es-MX"/>
        </w:rPr>
        <w:t>/</w:t>
      </w:r>
      <w:r w:rsidRPr="003910DF">
        <w:rPr>
          <w:lang w:val="es-MX"/>
        </w:rPr>
        <w:t>kg</w:t>
      </w:r>
      <w:r w:rsidRPr="003910DF">
        <w:rPr>
          <w:vertAlign w:val="superscript"/>
          <w:lang w:val="es-MX"/>
        </w:rPr>
        <w:t>-1</w:t>
      </w:r>
      <w:r w:rsidRPr="003910DF">
        <w:rPr>
          <w:lang w:val="es-MX"/>
        </w:rPr>
        <w:t>): mediante extracción con NH</w:t>
      </w:r>
      <w:r w:rsidRPr="003910DF">
        <w:rPr>
          <w:vertAlign w:val="subscript"/>
          <w:lang w:val="es-MX"/>
        </w:rPr>
        <w:t>4</w:t>
      </w:r>
      <w:r w:rsidRPr="003910DF">
        <w:rPr>
          <w:lang w:val="es-MX"/>
        </w:rPr>
        <w:t xml:space="preserve">Ac 1 N a pH 7 y determinación de K por fotometría de llama y Ca y Mg por </w:t>
      </w:r>
      <w:r w:rsidR="005B3DED" w:rsidRPr="003910DF">
        <w:rPr>
          <w:lang w:val="es-MX"/>
        </w:rPr>
        <w:t>complexometr</w:t>
      </w:r>
      <w:r w:rsidR="005B3DED">
        <w:rPr>
          <w:lang w:val="es-MX"/>
        </w:rPr>
        <w:t>í</w:t>
      </w:r>
      <w:r w:rsidR="005B3DED" w:rsidRPr="003910DF">
        <w:rPr>
          <w:lang w:val="es-MX"/>
        </w:rPr>
        <w:t>a</w:t>
      </w:r>
      <w:r w:rsidRPr="003910DF">
        <w:rPr>
          <w:lang w:val="es-MX"/>
        </w:rPr>
        <w:t>.</w:t>
      </w:r>
    </w:p>
    <w:p w:rsidR="005B3DED" w:rsidRDefault="005B3DED" w:rsidP="00356A7E">
      <w:pPr>
        <w:spacing w:line="360" w:lineRule="auto"/>
        <w:jc w:val="both"/>
        <w:rPr>
          <w:lang w:val="es-MX"/>
        </w:rPr>
      </w:pPr>
    </w:p>
    <w:p w:rsidR="00797756" w:rsidRPr="005B3DED" w:rsidRDefault="00F90864" w:rsidP="00356A7E">
      <w:pPr>
        <w:spacing w:line="360" w:lineRule="auto"/>
        <w:jc w:val="both"/>
        <w:rPr>
          <w:b/>
          <w:lang w:val="es-MX"/>
        </w:rPr>
      </w:pPr>
      <w:r w:rsidRPr="00F90864">
        <w:rPr>
          <w:b/>
          <w:lang w:val="es-MX"/>
        </w:rPr>
        <w:lastRenderedPageBreak/>
        <w:t xml:space="preserve">Evaluaciones a las plantas </w:t>
      </w:r>
    </w:p>
    <w:p w:rsidR="00797756" w:rsidRPr="003910DF" w:rsidRDefault="00E60631" w:rsidP="00356A7E">
      <w:pPr>
        <w:spacing w:line="360" w:lineRule="auto"/>
        <w:jc w:val="both"/>
        <w:rPr>
          <w:lang w:val="es-MX"/>
        </w:rPr>
      </w:pPr>
      <w:r>
        <w:rPr>
          <w:b/>
          <w:lang w:val="es-MX"/>
        </w:rPr>
        <w:t xml:space="preserve"> </w:t>
      </w:r>
      <w:r w:rsidR="00797756" w:rsidRPr="003910DF">
        <w:rPr>
          <w:b/>
          <w:lang w:val="es-MX"/>
        </w:rPr>
        <w:t>-</w:t>
      </w:r>
      <w:r w:rsidR="005B3DED">
        <w:rPr>
          <w:b/>
          <w:lang w:val="es-MX"/>
        </w:rPr>
        <w:t xml:space="preserve"> </w:t>
      </w:r>
      <w:r w:rsidR="00C73E40" w:rsidRPr="003910DF">
        <w:rPr>
          <w:lang w:val="es-MX"/>
        </w:rPr>
        <w:t>C</w:t>
      </w:r>
      <w:r w:rsidR="00797756" w:rsidRPr="003910DF">
        <w:rPr>
          <w:lang w:val="es-MX"/>
        </w:rPr>
        <w:t xml:space="preserve">recimiento y desarrollo: altura de las plántulas (cm), </w:t>
      </w:r>
      <w:r w:rsidR="00C73E40" w:rsidRPr="003910DF">
        <w:rPr>
          <w:lang w:val="es-MX"/>
        </w:rPr>
        <w:t xml:space="preserve">número de hojas por planta, </w:t>
      </w:r>
      <w:r w:rsidR="00797756" w:rsidRPr="003910DF">
        <w:rPr>
          <w:lang w:val="es-MX"/>
        </w:rPr>
        <w:t>diámetro del tallo (cm) y longitud radicular (cm)</w:t>
      </w:r>
      <w:r w:rsidR="005B3DED">
        <w:rPr>
          <w:lang w:val="es-MX"/>
        </w:rPr>
        <w:t>.</w:t>
      </w:r>
    </w:p>
    <w:p w:rsidR="00797756" w:rsidRPr="003910DF" w:rsidRDefault="00E60631" w:rsidP="00356A7E">
      <w:pPr>
        <w:spacing w:line="360" w:lineRule="auto"/>
        <w:jc w:val="both"/>
        <w:rPr>
          <w:vertAlign w:val="superscript"/>
          <w:lang w:val="es-MX"/>
        </w:rPr>
      </w:pPr>
      <w:r>
        <w:rPr>
          <w:lang w:val="es-MX"/>
        </w:rPr>
        <w:t xml:space="preserve"> </w:t>
      </w:r>
      <w:r w:rsidR="00797756" w:rsidRPr="003910DF">
        <w:rPr>
          <w:lang w:val="es-MX"/>
        </w:rPr>
        <w:t>-</w:t>
      </w:r>
      <w:r w:rsidR="005B3DED">
        <w:rPr>
          <w:lang w:val="es-MX"/>
        </w:rPr>
        <w:t xml:space="preserve"> </w:t>
      </w:r>
      <w:r w:rsidR="00797756" w:rsidRPr="003910DF">
        <w:rPr>
          <w:lang w:val="es-MX"/>
        </w:rPr>
        <w:t>Contenidos de NPK foliar (%). Las muestras fueron tomadas en la fase de floración-fructificación del cultivo, entre el tercero y quinto par de hojas. Se utilizó la técnica por digestión húmeda con H</w:t>
      </w:r>
      <w:r w:rsidR="00797756" w:rsidRPr="003910DF">
        <w:rPr>
          <w:vertAlign w:val="subscript"/>
          <w:lang w:val="es-MX"/>
        </w:rPr>
        <w:t>2</w:t>
      </w:r>
      <w:r w:rsidR="00797756" w:rsidRPr="003910DF">
        <w:rPr>
          <w:lang w:val="es-MX"/>
        </w:rPr>
        <w:t>SO</w:t>
      </w:r>
      <w:r w:rsidR="00797756" w:rsidRPr="003910DF">
        <w:rPr>
          <w:vertAlign w:val="subscript"/>
          <w:lang w:val="es-MX"/>
        </w:rPr>
        <w:t>4</w:t>
      </w:r>
      <w:r w:rsidR="00797756" w:rsidRPr="003910DF">
        <w:rPr>
          <w:lang w:val="es-MX"/>
        </w:rPr>
        <w:t xml:space="preserve"> + Se, según método Kjeldahl y determinación colorimétrica con reactivo Nessler y azul de molibdeno para N y P respectivamente, y fotometría de llama para el K.</w:t>
      </w:r>
    </w:p>
    <w:p w:rsidR="00711E5F" w:rsidRDefault="00E60631" w:rsidP="00356A7E">
      <w:pPr>
        <w:spacing w:line="360" w:lineRule="auto"/>
        <w:jc w:val="both"/>
        <w:rPr>
          <w:lang w:val="es-MX"/>
        </w:rPr>
      </w:pPr>
      <w:r>
        <w:rPr>
          <w:lang w:val="es-MX"/>
        </w:rPr>
        <w:t xml:space="preserve"> </w:t>
      </w:r>
      <w:r w:rsidR="00797756" w:rsidRPr="003910DF">
        <w:rPr>
          <w:lang w:val="es-MX"/>
        </w:rPr>
        <w:t>-</w:t>
      </w:r>
      <w:r w:rsidR="005B3DED">
        <w:rPr>
          <w:lang w:val="es-MX"/>
        </w:rPr>
        <w:t xml:space="preserve"> </w:t>
      </w:r>
      <w:r w:rsidR="00797756" w:rsidRPr="003910DF">
        <w:rPr>
          <w:lang w:val="es-MX"/>
        </w:rPr>
        <w:t>En la etapa de floración</w:t>
      </w:r>
      <w:r w:rsidR="005B3DED">
        <w:rPr>
          <w:lang w:val="es-MX"/>
        </w:rPr>
        <w:t>-</w:t>
      </w:r>
      <w:r w:rsidR="00797756" w:rsidRPr="003910DF">
        <w:rPr>
          <w:lang w:val="es-MX"/>
        </w:rPr>
        <w:t xml:space="preserve">fructificación del cultivo se evaluó: número </w:t>
      </w:r>
      <w:r w:rsidR="00711E5F">
        <w:rPr>
          <w:lang w:val="es-MX"/>
        </w:rPr>
        <w:t xml:space="preserve">de </w:t>
      </w:r>
      <w:r w:rsidR="00F3117D">
        <w:rPr>
          <w:lang w:val="es-MX"/>
        </w:rPr>
        <w:t xml:space="preserve">racimos </w:t>
      </w:r>
      <w:r w:rsidR="00711E5F">
        <w:rPr>
          <w:lang w:val="es-MX"/>
        </w:rPr>
        <w:t>y frutos por planta.</w:t>
      </w:r>
    </w:p>
    <w:p w:rsidR="00797756" w:rsidRPr="003910DF" w:rsidRDefault="00E60631" w:rsidP="00356A7E">
      <w:pPr>
        <w:spacing w:line="360" w:lineRule="auto"/>
        <w:jc w:val="both"/>
        <w:rPr>
          <w:lang w:val="es-MX"/>
        </w:rPr>
      </w:pPr>
      <w:r>
        <w:rPr>
          <w:lang w:val="es-MX"/>
        </w:rPr>
        <w:t xml:space="preserve"> </w:t>
      </w:r>
      <w:r w:rsidR="00711E5F">
        <w:rPr>
          <w:lang w:val="es-MX"/>
        </w:rPr>
        <w:t>-</w:t>
      </w:r>
      <w:r w:rsidR="005B3DED">
        <w:rPr>
          <w:lang w:val="es-MX"/>
        </w:rPr>
        <w:t xml:space="preserve"> </w:t>
      </w:r>
      <w:r w:rsidR="00711E5F">
        <w:rPr>
          <w:lang w:val="es-MX"/>
        </w:rPr>
        <w:t xml:space="preserve">En la cosecha se evaluó la </w:t>
      </w:r>
      <w:r w:rsidR="00797756" w:rsidRPr="003910DF">
        <w:rPr>
          <w:lang w:val="es-MX"/>
        </w:rPr>
        <w:t xml:space="preserve">masa </w:t>
      </w:r>
      <w:r w:rsidR="00F3117D">
        <w:rPr>
          <w:lang w:val="es-MX"/>
        </w:rPr>
        <w:t xml:space="preserve">fresca </w:t>
      </w:r>
      <w:r w:rsidR="00797756" w:rsidRPr="003910DF">
        <w:rPr>
          <w:lang w:val="es-MX"/>
        </w:rPr>
        <w:t>promedio de los frutos (g) y rendimiento agrícola (t.ha</w:t>
      </w:r>
      <w:r w:rsidR="00797756" w:rsidRPr="003910DF">
        <w:rPr>
          <w:vertAlign w:val="superscript"/>
          <w:lang w:val="es-MX"/>
        </w:rPr>
        <w:t>-1</w:t>
      </w:r>
      <w:r w:rsidR="00797756" w:rsidRPr="003910DF">
        <w:rPr>
          <w:lang w:val="es-MX"/>
        </w:rPr>
        <w:t xml:space="preserve">). </w:t>
      </w:r>
    </w:p>
    <w:p w:rsidR="00C73E40" w:rsidRPr="003910DF" w:rsidRDefault="00C73E40" w:rsidP="00356A7E">
      <w:pPr>
        <w:spacing w:line="360" w:lineRule="auto"/>
        <w:jc w:val="both"/>
        <w:rPr>
          <w:color w:val="000000"/>
          <w:lang w:val="es-MX"/>
        </w:rPr>
      </w:pPr>
    </w:p>
    <w:p w:rsidR="00797756" w:rsidRPr="003910DF" w:rsidRDefault="00797756" w:rsidP="00356A7E">
      <w:pPr>
        <w:spacing w:line="360" w:lineRule="auto"/>
        <w:jc w:val="both"/>
        <w:rPr>
          <w:lang w:val="es-MX"/>
        </w:rPr>
      </w:pPr>
      <w:r w:rsidRPr="003910DF">
        <w:rPr>
          <w:color w:val="000000"/>
          <w:lang w:val="es-MX"/>
        </w:rPr>
        <w:t>Para las evaluaciones en semillero se sigu</w:t>
      </w:r>
      <w:r w:rsidR="00D83B55" w:rsidRPr="003910DF">
        <w:rPr>
          <w:color w:val="000000"/>
          <w:lang w:val="es-MX"/>
        </w:rPr>
        <w:t>i</w:t>
      </w:r>
      <w:r w:rsidRPr="003910DF">
        <w:rPr>
          <w:color w:val="000000"/>
          <w:lang w:val="es-MX"/>
        </w:rPr>
        <w:t xml:space="preserve">ó un diseño completamente aleatorizado con 15 </w:t>
      </w:r>
      <w:r w:rsidR="00D83B55" w:rsidRPr="003910DF">
        <w:rPr>
          <w:color w:val="000000"/>
          <w:lang w:val="es-MX"/>
        </w:rPr>
        <w:t>repeticiones</w:t>
      </w:r>
      <w:r w:rsidR="00DC4978" w:rsidRPr="003910DF">
        <w:rPr>
          <w:color w:val="000000"/>
          <w:lang w:val="es-MX"/>
        </w:rPr>
        <w:t xml:space="preserve">, los tratamientos llevados al campo se </w:t>
      </w:r>
      <w:r w:rsidR="00595486" w:rsidRPr="003910DF">
        <w:rPr>
          <w:color w:val="000000"/>
          <w:lang w:val="es-MX"/>
        </w:rPr>
        <w:t>distribuyeron</w:t>
      </w:r>
      <w:r w:rsidR="00DC4978" w:rsidRPr="003910DF">
        <w:rPr>
          <w:color w:val="000000"/>
          <w:lang w:val="es-MX"/>
        </w:rPr>
        <w:t xml:space="preserve"> </w:t>
      </w:r>
      <w:r w:rsidR="00DC4978" w:rsidRPr="003910DF">
        <w:rPr>
          <w:lang w:val="es-MX"/>
        </w:rPr>
        <w:t>en un diseño de bloques al azar con cinco réplicas por tratamientos.</w:t>
      </w:r>
      <w:r w:rsidR="00DC4978" w:rsidRPr="003910DF">
        <w:rPr>
          <w:color w:val="000000"/>
          <w:lang w:val="es-MX"/>
        </w:rPr>
        <w:t xml:space="preserve"> </w:t>
      </w:r>
      <w:r w:rsidR="00D83B55" w:rsidRPr="003910DF">
        <w:rPr>
          <w:color w:val="000000"/>
          <w:lang w:val="es-MX"/>
        </w:rPr>
        <w:t>L</w:t>
      </w:r>
      <w:r w:rsidRPr="003910DF">
        <w:rPr>
          <w:lang w:val="es-MX"/>
        </w:rPr>
        <w:t xml:space="preserve">os resultados experimentales fueron sometidos a Análisis de Varianza de clasificación </w:t>
      </w:r>
      <w:r w:rsidR="00D83B55" w:rsidRPr="003910DF">
        <w:rPr>
          <w:lang w:val="es-MX"/>
        </w:rPr>
        <w:t>simple</w:t>
      </w:r>
      <w:r w:rsidR="00596082">
        <w:rPr>
          <w:lang w:val="es-MX"/>
        </w:rPr>
        <w:t xml:space="preserve"> (semillero)</w:t>
      </w:r>
      <w:r w:rsidR="00D83B55" w:rsidRPr="003910DF">
        <w:rPr>
          <w:lang w:val="es-MX"/>
        </w:rPr>
        <w:t xml:space="preserve"> y </w:t>
      </w:r>
      <w:r w:rsidRPr="003910DF">
        <w:rPr>
          <w:lang w:val="es-MX"/>
        </w:rPr>
        <w:t>doble</w:t>
      </w:r>
      <w:r w:rsidR="00596082">
        <w:rPr>
          <w:lang w:val="es-MX"/>
        </w:rPr>
        <w:t xml:space="preserve"> (campo)</w:t>
      </w:r>
      <w:r w:rsidRPr="003910DF">
        <w:rPr>
          <w:lang w:val="es-MX"/>
        </w:rPr>
        <w:t>, y en los casos que existieron diferencias significativas entre las medias de los tratamientos se utilizó como criterio discriminante la Prueba de Rangos Múltiples de Duncan</w:t>
      </w:r>
      <w:r w:rsidR="00D83B55" w:rsidRPr="003910DF">
        <w:rPr>
          <w:lang w:val="es-MX"/>
        </w:rPr>
        <w:t xml:space="preserve"> al 5%</w:t>
      </w:r>
      <w:r w:rsidRPr="003910DF">
        <w:rPr>
          <w:lang w:val="es-MX"/>
        </w:rPr>
        <w:t xml:space="preserve">. </w:t>
      </w:r>
      <w:r w:rsidR="00533581">
        <w:rPr>
          <w:lang w:val="es-MX"/>
        </w:rPr>
        <w:t>Se utilizó el programa SPSS (versión 9.0).</w:t>
      </w:r>
    </w:p>
    <w:p w:rsidR="008F3420" w:rsidRDefault="008F3420" w:rsidP="00356A7E">
      <w:pPr>
        <w:pStyle w:val="NormalWeb1"/>
        <w:spacing w:line="360" w:lineRule="auto"/>
        <w:rPr>
          <w:color w:val="000000"/>
          <w:lang w:val="es-MX"/>
        </w:rPr>
      </w:pPr>
    </w:p>
    <w:p w:rsidR="008F3420" w:rsidRPr="003910DF" w:rsidRDefault="00C73E40" w:rsidP="00356A7E">
      <w:pPr>
        <w:spacing w:line="360" w:lineRule="auto"/>
        <w:jc w:val="both"/>
        <w:rPr>
          <w:b/>
        </w:rPr>
      </w:pPr>
      <w:r w:rsidRPr="003910DF">
        <w:rPr>
          <w:b/>
        </w:rPr>
        <w:t xml:space="preserve">Resultados y </w:t>
      </w:r>
      <w:r w:rsidR="005B3DED">
        <w:rPr>
          <w:b/>
        </w:rPr>
        <w:t>d</w:t>
      </w:r>
      <w:r w:rsidR="005B3DED" w:rsidRPr="003910DF">
        <w:rPr>
          <w:b/>
        </w:rPr>
        <w:t>iscusión</w:t>
      </w:r>
      <w:r w:rsidR="005B3DED">
        <w:rPr>
          <w:b/>
        </w:rPr>
        <w:t xml:space="preserve"> </w:t>
      </w:r>
    </w:p>
    <w:p w:rsidR="00711E5F" w:rsidRDefault="00711E5F" w:rsidP="00356A7E">
      <w:pPr>
        <w:spacing w:line="360" w:lineRule="auto"/>
        <w:jc w:val="both"/>
      </w:pPr>
    </w:p>
    <w:p w:rsidR="00810DE2" w:rsidRDefault="00810DE2" w:rsidP="00356A7E">
      <w:pPr>
        <w:spacing w:line="360" w:lineRule="auto"/>
        <w:jc w:val="both"/>
      </w:pPr>
      <w:r w:rsidRPr="003910DF">
        <w:t xml:space="preserve">La primera evaluación realizada a los </w:t>
      </w:r>
      <w:r w:rsidR="005235EB">
        <w:t>7</w:t>
      </w:r>
      <w:r w:rsidRPr="003910DF">
        <w:t xml:space="preserve"> días posteriores a la </w:t>
      </w:r>
      <w:r w:rsidR="00C73E40" w:rsidRPr="003910DF">
        <w:t>siembra</w:t>
      </w:r>
      <w:r w:rsidR="00E60631">
        <w:t xml:space="preserve"> </w:t>
      </w:r>
      <w:r w:rsidRPr="003910DF">
        <w:t>(</w:t>
      </w:r>
      <w:r w:rsidR="005B3DED">
        <w:t>t</w:t>
      </w:r>
      <w:r w:rsidR="005B3DED" w:rsidRPr="003910DF">
        <w:t xml:space="preserve">abla </w:t>
      </w:r>
      <w:r w:rsidR="00C73E40" w:rsidRPr="003910DF">
        <w:t>2</w:t>
      </w:r>
      <w:r w:rsidRPr="003910DF">
        <w:t xml:space="preserve">) no </w:t>
      </w:r>
      <w:r w:rsidR="00C73E40" w:rsidRPr="003910DF">
        <w:t>mostró</w:t>
      </w:r>
      <w:r w:rsidRPr="003910DF">
        <w:t xml:space="preserve"> diferencias </w:t>
      </w:r>
      <w:r w:rsidR="0036148B">
        <w:t>significativas</w:t>
      </w:r>
      <w:r w:rsidRPr="003910DF">
        <w:t xml:space="preserve"> entre los diferentes tratamientos evaluados para las variables altura y número de hojas por plantas</w:t>
      </w:r>
      <w:r w:rsidR="00C73E40" w:rsidRPr="003910DF">
        <w:t xml:space="preserve">, no obteniéndose un efecto </w:t>
      </w:r>
      <w:r w:rsidR="0036148B">
        <w:t xml:space="preserve">positivo </w:t>
      </w:r>
      <w:r w:rsidR="00C73E40" w:rsidRPr="003910DF">
        <w:t>de los diferentes tiempos de imbibición sobre estos indicadores</w:t>
      </w:r>
      <w:r w:rsidRPr="003910DF">
        <w:t>.</w:t>
      </w:r>
    </w:p>
    <w:p w:rsidR="00484F06" w:rsidRPr="003910DF" w:rsidRDefault="00484F06" w:rsidP="00356A7E">
      <w:pPr>
        <w:spacing w:line="360" w:lineRule="auto"/>
        <w:jc w:val="both"/>
      </w:pPr>
    </w:p>
    <w:p w:rsidR="00810DE2" w:rsidRPr="003910DF" w:rsidRDefault="00810DE2" w:rsidP="00356A7E">
      <w:pPr>
        <w:spacing w:line="360" w:lineRule="auto"/>
        <w:jc w:val="both"/>
        <w:rPr>
          <w:b/>
        </w:rPr>
      </w:pPr>
      <w:r w:rsidRPr="003910DF">
        <w:rPr>
          <w:b/>
        </w:rPr>
        <w:t xml:space="preserve">Tabla </w:t>
      </w:r>
      <w:r w:rsidR="00C73E40" w:rsidRPr="003910DF">
        <w:rPr>
          <w:b/>
        </w:rPr>
        <w:t>2</w:t>
      </w:r>
      <w:r w:rsidRPr="003910DF">
        <w:rPr>
          <w:b/>
        </w:rPr>
        <w:t>. Efecto del Gluticid</w:t>
      </w:r>
      <w:r w:rsidR="00B73EA2">
        <w:rPr>
          <w:i/>
          <w:lang w:val="es-MX"/>
        </w:rPr>
        <w:t>®</w:t>
      </w:r>
      <w:r w:rsidRPr="003910DF">
        <w:rPr>
          <w:b/>
        </w:rPr>
        <w:t xml:space="preserve"> en el crecimiento de las plantas (</w:t>
      </w:r>
      <w:r w:rsidR="005B3DED">
        <w:rPr>
          <w:b/>
        </w:rPr>
        <w:t>Primera e</w:t>
      </w:r>
      <w:r w:rsidRPr="003910DF">
        <w:rPr>
          <w:b/>
        </w:rPr>
        <w:t>valuación)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600"/>
        <w:gridCol w:w="1800"/>
        <w:gridCol w:w="2964"/>
      </w:tblGrid>
      <w:tr w:rsidR="00810DE2" w:rsidRPr="003910DF">
        <w:tc>
          <w:tcPr>
            <w:tcW w:w="3600" w:type="dxa"/>
          </w:tcPr>
          <w:p w:rsidR="00810DE2" w:rsidRPr="003910DF" w:rsidRDefault="00810DE2" w:rsidP="00356A7E">
            <w:pPr>
              <w:spacing w:line="360" w:lineRule="auto"/>
              <w:jc w:val="both"/>
              <w:rPr>
                <w:b/>
              </w:rPr>
            </w:pPr>
            <w:r w:rsidRPr="003910DF">
              <w:rPr>
                <w:b/>
              </w:rPr>
              <w:lastRenderedPageBreak/>
              <w:t>Tratamientos</w:t>
            </w:r>
          </w:p>
        </w:tc>
        <w:tc>
          <w:tcPr>
            <w:tcW w:w="1800" w:type="dxa"/>
          </w:tcPr>
          <w:p w:rsidR="00810DE2" w:rsidRPr="003910DF" w:rsidRDefault="00810DE2" w:rsidP="00356A7E">
            <w:pPr>
              <w:spacing w:line="360" w:lineRule="auto"/>
              <w:jc w:val="center"/>
              <w:rPr>
                <w:b/>
              </w:rPr>
            </w:pPr>
            <w:r w:rsidRPr="003910DF">
              <w:rPr>
                <w:b/>
              </w:rPr>
              <w:t>Altura (cm)</w:t>
            </w:r>
          </w:p>
        </w:tc>
        <w:tc>
          <w:tcPr>
            <w:tcW w:w="2964" w:type="dxa"/>
          </w:tcPr>
          <w:p w:rsidR="00810DE2" w:rsidRPr="003910DF" w:rsidRDefault="00810DE2" w:rsidP="00356A7E">
            <w:pPr>
              <w:spacing w:line="360" w:lineRule="auto"/>
              <w:jc w:val="center"/>
              <w:rPr>
                <w:b/>
              </w:rPr>
            </w:pPr>
            <w:r w:rsidRPr="003910DF">
              <w:rPr>
                <w:b/>
              </w:rPr>
              <w:t>Número de hojas</w:t>
            </w:r>
            <w:r w:rsidR="0036148B">
              <w:rPr>
                <w:b/>
              </w:rPr>
              <w:t>.</w:t>
            </w:r>
            <w:r w:rsidR="005235EB">
              <w:rPr>
                <w:b/>
              </w:rPr>
              <w:t>planta</w:t>
            </w:r>
            <w:r w:rsidR="0036148B" w:rsidRPr="00DB2C33">
              <w:rPr>
                <w:vertAlign w:val="superscript"/>
              </w:rPr>
              <w:t>-1</w:t>
            </w:r>
          </w:p>
        </w:tc>
      </w:tr>
      <w:tr w:rsidR="00810DE2" w:rsidRPr="003910DF">
        <w:trPr>
          <w:trHeight w:val="460"/>
        </w:trPr>
        <w:tc>
          <w:tcPr>
            <w:tcW w:w="3600" w:type="dxa"/>
          </w:tcPr>
          <w:p w:rsidR="00810DE2" w:rsidRPr="005B3DED" w:rsidRDefault="00F90864" w:rsidP="00356A7E">
            <w:pPr>
              <w:spacing w:line="360" w:lineRule="auto"/>
              <w:jc w:val="both"/>
            </w:pPr>
            <w:r w:rsidRPr="00F90864">
              <w:t xml:space="preserve">15 </w:t>
            </w:r>
            <w:r w:rsidR="005B3DED" w:rsidRPr="003910DF">
              <w:rPr>
                <w:lang w:val="es-MX"/>
              </w:rPr>
              <w:t xml:space="preserve">min </w:t>
            </w:r>
            <w:r w:rsidRPr="00F90864">
              <w:t>de imbibición</w:t>
            </w:r>
          </w:p>
        </w:tc>
        <w:tc>
          <w:tcPr>
            <w:tcW w:w="1800" w:type="dxa"/>
          </w:tcPr>
          <w:p w:rsidR="00810DE2" w:rsidRPr="003910DF" w:rsidRDefault="00810DE2" w:rsidP="00356A7E">
            <w:pPr>
              <w:spacing w:line="360" w:lineRule="auto"/>
              <w:jc w:val="center"/>
            </w:pPr>
            <w:r w:rsidRPr="003910DF">
              <w:t>6</w:t>
            </w:r>
            <w:r w:rsidR="00F3117D">
              <w:t>,</w:t>
            </w:r>
            <w:r w:rsidRPr="003910DF">
              <w:t>25</w:t>
            </w:r>
          </w:p>
          <w:p w:rsidR="00810DE2" w:rsidRPr="003910DF" w:rsidRDefault="00810DE2" w:rsidP="00356A7E">
            <w:pPr>
              <w:spacing w:line="360" w:lineRule="auto"/>
              <w:jc w:val="center"/>
            </w:pPr>
          </w:p>
        </w:tc>
        <w:tc>
          <w:tcPr>
            <w:tcW w:w="2964" w:type="dxa"/>
          </w:tcPr>
          <w:p w:rsidR="00810DE2" w:rsidRPr="003910DF" w:rsidRDefault="00810DE2" w:rsidP="00356A7E">
            <w:pPr>
              <w:spacing w:line="360" w:lineRule="auto"/>
              <w:jc w:val="center"/>
            </w:pPr>
            <w:r w:rsidRPr="003910DF">
              <w:t>3</w:t>
            </w:r>
            <w:r w:rsidR="00F3117D">
              <w:t>,</w:t>
            </w:r>
            <w:r w:rsidRPr="003910DF">
              <w:t>17</w:t>
            </w:r>
          </w:p>
        </w:tc>
      </w:tr>
      <w:tr w:rsidR="00810DE2" w:rsidRPr="003910DF">
        <w:tc>
          <w:tcPr>
            <w:tcW w:w="3600" w:type="dxa"/>
          </w:tcPr>
          <w:p w:rsidR="00810DE2" w:rsidRPr="005B3DED" w:rsidRDefault="00F90864" w:rsidP="00356A7E">
            <w:pPr>
              <w:spacing w:line="360" w:lineRule="auto"/>
              <w:jc w:val="both"/>
            </w:pPr>
            <w:r w:rsidRPr="00F90864">
              <w:t xml:space="preserve">15 </w:t>
            </w:r>
            <w:r w:rsidR="005B3DED" w:rsidRPr="003910DF">
              <w:rPr>
                <w:lang w:val="es-MX"/>
              </w:rPr>
              <w:t xml:space="preserve">min </w:t>
            </w:r>
            <w:r w:rsidRPr="00F90864">
              <w:t>de imbibición + 1 aplicación foliar</w:t>
            </w:r>
          </w:p>
        </w:tc>
        <w:tc>
          <w:tcPr>
            <w:tcW w:w="1800" w:type="dxa"/>
          </w:tcPr>
          <w:p w:rsidR="00810DE2" w:rsidRPr="003910DF" w:rsidRDefault="00810DE2" w:rsidP="00356A7E">
            <w:pPr>
              <w:spacing w:line="360" w:lineRule="auto"/>
              <w:jc w:val="center"/>
            </w:pPr>
            <w:r w:rsidRPr="003910DF">
              <w:t>6</w:t>
            </w:r>
            <w:r w:rsidR="00F3117D">
              <w:t>,</w:t>
            </w:r>
            <w:r w:rsidRPr="003910DF">
              <w:t>33</w:t>
            </w:r>
          </w:p>
        </w:tc>
        <w:tc>
          <w:tcPr>
            <w:tcW w:w="2964" w:type="dxa"/>
          </w:tcPr>
          <w:p w:rsidR="00810DE2" w:rsidRPr="003910DF" w:rsidRDefault="00810DE2" w:rsidP="00356A7E">
            <w:pPr>
              <w:spacing w:line="360" w:lineRule="auto"/>
              <w:jc w:val="center"/>
            </w:pPr>
            <w:r w:rsidRPr="003910DF">
              <w:t>2</w:t>
            </w:r>
            <w:r w:rsidR="00F3117D">
              <w:t>,</w:t>
            </w:r>
            <w:r w:rsidRPr="003910DF">
              <w:t>83</w:t>
            </w:r>
          </w:p>
        </w:tc>
      </w:tr>
      <w:tr w:rsidR="00810DE2" w:rsidRPr="003910DF">
        <w:tc>
          <w:tcPr>
            <w:tcW w:w="3600" w:type="dxa"/>
          </w:tcPr>
          <w:p w:rsidR="00810DE2" w:rsidRPr="005B3DED" w:rsidRDefault="00F90864" w:rsidP="00356A7E">
            <w:pPr>
              <w:spacing w:line="360" w:lineRule="auto"/>
              <w:jc w:val="both"/>
            </w:pPr>
            <w:r w:rsidRPr="00F90864">
              <w:t xml:space="preserve">30 </w:t>
            </w:r>
            <w:r w:rsidR="005B3DED" w:rsidRPr="003910DF">
              <w:rPr>
                <w:lang w:val="es-MX"/>
              </w:rPr>
              <w:t xml:space="preserve">min </w:t>
            </w:r>
            <w:r w:rsidRPr="00F90864">
              <w:t>de imbibición</w:t>
            </w:r>
          </w:p>
          <w:p w:rsidR="00B07E9A" w:rsidRPr="005B3DED" w:rsidRDefault="00B07E9A" w:rsidP="00356A7E">
            <w:pPr>
              <w:spacing w:line="360" w:lineRule="auto"/>
              <w:jc w:val="both"/>
            </w:pPr>
          </w:p>
        </w:tc>
        <w:tc>
          <w:tcPr>
            <w:tcW w:w="1800" w:type="dxa"/>
          </w:tcPr>
          <w:p w:rsidR="00810DE2" w:rsidRPr="003910DF" w:rsidRDefault="00810DE2" w:rsidP="00356A7E">
            <w:pPr>
              <w:spacing w:line="360" w:lineRule="auto"/>
              <w:jc w:val="center"/>
            </w:pPr>
            <w:r w:rsidRPr="003910DF">
              <w:t>7</w:t>
            </w:r>
            <w:r w:rsidR="00F3117D">
              <w:t>,</w:t>
            </w:r>
            <w:r w:rsidRPr="003910DF">
              <w:t>00</w:t>
            </w:r>
          </w:p>
        </w:tc>
        <w:tc>
          <w:tcPr>
            <w:tcW w:w="2964" w:type="dxa"/>
          </w:tcPr>
          <w:p w:rsidR="00810DE2" w:rsidRPr="003910DF" w:rsidRDefault="00810DE2" w:rsidP="00356A7E">
            <w:pPr>
              <w:spacing w:line="360" w:lineRule="auto"/>
              <w:jc w:val="center"/>
            </w:pPr>
            <w:r w:rsidRPr="003910DF">
              <w:t>2</w:t>
            </w:r>
            <w:r w:rsidR="00F3117D">
              <w:t>,</w:t>
            </w:r>
            <w:r w:rsidRPr="003910DF">
              <w:t>67</w:t>
            </w:r>
          </w:p>
        </w:tc>
      </w:tr>
      <w:tr w:rsidR="00810DE2" w:rsidRPr="003910DF">
        <w:tc>
          <w:tcPr>
            <w:tcW w:w="3600" w:type="dxa"/>
          </w:tcPr>
          <w:p w:rsidR="00810DE2" w:rsidRPr="005B3DED" w:rsidRDefault="00F90864" w:rsidP="00356A7E">
            <w:pPr>
              <w:spacing w:line="360" w:lineRule="auto"/>
              <w:jc w:val="both"/>
            </w:pPr>
            <w:r w:rsidRPr="00F90864">
              <w:t xml:space="preserve">30 </w:t>
            </w:r>
            <w:r w:rsidR="005B3DED" w:rsidRPr="003910DF">
              <w:rPr>
                <w:lang w:val="es-MX"/>
              </w:rPr>
              <w:t xml:space="preserve">min </w:t>
            </w:r>
            <w:r w:rsidRPr="00F90864">
              <w:t>de imbibición</w:t>
            </w:r>
          </w:p>
          <w:p w:rsidR="00810DE2" w:rsidRPr="005B3DED" w:rsidRDefault="00F90864" w:rsidP="00356A7E">
            <w:pPr>
              <w:spacing w:line="360" w:lineRule="auto"/>
              <w:jc w:val="both"/>
            </w:pPr>
            <w:r w:rsidRPr="00F90864">
              <w:t>+ 1 aplicación foliar</w:t>
            </w:r>
          </w:p>
        </w:tc>
        <w:tc>
          <w:tcPr>
            <w:tcW w:w="1800" w:type="dxa"/>
          </w:tcPr>
          <w:p w:rsidR="00810DE2" w:rsidRPr="003910DF" w:rsidRDefault="00810DE2" w:rsidP="00356A7E">
            <w:pPr>
              <w:spacing w:line="360" w:lineRule="auto"/>
              <w:jc w:val="center"/>
            </w:pPr>
            <w:r w:rsidRPr="003910DF">
              <w:t>6</w:t>
            </w:r>
            <w:r w:rsidR="00F3117D">
              <w:t>,</w:t>
            </w:r>
            <w:r w:rsidRPr="003910DF">
              <w:t>67</w:t>
            </w:r>
          </w:p>
        </w:tc>
        <w:tc>
          <w:tcPr>
            <w:tcW w:w="2964" w:type="dxa"/>
          </w:tcPr>
          <w:p w:rsidR="00810DE2" w:rsidRPr="003910DF" w:rsidRDefault="00810DE2" w:rsidP="00356A7E">
            <w:pPr>
              <w:spacing w:line="360" w:lineRule="auto"/>
              <w:jc w:val="center"/>
            </w:pPr>
            <w:r w:rsidRPr="003910DF">
              <w:t>3</w:t>
            </w:r>
            <w:r w:rsidR="00F3117D">
              <w:t>,</w:t>
            </w:r>
            <w:r w:rsidRPr="003910DF">
              <w:t>00</w:t>
            </w:r>
          </w:p>
        </w:tc>
      </w:tr>
      <w:tr w:rsidR="00810DE2" w:rsidRPr="003910DF">
        <w:tc>
          <w:tcPr>
            <w:tcW w:w="3600" w:type="dxa"/>
          </w:tcPr>
          <w:p w:rsidR="00810DE2" w:rsidRPr="005B3DED" w:rsidRDefault="00F90864" w:rsidP="00356A7E">
            <w:pPr>
              <w:spacing w:line="360" w:lineRule="auto"/>
              <w:jc w:val="both"/>
            </w:pPr>
            <w:r w:rsidRPr="00F90864">
              <w:t>Testigo sin inocular</w:t>
            </w:r>
          </w:p>
        </w:tc>
        <w:tc>
          <w:tcPr>
            <w:tcW w:w="1800" w:type="dxa"/>
          </w:tcPr>
          <w:p w:rsidR="00810DE2" w:rsidRPr="003910DF" w:rsidRDefault="00810DE2" w:rsidP="00356A7E">
            <w:pPr>
              <w:spacing w:line="360" w:lineRule="auto"/>
              <w:jc w:val="center"/>
            </w:pPr>
            <w:r w:rsidRPr="003910DF">
              <w:t>6</w:t>
            </w:r>
            <w:r w:rsidR="00F3117D">
              <w:t>,</w:t>
            </w:r>
            <w:r w:rsidRPr="003910DF">
              <w:t>83</w:t>
            </w:r>
          </w:p>
        </w:tc>
        <w:tc>
          <w:tcPr>
            <w:tcW w:w="2964" w:type="dxa"/>
          </w:tcPr>
          <w:p w:rsidR="00810DE2" w:rsidRPr="003910DF" w:rsidRDefault="00810DE2" w:rsidP="00356A7E">
            <w:pPr>
              <w:spacing w:line="360" w:lineRule="auto"/>
              <w:jc w:val="center"/>
            </w:pPr>
            <w:r w:rsidRPr="003910DF">
              <w:t>2</w:t>
            </w:r>
            <w:r w:rsidR="00F3117D">
              <w:t>,</w:t>
            </w:r>
            <w:r w:rsidRPr="003910DF">
              <w:t>92</w:t>
            </w:r>
          </w:p>
        </w:tc>
      </w:tr>
      <w:tr w:rsidR="00810DE2" w:rsidRPr="003910DF">
        <w:tc>
          <w:tcPr>
            <w:tcW w:w="3600" w:type="dxa"/>
          </w:tcPr>
          <w:p w:rsidR="00810DE2" w:rsidRPr="005B3DED" w:rsidRDefault="00F90864" w:rsidP="00356A7E">
            <w:pPr>
              <w:spacing w:line="360" w:lineRule="auto"/>
              <w:jc w:val="both"/>
            </w:pPr>
            <w:r w:rsidRPr="00F90864">
              <w:t>ES x</w:t>
            </w:r>
          </w:p>
        </w:tc>
        <w:tc>
          <w:tcPr>
            <w:tcW w:w="1800" w:type="dxa"/>
          </w:tcPr>
          <w:p w:rsidR="00810DE2" w:rsidRPr="003910DF" w:rsidRDefault="00810DE2" w:rsidP="00356A7E">
            <w:pPr>
              <w:spacing w:line="360" w:lineRule="auto"/>
              <w:jc w:val="center"/>
            </w:pPr>
            <w:r w:rsidRPr="003910DF">
              <w:t>0</w:t>
            </w:r>
            <w:r w:rsidR="00F3117D">
              <w:t>,</w:t>
            </w:r>
            <w:r w:rsidRPr="003910DF">
              <w:t>37</w:t>
            </w:r>
            <w:r w:rsidR="00E60631">
              <w:t xml:space="preserve"> </w:t>
            </w:r>
            <w:r w:rsidRPr="003910DF">
              <w:t>n.s</w:t>
            </w:r>
          </w:p>
        </w:tc>
        <w:tc>
          <w:tcPr>
            <w:tcW w:w="2964" w:type="dxa"/>
          </w:tcPr>
          <w:p w:rsidR="00810DE2" w:rsidRPr="003910DF" w:rsidRDefault="00810DE2" w:rsidP="00356A7E">
            <w:pPr>
              <w:spacing w:line="360" w:lineRule="auto"/>
              <w:jc w:val="center"/>
            </w:pPr>
            <w:r w:rsidRPr="003910DF">
              <w:t>0</w:t>
            </w:r>
            <w:r w:rsidR="00F3117D">
              <w:t>,</w:t>
            </w:r>
            <w:r w:rsidRPr="003910DF">
              <w:t>24</w:t>
            </w:r>
            <w:r w:rsidR="00E60631">
              <w:t xml:space="preserve"> </w:t>
            </w:r>
            <w:r w:rsidRPr="003910DF">
              <w:t>n.s</w:t>
            </w:r>
          </w:p>
        </w:tc>
      </w:tr>
    </w:tbl>
    <w:p w:rsidR="00711E5F" w:rsidRDefault="00711E5F" w:rsidP="00356A7E">
      <w:pPr>
        <w:spacing w:line="360" w:lineRule="auto"/>
        <w:jc w:val="both"/>
      </w:pPr>
    </w:p>
    <w:p w:rsidR="000D3B6E" w:rsidRDefault="00810DE2" w:rsidP="00356A7E">
      <w:pPr>
        <w:spacing w:line="360" w:lineRule="auto"/>
        <w:jc w:val="both"/>
      </w:pPr>
      <w:r w:rsidRPr="003910DF">
        <w:t>En la segunda evaluación</w:t>
      </w:r>
      <w:r w:rsidR="005B3DED">
        <w:t>,</w:t>
      </w:r>
      <w:r w:rsidRPr="003910DF">
        <w:t xml:space="preserve"> realizada a los 15 días posteriores a la </w:t>
      </w:r>
      <w:r w:rsidR="00C73E40" w:rsidRPr="003910DF">
        <w:t>siembra</w:t>
      </w:r>
      <w:r w:rsidRPr="003910DF">
        <w:t xml:space="preserve"> (</w:t>
      </w:r>
      <w:r w:rsidR="005B3DED">
        <w:t>t</w:t>
      </w:r>
      <w:r w:rsidR="005B3DED" w:rsidRPr="003910DF">
        <w:t xml:space="preserve">abla </w:t>
      </w:r>
      <w:r w:rsidR="00C73E40" w:rsidRPr="003910DF">
        <w:t>3</w:t>
      </w:r>
      <w:r w:rsidRPr="003910DF">
        <w:t xml:space="preserve">), </w:t>
      </w:r>
      <w:r w:rsidR="00711E5F">
        <w:t>comienzan a</w:t>
      </w:r>
      <w:r w:rsidRPr="003910DF">
        <w:t xml:space="preserve"> diferenciar</w:t>
      </w:r>
      <w:r w:rsidR="00711E5F">
        <w:t>se</w:t>
      </w:r>
      <w:r w:rsidRPr="003910DF">
        <w:t xml:space="preserve"> </w:t>
      </w:r>
      <w:r w:rsidR="0036148B">
        <w:t>significativamente</w:t>
      </w:r>
      <w:r w:rsidRPr="003910DF">
        <w:t xml:space="preserve"> los tratamientos, siendo mayor la altura de las plantas</w:t>
      </w:r>
      <w:r w:rsidR="00D15A71">
        <w:t xml:space="preserve"> y la longitud radicular</w:t>
      </w:r>
      <w:r w:rsidRPr="003910DF">
        <w:t xml:space="preserve"> en aquellas donde la semilla fue imbibida durante 30 </w:t>
      </w:r>
      <w:r w:rsidR="005B3DED" w:rsidRPr="003910DF">
        <w:rPr>
          <w:lang w:val="es-MX"/>
        </w:rPr>
        <w:t>min</w:t>
      </w:r>
      <w:r w:rsidR="005B3DED">
        <w:rPr>
          <w:lang w:val="es-MX"/>
        </w:rPr>
        <w:t>,</w:t>
      </w:r>
      <w:r w:rsidR="005B3DED" w:rsidRPr="003910DF">
        <w:rPr>
          <w:lang w:val="es-MX"/>
        </w:rPr>
        <w:t xml:space="preserve"> </w:t>
      </w:r>
      <w:r w:rsidRPr="003910DF">
        <w:t xml:space="preserve">y se realizó una aplicación foliar a </w:t>
      </w:r>
      <w:r w:rsidR="00C73E40" w:rsidRPr="003910DF">
        <w:t xml:space="preserve">los </w:t>
      </w:r>
      <w:r w:rsidR="005B3DED">
        <w:t>10</w:t>
      </w:r>
      <w:r w:rsidR="005B3DED" w:rsidRPr="003910DF">
        <w:t xml:space="preserve"> </w:t>
      </w:r>
      <w:r w:rsidR="00C73E40" w:rsidRPr="003910DF">
        <w:t>días posteriores a la siembra</w:t>
      </w:r>
      <w:r w:rsidR="00711E5F">
        <w:t>. E</w:t>
      </w:r>
      <w:r w:rsidR="00E86F12" w:rsidRPr="003910DF">
        <w:t xml:space="preserve">n </w:t>
      </w:r>
      <w:r w:rsidR="000D3B6E" w:rsidRPr="003910DF">
        <w:t xml:space="preserve">la </w:t>
      </w:r>
      <w:r w:rsidR="005B3DED">
        <w:t>f</w:t>
      </w:r>
      <w:r w:rsidR="005B3DED" w:rsidRPr="003910DF">
        <w:t xml:space="preserve">igura </w:t>
      </w:r>
      <w:r w:rsidR="000D3B6E" w:rsidRPr="003910DF">
        <w:t xml:space="preserve">1 se aprecia el efecto del producto en la plántula, </w:t>
      </w:r>
      <w:r w:rsidR="00894C3E">
        <w:t>observándose mayor vigor</w:t>
      </w:r>
      <w:r w:rsidR="000D3B6E" w:rsidRPr="003910DF">
        <w:t xml:space="preserve"> con respecto a las plantas testigo.</w:t>
      </w:r>
    </w:p>
    <w:p w:rsidR="00484F06" w:rsidRPr="003910DF" w:rsidRDefault="00484F06" w:rsidP="00356A7E">
      <w:pPr>
        <w:spacing w:line="360" w:lineRule="auto"/>
        <w:jc w:val="both"/>
      </w:pPr>
    </w:p>
    <w:p w:rsidR="000D3B6E" w:rsidRPr="003910DF" w:rsidRDefault="00E60631" w:rsidP="00356A7E">
      <w:pPr>
        <w:spacing w:line="360" w:lineRule="auto"/>
        <w:jc w:val="both"/>
      </w:pPr>
      <w:r>
        <w:t xml:space="preserve"> </w:t>
      </w:r>
      <w:r w:rsidR="0023099A">
        <w:rPr>
          <w:noProof/>
          <w:lang w:val="es-CO" w:eastAsia="es-CO"/>
        </w:rPr>
        <w:drawing>
          <wp:inline distT="0" distB="0" distL="0" distR="0">
            <wp:extent cx="3743325" cy="2362200"/>
            <wp:effectExtent l="19050" t="0" r="9525" b="0"/>
            <wp:docPr id="1" name="Imagen 1" descr="pos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uras"/>
                    <pic:cNvPicPr>
                      <a:picLocks noChangeAspect="1" noChangeArrowheads="1"/>
                    </pic:cNvPicPr>
                  </pic:nvPicPr>
                  <pic:blipFill>
                    <a:blip r:embed="rId13" cstate="print"/>
                    <a:srcRect/>
                    <a:stretch>
                      <a:fillRect/>
                    </a:stretch>
                  </pic:blipFill>
                  <pic:spPr bwMode="auto">
                    <a:xfrm>
                      <a:off x="0" y="0"/>
                      <a:ext cx="3743325" cy="2362200"/>
                    </a:xfrm>
                    <a:prstGeom prst="rect">
                      <a:avLst/>
                    </a:prstGeom>
                    <a:noFill/>
                    <a:ln w="9525">
                      <a:noFill/>
                      <a:miter lim="800000"/>
                      <a:headEnd/>
                      <a:tailEnd/>
                    </a:ln>
                  </pic:spPr>
                </pic:pic>
              </a:graphicData>
            </a:graphic>
          </wp:inline>
        </w:drawing>
      </w:r>
    </w:p>
    <w:p w:rsidR="00D15A71" w:rsidRDefault="00D15A71" w:rsidP="00356A7E">
      <w:pPr>
        <w:spacing w:line="360" w:lineRule="auto"/>
        <w:jc w:val="both"/>
        <w:rPr>
          <w:b/>
        </w:rPr>
      </w:pPr>
    </w:p>
    <w:p w:rsidR="000D3B6E" w:rsidRPr="003910DF" w:rsidRDefault="000D3B6E" w:rsidP="00356A7E">
      <w:pPr>
        <w:spacing w:line="360" w:lineRule="auto"/>
        <w:jc w:val="both"/>
        <w:rPr>
          <w:b/>
        </w:rPr>
      </w:pPr>
      <w:r w:rsidRPr="003910DF">
        <w:rPr>
          <w:b/>
        </w:rPr>
        <w:lastRenderedPageBreak/>
        <w:t xml:space="preserve">Figura 1. </w:t>
      </w:r>
      <w:r w:rsidR="00F90864" w:rsidRPr="00F90864">
        <w:t xml:space="preserve">Efecto del producto </w:t>
      </w:r>
      <w:r w:rsidR="00F90864" w:rsidRPr="00F90864">
        <w:rPr>
          <w:i/>
        </w:rPr>
        <w:t>Gluticid</w:t>
      </w:r>
      <w:r w:rsidR="00B73EA2" w:rsidRPr="005B3DED">
        <w:rPr>
          <w:i/>
          <w:lang w:val="es-MX"/>
        </w:rPr>
        <w:t>®</w:t>
      </w:r>
      <w:r w:rsidR="00F90864" w:rsidRPr="00F90864">
        <w:t xml:space="preserve"> en plántulas de tomate</w:t>
      </w:r>
      <w:r w:rsidR="005B3DED">
        <w:t>.</w:t>
      </w:r>
    </w:p>
    <w:p w:rsidR="005B3DED" w:rsidRDefault="005B3DED" w:rsidP="00356A7E">
      <w:pPr>
        <w:autoSpaceDE w:val="0"/>
        <w:autoSpaceDN w:val="0"/>
        <w:adjustRightInd w:val="0"/>
        <w:spacing w:line="360" w:lineRule="auto"/>
        <w:jc w:val="both"/>
      </w:pPr>
    </w:p>
    <w:p w:rsidR="00D024D4" w:rsidRPr="003910DF" w:rsidRDefault="00512478" w:rsidP="00356A7E">
      <w:pPr>
        <w:autoSpaceDE w:val="0"/>
        <w:autoSpaceDN w:val="0"/>
        <w:adjustRightInd w:val="0"/>
        <w:spacing w:line="360" w:lineRule="auto"/>
        <w:jc w:val="both"/>
      </w:pPr>
      <w:r>
        <w:t>Las</w:t>
      </w:r>
      <w:r w:rsidR="00D024D4" w:rsidRPr="003910DF">
        <w:t xml:space="preserve"> bacterias pertenecientes al género </w:t>
      </w:r>
      <w:r w:rsidR="00D024D4" w:rsidRPr="003910DF">
        <w:rPr>
          <w:i/>
        </w:rPr>
        <w:t>Pseudomonas sp</w:t>
      </w:r>
      <w:r w:rsidR="00E60631">
        <w:t xml:space="preserve"> </w:t>
      </w:r>
      <w:r w:rsidR="00D024D4" w:rsidRPr="003910DF">
        <w:t>poseen la propiedad de producir diferentes sustancias, cuyas principales ventajas son las de estimular la germinación de las semillas, acelerar el crecimiento de las plantas especialmente en sus primeros estadios, inducir la iniciación radicular e incrementar la formación de raíces y pelos radiculares</w:t>
      </w:r>
      <w:r>
        <w:t>, según indicaron</w:t>
      </w:r>
      <w:r w:rsidRPr="00512478">
        <w:t xml:space="preserve"> </w:t>
      </w:r>
      <w:r w:rsidRPr="003910DF">
        <w:t xml:space="preserve">Ezziyyani </w:t>
      </w:r>
      <w:r w:rsidRPr="003910DF">
        <w:rPr>
          <w:i/>
        </w:rPr>
        <w:t>et al</w:t>
      </w:r>
      <w:r w:rsidRPr="003910DF">
        <w:t>. (2005)</w:t>
      </w:r>
      <w:r w:rsidR="00D024D4" w:rsidRPr="003910DF">
        <w:t>. Las principales sustancias estimuladoras producidas son de tipo hormonal como auxinas, giberelinas y citoquininas, pero también producen sustancias de otro tipo como aminoácidos y promotores específicos del crecimiento.</w:t>
      </w:r>
    </w:p>
    <w:p w:rsidR="00595486" w:rsidRPr="003910DF" w:rsidRDefault="00595486" w:rsidP="00356A7E">
      <w:pPr>
        <w:spacing w:line="360" w:lineRule="auto"/>
        <w:jc w:val="both"/>
      </w:pPr>
    </w:p>
    <w:p w:rsidR="00810DE2" w:rsidRPr="003910DF" w:rsidRDefault="00810DE2" w:rsidP="00356A7E">
      <w:pPr>
        <w:spacing w:line="360" w:lineRule="auto"/>
        <w:jc w:val="both"/>
        <w:rPr>
          <w:b/>
        </w:rPr>
      </w:pPr>
      <w:r w:rsidRPr="003910DF">
        <w:rPr>
          <w:b/>
        </w:rPr>
        <w:t xml:space="preserve">Tabla </w:t>
      </w:r>
      <w:r w:rsidR="00C73E40" w:rsidRPr="003910DF">
        <w:rPr>
          <w:b/>
        </w:rPr>
        <w:t>3</w:t>
      </w:r>
      <w:r w:rsidRPr="003910DF">
        <w:rPr>
          <w:b/>
        </w:rPr>
        <w:t>. Efecto del Gluticid</w:t>
      </w:r>
      <w:r w:rsidR="00B73EA2">
        <w:rPr>
          <w:i/>
          <w:lang w:val="es-MX"/>
        </w:rPr>
        <w:t>®</w:t>
      </w:r>
      <w:r w:rsidRPr="003910DF">
        <w:rPr>
          <w:b/>
        </w:rPr>
        <w:t xml:space="preserve"> en el crecimiento de las plantas (</w:t>
      </w:r>
      <w:r w:rsidR="005B3DED">
        <w:rPr>
          <w:b/>
        </w:rPr>
        <w:t>segunda e</w:t>
      </w:r>
      <w:r w:rsidRPr="003910DF">
        <w:rPr>
          <w:b/>
        </w:rPr>
        <w:t>valuación)</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420"/>
        <w:gridCol w:w="1800"/>
        <w:gridCol w:w="1980"/>
        <w:gridCol w:w="1980"/>
      </w:tblGrid>
      <w:tr w:rsidR="00711E5F" w:rsidRPr="003910DF">
        <w:tc>
          <w:tcPr>
            <w:tcW w:w="3420" w:type="dxa"/>
          </w:tcPr>
          <w:p w:rsidR="00711E5F" w:rsidRPr="003910DF" w:rsidRDefault="00711E5F" w:rsidP="00356A7E">
            <w:pPr>
              <w:spacing w:line="360" w:lineRule="auto"/>
              <w:jc w:val="both"/>
              <w:rPr>
                <w:b/>
              </w:rPr>
            </w:pPr>
            <w:r w:rsidRPr="003910DF">
              <w:rPr>
                <w:b/>
              </w:rPr>
              <w:t>Tratamientos</w:t>
            </w:r>
          </w:p>
        </w:tc>
        <w:tc>
          <w:tcPr>
            <w:tcW w:w="1800" w:type="dxa"/>
          </w:tcPr>
          <w:p w:rsidR="00711E5F" w:rsidRPr="003910DF" w:rsidRDefault="00711E5F" w:rsidP="00356A7E">
            <w:pPr>
              <w:spacing w:line="360" w:lineRule="auto"/>
              <w:jc w:val="center"/>
              <w:rPr>
                <w:b/>
              </w:rPr>
            </w:pPr>
            <w:r w:rsidRPr="003910DF">
              <w:rPr>
                <w:b/>
              </w:rPr>
              <w:t>Altura (cm)</w:t>
            </w:r>
          </w:p>
        </w:tc>
        <w:tc>
          <w:tcPr>
            <w:tcW w:w="1980" w:type="dxa"/>
          </w:tcPr>
          <w:p w:rsidR="00711E5F" w:rsidRPr="003910DF" w:rsidRDefault="00711E5F" w:rsidP="00356A7E">
            <w:pPr>
              <w:spacing w:line="360" w:lineRule="auto"/>
              <w:jc w:val="center"/>
              <w:rPr>
                <w:b/>
              </w:rPr>
            </w:pPr>
            <w:r w:rsidRPr="003910DF">
              <w:rPr>
                <w:b/>
              </w:rPr>
              <w:t>Número de hojas</w:t>
            </w:r>
            <w:r w:rsidR="00894C3E">
              <w:rPr>
                <w:b/>
              </w:rPr>
              <w:t>.</w:t>
            </w:r>
            <w:r>
              <w:rPr>
                <w:b/>
              </w:rPr>
              <w:t>planta</w:t>
            </w:r>
            <w:r w:rsidR="00894C3E" w:rsidRPr="008A0372">
              <w:rPr>
                <w:b/>
                <w:vertAlign w:val="superscript"/>
              </w:rPr>
              <w:t>-1</w:t>
            </w:r>
          </w:p>
        </w:tc>
        <w:tc>
          <w:tcPr>
            <w:tcW w:w="1980" w:type="dxa"/>
          </w:tcPr>
          <w:p w:rsidR="00711E5F" w:rsidRPr="003910DF" w:rsidRDefault="00711E5F" w:rsidP="00356A7E">
            <w:pPr>
              <w:spacing w:line="360" w:lineRule="auto"/>
              <w:jc w:val="center"/>
              <w:rPr>
                <w:b/>
              </w:rPr>
            </w:pPr>
            <w:r>
              <w:rPr>
                <w:b/>
              </w:rPr>
              <w:t>Longitud radicular (cm)</w:t>
            </w:r>
          </w:p>
        </w:tc>
      </w:tr>
      <w:tr w:rsidR="00711E5F" w:rsidRPr="003910DF">
        <w:tc>
          <w:tcPr>
            <w:tcW w:w="3420" w:type="dxa"/>
          </w:tcPr>
          <w:p w:rsidR="00711E5F" w:rsidRPr="005B3DED" w:rsidRDefault="00F90864" w:rsidP="00356A7E">
            <w:pPr>
              <w:spacing w:line="360" w:lineRule="auto"/>
              <w:jc w:val="both"/>
            </w:pPr>
            <w:r w:rsidRPr="00F90864">
              <w:t xml:space="preserve">15 </w:t>
            </w:r>
            <w:r w:rsidR="005B3DED" w:rsidRPr="003910DF">
              <w:rPr>
                <w:lang w:val="es-MX"/>
              </w:rPr>
              <w:t xml:space="preserve">min </w:t>
            </w:r>
            <w:r w:rsidRPr="00F90864">
              <w:t>de imbibición</w:t>
            </w:r>
          </w:p>
        </w:tc>
        <w:tc>
          <w:tcPr>
            <w:tcW w:w="1800" w:type="dxa"/>
          </w:tcPr>
          <w:p w:rsidR="00711E5F" w:rsidRPr="003910DF" w:rsidRDefault="00E60631" w:rsidP="00356A7E">
            <w:pPr>
              <w:spacing w:line="360" w:lineRule="auto"/>
              <w:jc w:val="center"/>
            </w:pPr>
            <w:r>
              <w:t xml:space="preserve"> </w:t>
            </w:r>
            <w:r w:rsidR="00F3117D">
              <w:t>9,</w:t>
            </w:r>
            <w:r w:rsidR="00711E5F" w:rsidRPr="003910DF">
              <w:t>50</w:t>
            </w:r>
            <w:r>
              <w:t xml:space="preserve"> </w:t>
            </w:r>
            <w:r w:rsidR="00711E5F" w:rsidRPr="003910DF">
              <w:t>c</w:t>
            </w:r>
          </w:p>
        </w:tc>
        <w:tc>
          <w:tcPr>
            <w:tcW w:w="1980" w:type="dxa"/>
          </w:tcPr>
          <w:p w:rsidR="00711E5F" w:rsidRPr="003910DF" w:rsidRDefault="00F3117D" w:rsidP="00356A7E">
            <w:pPr>
              <w:spacing w:line="360" w:lineRule="auto"/>
              <w:jc w:val="center"/>
            </w:pPr>
            <w:r>
              <w:t xml:space="preserve"> </w:t>
            </w:r>
            <w:r w:rsidR="00711E5F" w:rsidRPr="003910DF">
              <w:t>3</w:t>
            </w:r>
            <w:r>
              <w:t>,</w:t>
            </w:r>
            <w:r w:rsidR="00711E5F" w:rsidRPr="003910DF">
              <w:t>08</w:t>
            </w:r>
            <w:r w:rsidR="00E60631">
              <w:t xml:space="preserve"> </w:t>
            </w:r>
            <w:r w:rsidR="00711E5F" w:rsidRPr="003910DF">
              <w:t>bc</w:t>
            </w:r>
          </w:p>
        </w:tc>
        <w:tc>
          <w:tcPr>
            <w:tcW w:w="1980" w:type="dxa"/>
          </w:tcPr>
          <w:p w:rsidR="00711E5F" w:rsidRPr="003910DF" w:rsidRDefault="00711E5F" w:rsidP="00356A7E">
            <w:pPr>
              <w:spacing w:line="360" w:lineRule="auto"/>
              <w:jc w:val="center"/>
            </w:pPr>
            <w:r>
              <w:t>6</w:t>
            </w:r>
            <w:r w:rsidR="00F3117D">
              <w:t>,</w:t>
            </w:r>
            <w:r>
              <w:t>14 c</w:t>
            </w:r>
          </w:p>
        </w:tc>
      </w:tr>
      <w:tr w:rsidR="00711E5F" w:rsidRPr="003910DF">
        <w:tc>
          <w:tcPr>
            <w:tcW w:w="3420" w:type="dxa"/>
          </w:tcPr>
          <w:p w:rsidR="00711E5F" w:rsidRPr="005B3DED" w:rsidRDefault="00F90864" w:rsidP="00356A7E">
            <w:pPr>
              <w:spacing w:line="360" w:lineRule="auto"/>
              <w:jc w:val="both"/>
            </w:pPr>
            <w:r w:rsidRPr="00F90864">
              <w:t xml:space="preserve">15 </w:t>
            </w:r>
            <w:r w:rsidR="005B3DED" w:rsidRPr="003910DF">
              <w:rPr>
                <w:lang w:val="es-MX"/>
              </w:rPr>
              <w:t xml:space="preserve">min </w:t>
            </w:r>
            <w:r w:rsidRPr="00F90864">
              <w:t>de imbibición + 1 aplicación foliar</w:t>
            </w:r>
          </w:p>
        </w:tc>
        <w:tc>
          <w:tcPr>
            <w:tcW w:w="1800" w:type="dxa"/>
          </w:tcPr>
          <w:p w:rsidR="00711E5F" w:rsidRPr="003910DF" w:rsidRDefault="00711E5F" w:rsidP="00356A7E">
            <w:pPr>
              <w:spacing w:line="360" w:lineRule="auto"/>
              <w:jc w:val="center"/>
            </w:pPr>
            <w:r w:rsidRPr="003910DF">
              <w:t>13</w:t>
            </w:r>
            <w:r w:rsidR="00F3117D">
              <w:t>,</w:t>
            </w:r>
            <w:r w:rsidRPr="003910DF">
              <w:t>87</w:t>
            </w:r>
            <w:r w:rsidR="00E60631">
              <w:t xml:space="preserve"> </w:t>
            </w:r>
            <w:r w:rsidRPr="003910DF">
              <w:t>b</w:t>
            </w:r>
          </w:p>
        </w:tc>
        <w:tc>
          <w:tcPr>
            <w:tcW w:w="1980" w:type="dxa"/>
          </w:tcPr>
          <w:p w:rsidR="00711E5F" w:rsidRPr="003910DF" w:rsidRDefault="00711E5F" w:rsidP="00356A7E">
            <w:pPr>
              <w:spacing w:line="360" w:lineRule="auto"/>
              <w:jc w:val="center"/>
            </w:pPr>
            <w:r w:rsidRPr="003910DF">
              <w:t>3</w:t>
            </w:r>
            <w:r w:rsidR="00F3117D">
              <w:t>,</w:t>
            </w:r>
            <w:r w:rsidRPr="003910DF">
              <w:t>42 ab</w:t>
            </w:r>
          </w:p>
        </w:tc>
        <w:tc>
          <w:tcPr>
            <w:tcW w:w="1980" w:type="dxa"/>
          </w:tcPr>
          <w:p w:rsidR="00711E5F" w:rsidRPr="003910DF" w:rsidRDefault="00711E5F" w:rsidP="00356A7E">
            <w:pPr>
              <w:spacing w:line="360" w:lineRule="auto"/>
              <w:jc w:val="center"/>
            </w:pPr>
            <w:r>
              <w:t>8</w:t>
            </w:r>
            <w:r w:rsidR="00F3117D">
              <w:t>,</w:t>
            </w:r>
            <w:r>
              <w:t>23 b</w:t>
            </w:r>
          </w:p>
        </w:tc>
      </w:tr>
      <w:tr w:rsidR="00711E5F" w:rsidRPr="003910DF">
        <w:tc>
          <w:tcPr>
            <w:tcW w:w="3420" w:type="dxa"/>
          </w:tcPr>
          <w:p w:rsidR="00711E5F" w:rsidRPr="005B3DED" w:rsidRDefault="00F90864" w:rsidP="00356A7E">
            <w:pPr>
              <w:spacing w:line="360" w:lineRule="auto"/>
              <w:jc w:val="both"/>
            </w:pPr>
            <w:r w:rsidRPr="00F90864">
              <w:t xml:space="preserve">30 </w:t>
            </w:r>
            <w:r w:rsidR="005B3DED" w:rsidRPr="003910DF">
              <w:rPr>
                <w:lang w:val="es-MX"/>
              </w:rPr>
              <w:t xml:space="preserve">min </w:t>
            </w:r>
            <w:r w:rsidRPr="00F90864">
              <w:t>de imbibición</w:t>
            </w:r>
          </w:p>
        </w:tc>
        <w:tc>
          <w:tcPr>
            <w:tcW w:w="1800" w:type="dxa"/>
          </w:tcPr>
          <w:p w:rsidR="00711E5F" w:rsidRPr="003910DF" w:rsidRDefault="00711E5F" w:rsidP="00356A7E">
            <w:pPr>
              <w:spacing w:line="360" w:lineRule="auto"/>
              <w:jc w:val="center"/>
            </w:pPr>
            <w:r w:rsidRPr="003910DF">
              <w:t>10</w:t>
            </w:r>
            <w:r w:rsidR="00F3117D">
              <w:t>,</w:t>
            </w:r>
            <w:r w:rsidRPr="003910DF">
              <w:t>21</w:t>
            </w:r>
            <w:r w:rsidR="00E60631">
              <w:t xml:space="preserve"> </w:t>
            </w:r>
            <w:r w:rsidRPr="003910DF">
              <w:t>c</w:t>
            </w:r>
          </w:p>
        </w:tc>
        <w:tc>
          <w:tcPr>
            <w:tcW w:w="1980" w:type="dxa"/>
          </w:tcPr>
          <w:p w:rsidR="00711E5F" w:rsidRPr="003910DF" w:rsidRDefault="00F3117D" w:rsidP="00356A7E">
            <w:pPr>
              <w:spacing w:line="360" w:lineRule="auto"/>
              <w:jc w:val="center"/>
            </w:pPr>
            <w:r>
              <w:t xml:space="preserve"> </w:t>
            </w:r>
            <w:r w:rsidR="00711E5F" w:rsidRPr="003910DF">
              <w:t>2</w:t>
            </w:r>
            <w:r>
              <w:t>,</w:t>
            </w:r>
            <w:r w:rsidR="00711E5F" w:rsidRPr="003910DF">
              <w:t>83</w:t>
            </w:r>
            <w:r w:rsidR="00E60631">
              <w:t xml:space="preserve"> </w:t>
            </w:r>
            <w:r w:rsidR="00711E5F" w:rsidRPr="003910DF">
              <w:t>bc</w:t>
            </w:r>
          </w:p>
        </w:tc>
        <w:tc>
          <w:tcPr>
            <w:tcW w:w="1980" w:type="dxa"/>
          </w:tcPr>
          <w:p w:rsidR="00711E5F" w:rsidRPr="003910DF" w:rsidRDefault="00711E5F" w:rsidP="00356A7E">
            <w:pPr>
              <w:spacing w:line="360" w:lineRule="auto"/>
              <w:jc w:val="center"/>
            </w:pPr>
            <w:r>
              <w:t>8</w:t>
            </w:r>
            <w:r w:rsidR="00F3117D">
              <w:t>,</w:t>
            </w:r>
            <w:r>
              <w:t>14 b</w:t>
            </w:r>
          </w:p>
        </w:tc>
      </w:tr>
      <w:tr w:rsidR="00711E5F" w:rsidRPr="003910DF">
        <w:tc>
          <w:tcPr>
            <w:tcW w:w="3420" w:type="dxa"/>
          </w:tcPr>
          <w:p w:rsidR="00711E5F" w:rsidRPr="005B3DED" w:rsidRDefault="00F90864" w:rsidP="00356A7E">
            <w:pPr>
              <w:spacing w:line="360" w:lineRule="auto"/>
              <w:jc w:val="both"/>
            </w:pPr>
            <w:r w:rsidRPr="00F90864">
              <w:t xml:space="preserve">30 </w:t>
            </w:r>
            <w:r w:rsidR="005B3DED" w:rsidRPr="003910DF">
              <w:rPr>
                <w:lang w:val="es-MX"/>
              </w:rPr>
              <w:t xml:space="preserve">min </w:t>
            </w:r>
            <w:r w:rsidRPr="00F90864">
              <w:t>de imbibición + 1 aplicación foliar</w:t>
            </w:r>
          </w:p>
        </w:tc>
        <w:tc>
          <w:tcPr>
            <w:tcW w:w="1800" w:type="dxa"/>
          </w:tcPr>
          <w:p w:rsidR="00711E5F" w:rsidRPr="003910DF" w:rsidRDefault="00711E5F" w:rsidP="00356A7E">
            <w:pPr>
              <w:spacing w:line="360" w:lineRule="auto"/>
              <w:jc w:val="center"/>
            </w:pPr>
            <w:r w:rsidRPr="003910DF">
              <w:t>16</w:t>
            </w:r>
            <w:r w:rsidR="00F3117D">
              <w:t>,</w:t>
            </w:r>
            <w:r w:rsidRPr="003910DF">
              <w:t>58</w:t>
            </w:r>
            <w:r w:rsidR="00E60631">
              <w:t xml:space="preserve"> </w:t>
            </w:r>
            <w:r w:rsidRPr="003910DF">
              <w:t>a</w:t>
            </w:r>
          </w:p>
        </w:tc>
        <w:tc>
          <w:tcPr>
            <w:tcW w:w="1980" w:type="dxa"/>
          </w:tcPr>
          <w:p w:rsidR="00711E5F" w:rsidRPr="003910DF" w:rsidRDefault="00E60631" w:rsidP="00356A7E">
            <w:pPr>
              <w:spacing w:line="360" w:lineRule="auto"/>
            </w:pPr>
            <w:r>
              <w:t xml:space="preserve"> </w:t>
            </w:r>
            <w:r w:rsidR="00711E5F" w:rsidRPr="003910DF">
              <w:t>3</w:t>
            </w:r>
            <w:r w:rsidR="00F3117D">
              <w:t>,</w:t>
            </w:r>
            <w:r w:rsidR="00711E5F" w:rsidRPr="003910DF">
              <w:t>83</w:t>
            </w:r>
            <w:r>
              <w:t xml:space="preserve"> </w:t>
            </w:r>
            <w:r w:rsidR="00711E5F" w:rsidRPr="003910DF">
              <w:t>a</w:t>
            </w:r>
          </w:p>
        </w:tc>
        <w:tc>
          <w:tcPr>
            <w:tcW w:w="1980" w:type="dxa"/>
          </w:tcPr>
          <w:p w:rsidR="00711E5F" w:rsidRPr="003910DF" w:rsidRDefault="00711E5F" w:rsidP="00356A7E">
            <w:pPr>
              <w:spacing w:line="360" w:lineRule="auto"/>
              <w:jc w:val="center"/>
            </w:pPr>
            <w:r>
              <w:t>10</w:t>
            </w:r>
            <w:r w:rsidR="00F3117D">
              <w:t>,</w:t>
            </w:r>
            <w:r>
              <w:t>26 a</w:t>
            </w:r>
          </w:p>
        </w:tc>
      </w:tr>
      <w:tr w:rsidR="00711E5F" w:rsidRPr="003910DF">
        <w:tc>
          <w:tcPr>
            <w:tcW w:w="3420" w:type="dxa"/>
          </w:tcPr>
          <w:p w:rsidR="00711E5F" w:rsidRPr="005B3DED" w:rsidRDefault="00F90864" w:rsidP="00356A7E">
            <w:pPr>
              <w:spacing w:line="360" w:lineRule="auto"/>
              <w:jc w:val="both"/>
            </w:pPr>
            <w:r w:rsidRPr="00F90864">
              <w:t>Testigo sin inocular</w:t>
            </w:r>
          </w:p>
        </w:tc>
        <w:tc>
          <w:tcPr>
            <w:tcW w:w="1800" w:type="dxa"/>
          </w:tcPr>
          <w:p w:rsidR="00711E5F" w:rsidRPr="003910DF" w:rsidRDefault="00711E5F" w:rsidP="00356A7E">
            <w:pPr>
              <w:spacing w:line="360" w:lineRule="auto"/>
              <w:jc w:val="center"/>
            </w:pPr>
            <w:r w:rsidRPr="003910DF">
              <w:t>9</w:t>
            </w:r>
            <w:r w:rsidR="00F3117D">
              <w:t>,</w:t>
            </w:r>
            <w:r w:rsidRPr="003910DF">
              <w:t>08</w:t>
            </w:r>
            <w:r w:rsidR="00E60631">
              <w:t xml:space="preserve"> </w:t>
            </w:r>
            <w:r w:rsidRPr="003910DF">
              <w:t>c</w:t>
            </w:r>
          </w:p>
        </w:tc>
        <w:tc>
          <w:tcPr>
            <w:tcW w:w="1980" w:type="dxa"/>
          </w:tcPr>
          <w:p w:rsidR="00711E5F" w:rsidRPr="003910DF" w:rsidRDefault="00711E5F" w:rsidP="00356A7E">
            <w:pPr>
              <w:spacing w:line="360" w:lineRule="auto"/>
              <w:jc w:val="center"/>
            </w:pPr>
            <w:r w:rsidRPr="003910DF">
              <w:t>2</w:t>
            </w:r>
            <w:r w:rsidR="00F3117D">
              <w:t>,</w:t>
            </w:r>
            <w:r w:rsidRPr="003910DF">
              <w:t>50</w:t>
            </w:r>
            <w:r w:rsidR="00E60631">
              <w:t xml:space="preserve"> </w:t>
            </w:r>
            <w:r w:rsidRPr="003910DF">
              <w:t>c</w:t>
            </w:r>
          </w:p>
        </w:tc>
        <w:tc>
          <w:tcPr>
            <w:tcW w:w="1980" w:type="dxa"/>
          </w:tcPr>
          <w:p w:rsidR="00711E5F" w:rsidRPr="003910DF" w:rsidRDefault="00711E5F" w:rsidP="00356A7E">
            <w:pPr>
              <w:spacing w:line="360" w:lineRule="auto"/>
              <w:jc w:val="center"/>
            </w:pPr>
            <w:r>
              <w:t>5</w:t>
            </w:r>
            <w:r w:rsidR="00F3117D">
              <w:t>,</w:t>
            </w:r>
            <w:r>
              <w:t>15 d</w:t>
            </w:r>
          </w:p>
        </w:tc>
      </w:tr>
      <w:tr w:rsidR="00711E5F" w:rsidRPr="003910DF">
        <w:tc>
          <w:tcPr>
            <w:tcW w:w="3420" w:type="dxa"/>
          </w:tcPr>
          <w:p w:rsidR="00711E5F" w:rsidRPr="005B3DED" w:rsidRDefault="00F90864" w:rsidP="00356A7E">
            <w:pPr>
              <w:spacing w:line="360" w:lineRule="auto"/>
              <w:jc w:val="both"/>
            </w:pPr>
            <w:r w:rsidRPr="00F90864">
              <w:t>ES x</w:t>
            </w:r>
          </w:p>
        </w:tc>
        <w:tc>
          <w:tcPr>
            <w:tcW w:w="1800" w:type="dxa"/>
          </w:tcPr>
          <w:p w:rsidR="00711E5F" w:rsidRPr="003910DF" w:rsidRDefault="00E60631" w:rsidP="00356A7E">
            <w:pPr>
              <w:spacing w:line="360" w:lineRule="auto"/>
              <w:jc w:val="center"/>
            </w:pPr>
            <w:r>
              <w:t xml:space="preserve"> </w:t>
            </w:r>
            <w:r w:rsidR="00711E5F" w:rsidRPr="003910DF">
              <w:t>0</w:t>
            </w:r>
            <w:r w:rsidR="00F3117D">
              <w:t>,</w:t>
            </w:r>
            <w:r w:rsidR="00711E5F" w:rsidRPr="003910DF">
              <w:t>68</w:t>
            </w:r>
            <w:r>
              <w:t xml:space="preserve"> </w:t>
            </w:r>
            <w:r w:rsidR="00711E5F" w:rsidRPr="003910DF">
              <w:t>***</w:t>
            </w:r>
          </w:p>
        </w:tc>
        <w:tc>
          <w:tcPr>
            <w:tcW w:w="1980" w:type="dxa"/>
          </w:tcPr>
          <w:p w:rsidR="00711E5F" w:rsidRPr="003910DF" w:rsidRDefault="00E60631" w:rsidP="00356A7E">
            <w:pPr>
              <w:spacing w:line="360" w:lineRule="auto"/>
              <w:jc w:val="center"/>
            </w:pPr>
            <w:r>
              <w:t xml:space="preserve"> </w:t>
            </w:r>
            <w:r w:rsidR="00711E5F" w:rsidRPr="003910DF">
              <w:t>0</w:t>
            </w:r>
            <w:r w:rsidR="00F3117D">
              <w:t>,</w:t>
            </w:r>
            <w:r w:rsidR="00711E5F" w:rsidRPr="003910DF">
              <w:t>21</w:t>
            </w:r>
            <w:r>
              <w:t xml:space="preserve"> </w:t>
            </w:r>
            <w:r w:rsidR="00711E5F" w:rsidRPr="003910DF">
              <w:t>***</w:t>
            </w:r>
          </w:p>
        </w:tc>
        <w:tc>
          <w:tcPr>
            <w:tcW w:w="1980" w:type="dxa"/>
          </w:tcPr>
          <w:p w:rsidR="00711E5F" w:rsidRPr="003910DF" w:rsidRDefault="00E60631" w:rsidP="00356A7E">
            <w:pPr>
              <w:spacing w:line="360" w:lineRule="auto"/>
              <w:jc w:val="center"/>
            </w:pPr>
            <w:r>
              <w:t xml:space="preserve"> </w:t>
            </w:r>
            <w:r w:rsidR="00711E5F">
              <w:t>0</w:t>
            </w:r>
            <w:r w:rsidR="00F3117D">
              <w:t>,</w:t>
            </w:r>
            <w:r w:rsidR="00711E5F">
              <w:t>04***</w:t>
            </w:r>
          </w:p>
        </w:tc>
      </w:tr>
    </w:tbl>
    <w:p w:rsidR="00810DE2" w:rsidRPr="003910DF" w:rsidRDefault="00E60631" w:rsidP="00356A7E">
      <w:pPr>
        <w:numPr>
          <w:ilvl w:val="12"/>
          <w:numId w:val="0"/>
        </w:numPr>
        <w:spacing w:line="360" w:lineRule="auto"/>
        <w:jc w:val="both"/>
      </w:pPr>
      <w:r>
        <w:t xml:space="preserve"> </w:t>
      </w:r>
      <w:r w:rsidR="00810DE2" w:rsidRPr="003910DF">
        <w:t>Medias con letras comunes no difieren significativamente para p&lt;0</w:t>
      </w:r>
      <w:r w:rsidR="005B3DED">
        <w:t>,</w:t>
      </w:r>
      <w:r w:rsidR="00810DE2" w:rsidRPr="003910DF">
        <w:t>001</w:t>
      </w:r>
      <w:r w:rsidR="005B3DED">
        <w:t>.</w:t>
      </w:r>
    </w:p>
    <w:p w:rsidR="00595486" w:rsidRPr="003910DF" w:rsidRDefault="00595486" w:rsidP="00356A7E">
      <w:pPr>
        <w:spacing w:line="360" w:lineRule="auto"/>
        <w:jc w:val="both"/>
      </w:pPr>
    </w:p>
    <w:p w:rsidR="00595486" w:rsidRPr="003910DF" w:rsidRDefault="00595486" w:rsidP="00356A7E">
      <w:pPr>
        <w:spacing w:line="360" w:lineRule="auto"/>
        <w:jc w:val="both"/>
        <w:rPr>
          <w:b/>
        </w:rPr>
      </w:pPr>
      <w:r w:rsidRPr="003910DF">
        <w:t xml:space="preserve">Sin embargo, para la variable número de hojas, igualmente la imbibición durante 30 </w:t>
      </w:r>
      <w:r w:rsidR="005B3DED" w:rsidRPr="003910DF">
        <w:rPr>
          <w:lang w:val="es-MX"/>
        </w:rPr>
        <w:t>min</w:t>
      </w:r>
      <w:r w:rsidRPr="003910DF">
        <w:t>, más la aspersión foliar</w:t>
      </w:r>
      <w:r w:rsidR="005B3DED">
        <w:t>,</w:t>
      </w:r>
      <w:r w:rsidRPr="003910DF">
        <w:t xml:space="preserve"> tuvo mayor efecto, aunque en este caso no difirió </w:t>
      </w:r>
      <w:r w:rsidR="0036148B">
        <w:t xml:space="preserve">significativamente </w:t>
      </w:r>
      <w:r w:rsidRPr="003910DF">
        <w:t xml:space="preserve">del tratamiento donde se imbibió durante </w:t>
      </w:r>
      <w:r w:rsidR="00894C3E">
        <w:t>15</w:t>
      </w:r>
      <w:r w:rsidRPr="003910DF">
        <w:t xml:space="preserve"> </w:t>
      </w:r>
      <w:r w:rsidR="005B3DED" w:rsidRPr="003910DF">
        <w:rPr>
          <w:lang w:val="es-MX"/>
        </w:rPr>
        <w:t xml:space="preserve">min </w:t>
      </w:r>
      <w:r w:rsidRPr="003910DF">
        <w:t>con una aplicación foliar.</w:t>
      </w:r>
    </w:p>
    <w:p w:rsidR="00B07E9A" w:rsidRPr="003910DF" w:rsidRDefault="00B07E9A" w:rsidP="00356A7E">
      <w:pPr>
        <w:spacing w:line="360" w:lineRule="auto"/>
        <w:jc w:val="both"/>
        <w:rPr>
          <w:color w:val="445555"/>
        </w:rPr>
      </w:pPr>
    </w:p>
    <w:p w:rsidR="00B07E9A" w:rsidRPr="003910DF" w:rsidRDefault="00B07E9A" w:rsidP="00356A7E">
      <w:pPr>
        <w:spacing w:line="360" w:lineRule="auto"/>
        <w:jc w:val="both"/>
      </w:pPr>
      <w:r w:rsidRPr="003910DF">
        <w:lastRenderedPageBreak/>
        <w:t xml:space="preserve">El género </w:t>
      </w:r>
      <w:r w:rsidRPr="003910DF">
        <w:rPr>
          <w:i/>
          <w:iCs/>
        </w:rPr>
        <w:t>Pseudomonas</w:t>
      </w:r>
      <w:r w:rsidR="00595486" w:rsidRPr="003910DF">
        <w:rPr>
          <w:i/>
          <w:iCs/>
        </w:rPr>
        <w:t xml:space="preserve"> sp</w:t>
      </w:r>
      <w:r w:rsidRPr="003910DF">
        <w:rPr>
          <w:b/>
          <w:bCs/>
          <w:i/>
          <w:iCs/>
        </w:rPr>
        <w:t xml:space="preserve"> </w:t>
      </w:r>
      <w:r w:rsidRPr="003910DF">
        <w:t>presenta propiedades que lo ubican dentro de las PGPR (Plant Growth Promoting R</w:t>
      </w:r>
      <w:r w:rsidR="00D15A71">
        <w:t>h</w:t>
      </w:r>
      <w:r w:rsidRPr="003910DF">
        <w:t xml:space="preserve">izobacteria), debido a que las </w:t>
      </w:r>
      <w:hyperlink r:id="rId14" w:history="1">
        <w:r w:rsidRPr="003910DF">
          <w:rPr>
            <w:rStyle w:val="Hipervnculo"/>
            <w:color w:val="auto"/>
            <w:u w:val="none"/>
            <w:shd w:val="clear" w:color="auto" w:fill="FFFFFF"/>
          </w:rPr>
          <w:t>bacterias</w:t>
        </w:r>
      </w:hyperlink>
      <w:r w:rsidRPr="003910DF">
        <w:t xml:space="preserve"> de este </w:t>
      </w:r>
      <w:hyperlink r:id="rId15" w:history="1">
        <w:r w:rsidRPr="003910DF">
          <w:rPr>
            <w:rStyle w:val="Hipervnculo"/>
            <w:color w:val="auto"/>
            <w:u w:val="none"/>
            <w:shd w:val="clear" w:color="auto" w:fill="FFFFFF"/>
          </w:rPr>
          <w:t>grupo</w:t>
        </w:r>
      </w:hyperlink>
      <w:r w:rsidRPr="003910DF">
        <w:t xml:space="preserve"> tienen la capacidad de crecer colonizando los órganos de las plantas tales como raíces y tubérculos, utilizan un gran número de sustratos orgánicos comúnmente encontrados en exudados radicales</w:t>
      </w:r>
      <w:r w:rsidR="005B3DED">
        <w:t>,</w:t>
      </w:r>
      <w:r w:rsidRPr="003910DF">
        <w:t xml:space="preserve"> y producen una gran variedad de metabolitos secundarios</w:t>
      </w:r>
      <w:r w:rsidR="00476D2E" w:rsidRPr="003910DF">
        <w:t xml:space="preserve">. Walker </w:t>
      </w:r>
      <w:r w:rsidR="00476D2E" w:rsidRPr="003910DF">
        <w:rPr>
          <w:i/>
        </w:rPr>
        <w:t>et al</w:t>
      </w:r>
      <w:r w:rsidR="00476D2E" w:rsidRPr="003910DF">
        <w:t xml:space="preserve">. </w:t>
      </w:r>
      <w:r w:rsidR="006B11B6" w:rsidRPr="003910DF">
        <w:t>(</w:t>
      </w:r>
      <w:r w:rsidR="00476D2E" w:rsidRPr="003910DF">
        <w:t>2004</w:t>
      </w:r>
      <w:r w:rsidR="006B11B6" w:rsidRPr="003910DF">
        <w:t>)</w:t>
      </w:r>
      <w:r w:rsidR="00476D2E" w:rsidRPr="003910DF">
        <w:t xml:space="preserve">, han demostrado que en la colonización radicular, </w:t>
      </w:r>
      <w:r w:rsidR="00476D2E" w:rsidRPr="003910DF">
        <w:rPr>
          <w:i/>
          <w:iCs/>
        </w:rPr>
        <w:t>P. aeruginosa</w:t>
      </w:r>
      <w:r w:rsidR="00476D2E" w:rsidRPr="003910DF">
        <w:t xml:space="preserve"> forma biofilmes que confieren resistencia contra los antibióticos segregados por las raíces.</w:t>
      </w:r>
    </w:p>
    <w:p w:rsidR="00D024D4" w:rsidRPr="003910DF" w:rsidRDefault="00D024D4" w:rsidP="00356A7E">
      <w:pPr>
        <w:autoSpaceDE w:val="0"/>
        <w:autoSpaceDN w:val="0"/>
        <w:adjustRightInd w:val="0"/>
        <w:spacing w:line="360" w:lineRule="auto"/>
        <w:jc w:val="both"/>
      </w:pPr>
    </w:p>
    <w:p w:rsidR="00D024D4" w:rsidRPr="003910DF" w:rsidRDefault="00D024D4" w:rsidP="00356A7E">
      <w:pPr>
        <w:autoSpaceDE w:val="0"/>
        <w:autoSpaceDN w:val="0"/>
        <w:adjustRightInd w:val="0"/>
        <w:spacing w:line="360" w:lineRule="auto"/>
        <w:jc w:val="both"/>
      </w:pPr>
      <w:r w:rsidRPr="003910DF">
        <w:t xml:space="preserve">Igualmente, </w:t>
      </w:r>
      <w:r w:rsidR="002454BB">
        <w:t xml:space="preserve">otros </w:t>
      </w:r>
      <w:r w:rsidRPr="003910DF">
        <w:t xml:space="preserve">estudios han demostrado que </w:t>
      </w:r>
      <w:r w:rsidRPr="003910DF">
        <w:rPr>
          <w:i/>
        </w:rPr>
        <w:t>Pseudomonas aeruginosa</w:t>
      </w:r>
      <w:r w:rsidRPr="003910DF">
        <w:t xml:space="preserve"> cepa IE6</w:t>
      </w:r>
      <w:r w:rsidR="006B11B6" w:rsidRPr="003910DF">
        <w:t>,</w:t>
      </w:r>
      <w:r w:rsidRPr="003910DF">
        <w:t xml:space="preserve"> coloniza las raíces de las plantas y promueve su crecimiento, es supresora de </w:t>
      </w:r>
      <w:r w:rsidRPr="003910DF">
        <w:rPr>
          <w:i/>
        </w:rPr>
        <w:t>Fusarium solani</w:t>
      </w:r>
      <w:r w:rsidRPr="003910DF">
        <w:t xml:space="preserve"> y </w:t>
      </w:r>
      <w:r w:rsidRPr="003910DF">
        <w:rPr>
          <w:i/>
        </w:rPr>
        <w:t>Rhizoctonia solani</w:t>
      </w:r>
      <w:r w:rsidRPr="003910DF">
        <w:t xml:space="preserve"> en tomate, a través del secuestro de hierro en el suelo</w:t>
      </w:r>
      <w:r w:rsidR="002454BB">
        <w:t>, según ha sido demostrado por</w:t>
      </w:r>
      <w:r w:rsidR="002454BB" w:rsidRPr="002454BB">
        <w:t xml:space="preserve"> </w:t>
      </w:r>
      <w:r w:rsidR="002454BB" w:rsidRPr="003910DF">
        <w:t xml:space="preserve">Díaz de Villega </w:t>
      </w:r>
      <w:r w:rsidR="002454BB" w:rsidRPr="003910DF">
        <w:rPr>
          <w:i/>
        </w:rPr>
        <w:t>et al</w:t>
      </w:r>
      <w:r w:rsidR="002454BB" w:rsidRPr="003910DF">
        <w:t>. (2002)</w:t>
      </w:r>
      <w:r w:rsidRPr="003910DF">
        <w:t>.</w:t>
      </w:r>
      <w:r w:rsidR="00533581">
        <w:t xml:space="preserve"> Por otra parte, </w:t>
      </w:r>
      <w:r w:rsidR="00512478">
        <w:t>la</w:t>
      </w:r>
      <w:r w:rsidR="00533581">
        <w:t xml:space="preserve"> inoculación de </w:t>
      </w:r>
      <w:r w:rsidR="00533581" w:rsidRPr="00533581">
        <w:rPr>
          <w:i/>
        </w:rPr>
        <w:t>P</w:t>
      </w:r>
      <w:r w:rsidR="00533581">
        <w:rPr>
          <w:i/>
        </w:rPr>
        <w:t>.</w:t>
      </w:r>
      <w:r w:rsidR="00533581" w:rsidRPr="00533581">
        <w:rPr>
          <w:i/>
        </w:rPr>
        <w:t xml:space="preserve"> aeruginosa</w:t>
      </w:r>
      <w:r w:rsidR="00533581">
        <w:t xml:space="preserve"> en el cultivo del tomate (</w:t>
      </w:r>
      <w:r w:rsidR="005B3DED">
        <w:t xml:space="preserve">van </w:t>
      </w:r>
      <w:r w:rsidR="00533581">
        <w:t xml:space="preserve">Wess, 1999) </w:t>
      </w:r>
      <w:r w:rsidR="005B3DED">
        <w:t xml:space="preserve">demostró </w:t>
      </w:r>
      <w:r w:rsidR="00533581">
        <w:t>que la cepa 7NSK-562 no produce ácido salicílico ni sideróforos del tipo piochelin, por lo que la respuesta en el cultivo podría estar relacionada con la presencia de otros determinantes bacterianos que hayan sido reconocidos por la planta hospedera.</w:t>
      </w:r>
    </w:p>
    <w:p w:rsidR="00476D2E" w:rsidRPr="003910DF" w:rsidRDefault="00476D2E" w:rsidP="00356A7E">
      <w:pPr>
        <w:spacing w:line="360" w:lineRule="auto"/>
        <w:jc w:val="both"/>
      </w:pPr>
    </w:p>
    <w:p w:rsidR="00810DE2" w:rsidRPr="003910DF" w:rsidRDefault="005B3DED" w:rsidP="00356A7E">
      <w:pPr>
        <w:spacing w:line="360" w:lineRule="auto"/>
        <w:jc w:val="both"/>
      </w:pPr>
      <w:r>
        <w:t>En</w:t>
      </w:r>
      <w:r w:rsidRPr="003910DF">
        <w:t xml:space="preserve"> </w:t>
      </w:r>
      <w:r w:rsidR="00810DE2" w:rsidRPr="003910DF">
        <w:t xml:space="preserve">la evaluación de </w:t>
      </w:r>
      <w:r w:rsidR="00894C3E">
        <w:t xml:space="preserve">alguno de </w:t>
      </w:r>
      <w:r w:rsidR="00810DE2" w:rsidRPr="003910DF">
        <w:t>los componentes del rendimiento del cultivo (</w:t>
      </w:r>
      <w:r>
        <w:t>t</w:t>
      </w:r>
      <w:r w:rsidRPr="003910DF">
        <w:t xml:space="preserve">abla </w:t>
      </w:r>
      <w:r w:rsidR="000D3B6E" w:rsidRPr="003910DF">
        <w:t>4</w:t>
      </w:r>
      <w:r w:rsidR="00810DE2" w:rsidRPr="003910DF">
        <w:t xml:space="preserve">) se </w:t>
      </w:r>
      <w:r>
        <w:t>encontró que,</w:t>
      </w:r>
      <w:r w:rsidRPr="003910DF">
        <w:t xml:space="preserve"> </w:t>
      </w:r>
      <w:r w:rsidR="00810DE2" w:rsidRPr="003910DF">
        <w:t>para el número de racimos</w:t>
      </w:r>
      <w:r>
        <w:t>,</w:t>
      </w:r>
      <w:r w:rsidR="00810DE2" w:rsidRPr="003910DF">
        <w:t xml:space="preserve"> con s</w:t>
      </w:r>
      <w:r w:rsidR="000D3B6E" w:rsidRPr="003910DF">
        <w:t>ó</w:t>
      </w:r>
      <w:r w:rsidR="00810DE2" w:rsidRPr="003910DF">
        <w:t xml:space="preserve">lo la imbibición durante 15 o 30 </w:t>
      </w:r>
      <w:r w:rsidRPr="003910DF">
        <w:rPr>
          <w:lang w:val="es-MX"/>
        </w:rPr>
        <w:t>min</w:t>
      </w:r>
      <w:r w:rsidR="00810DE2" w:rsidRPr="003910DF">
        <w:t xml:space="preserve"> se estimula est</w:t>
      </w:r>
      <w:r w:rsidR="000D3B6E" w:rsidRPr="003910DF">
        <w:t>e</w:t>
      </w:r>
      <w:r w:rsidR="00504A79">
        <w:t xml:space="preserve"> parámetro del rendimiento</w:t>
      </w:r>
      <w:r w:rsidR="00075EB9">
        <w:t>, no siendo así</w:t>
      </w:r>
      <w:r w:rsidR="00810DE2" w:rsidRPr="003910DF">
        <w:t xml:space="preserve"> para el número de frutos por planta</w:t>
      </w:r>
      <w:r w:rsidR="00075EB9">
        <w:t>, la masa f</w:t>
      </w:r>
      <w:r w:rsidR="006C003D">
        <w:t>r</w:t>
      </w:r>
      <w:r w:rsidR="00075EB9">
        <w:t>esca de los frutos y el rendimiento agrícola donde</w:t>
      </w:r>
      <w:r w:rsidR="000D3B6E" w:rsidRPr="003910DF">
        <w:t>,</w:t>
      </w:r>
      <w:r w:rsidR="00810DE2" w:rsidRPr="003910DF">
        <w:t xml:space="preserve"> </w:t>
      </w:r>
      <w:r w:rsidR="0042198C">
        <w:t xml:space="preserve">el hecho de </w:t>
      </w:r>
      <w:r w:rsidR="00810DE2" w:rsidRPr="003910DF">
        <w:t xml:space="preserve">imbibir las semillas durante </w:t>
      </w:r>
      <w:r w:rsidR="00075EB9">
        <w:t>30</w:t>
      </w:r>
      <w:r w:rsidR="00810DE2" w:rsidRPr="003910DF">
        <w:t xml:space="preserve"> </w:t>
      </w:r>
      <w:r w:rsidR="0042198C" w:rsidRPr="003910DF">
        <w:rPr>
          <w:lang w:val="es-MX"/>
        </w:rPr>
        <w:t>min</w:t>
      </w:r>
      <w:r w:rsidR="0042198C">
        <w:rPr>
          <w:lang w:val="es-MX"/>
        </w:rPr>
        <w:t>,</w:t>
      </w:r>
      <w:r w:rsidR="0042198C" w:rsidRPr="003910DF">
        <w:rPr>
          <w:lang w:val="es-MX"/>
        </w:rPr>
        <w:t xml:space="preserve"> </w:t>
      </w:r>
      <w:r w:rsidR="0042198C">
        <w:t xml:space="preserve">más </w:t>
      </w:r>
      <w:r w:rsidR="00075EB9">
        <w:t>la aspersión foliar</w:t>
      </w:r>
      <w:r w:rsidR="005235EB">
        <w:t>,</w:t>
      </w:r>
      <w:r w:rsidR="00810DE2" w:rsidRPr="003910DF">
        <w:t xml:space="preserve"> provoca un efecto positivo en </w:t>
      </w:r>
      <w:r w:rsidR="00075EB9">
        <w:t xml:space="preserve">cada una de </w:t>
      </w:r>
      <w:r w:rsidR="00810DE2" w:rsidRPr="003910DF">
        <w:t>esta</w:t>
      </w:r>
      <w:r w:rsidR="00075EB9">
        <w:t>s</w:t>
      </w:r>
      <w:r w:rsidR="00810DE2" w:rsidRPr="003910DF">
        <w:t xml:space="preserve"> variable</w:t>
      </w:r>
      <w:r w:rsidR="00075EB9">
        <w:t>s</w:t>
      </w:r>
      <w:r w:rsidR="00810DE2" w:rsidRPr="003910DF">
        <w:t xml:space="preserve">. </w:t>
      </w:r>
    </w:p>
    <w:p w:rsidR="00533581" w:rsidRDefault="00533581" w:rsidP="00356A7E">
      <w:pPr>
        <w:spacing w:line="360" w:lineRule="auto"/>
        <w:jc w:val="both"/>
      </w:pPr>
    </w:p>
    <w:p w:rsidR="00810DE2" w:rsidRPr="003910DF" w:rsidRDefault="00810DE2" w:rsidP="00356A7E">
      <w:pPr>
        <w:spacing w:line="360" w:lineRule="auto"/>
        <w:jc w:val="both"/>
        <w:rPr>
          <w:b/>
        </w:rPr>
      </w:pPr>
      <w:r w:rsidRPr="003910DF">
        <w:rPr>
          <w:b/>
        </w:rPr>
        <w:t xml:space="preserve"> Tabla </w:t>
      </w:r>
      <w:r w:rsidR="000D3B6E" w:rsidRPr="003910DF">
        <w:rPr>
          <w:b/>
        </w:rPr>
        <w:t>4</w:t>
      </w:r>
      <w:r w:rsidRPr="003910DF">
        <w:rPr>
          <w:b/>
        </w:rPr>
        <w:t xml:space="preserve">. </w:t>
      </w:r>
      <w:r w:rsidR="00F90864" w:rsidRPr="00F90864">
        <w:t>Efecto del Gluticid</w:t>
      </w:r>
      <w:r w:rsidR="00B73EA2" w:rsidRPr="0042198C">
        <w:rPr>
          <w:i/>
          <w:lang w:val="es-MX"/>
        </w:rPr>
        <w:t>®</w:t>
      </w:r>
      <w:r w:rsidR="00F90864" w:rsidRPr="00F90864">
        <w:t xml:space="preserve"> en el rendimiento y algunos de sus componentes</w:t>
      </w:r>
      <w:r w:rsidR="00E60631">
        <w:rPr>
          <w:b/>
        </w:rPr>
        <w:t xml:space="preserve"> </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884"/>
        <w:gridCol w:w="1369"/>
        <w:gridCol w:w="1701"/>
        <w:gridCol w:w="1559"/>
        <w:gridCol w:w="1487"/>
      </w:tblGrid>
      <w:tr w:rsidR="00894C3E" w:rsidRPr="003910DF">
        <w:tc>
          <w:tcPr>
            <w:tcW w:w="2884" w:type="dxa"/>
          </w:tcPr>
          <w:p w:rsidR="00894C3E" w:rsidRPr="003910DF" w:rsidRDefault="00894C3E" w:rsidP="00356A7E">
            <w:pPr>
              <w:spacing w:line="360" w:lineRule="auto"/>
              <w:jc w:val="both"/>
              <w:rPr>
                <w:b/>
              </w:rPr>
            </w:pPr>
            <w:r w:rsidRPr="003910DF">
              <w:rPr>
                <w:b/>
              </w:rPr>
              <w:t>Tratamientos</w:t>
            </w:r>
          </w:p>
        </w:tc>
        <w:tc>
          <w:tcPr>
            <w:tcW w:w="1369" w:type="dxa"/>
          </w:tcPr>
          <w:p w:rsidR="00894C3E" w:rsidRPr="003910DF" w:rsidRDefault="00894C3E" w:rsidP="00356A7E">
            <w:pPr>
              <w:spacing w:line="360" w:lineRule="auto"/>
              <w:jc w:val="center"/>
              <w:rPr>
                <w:b/>
              </w:rPr>
            </w:pPr>
            <w:r w:rsidRPr="003910DF">
              <w:rPr>
                <w:b/>
              </w:rPr>
              <w:t>Número de racimos</w:t>
            </w:r>
            <w:r>
              <w:rPr>
                <w:b/>
              </w:rPr>
              <w:t>. planta</w:t>
            </w:r>
            <w:r w:rsidRPr="008A0372">
              <w:rPr>
                <w:b/>
                <w:vertAlign w:val="superscript"/>
              </w:rPr>
              <w:t>-1</w:t>
            </w:r>
          </w:p>
        </w:tc>
        <w:tc>
          <w:tcPr>
            <w:tcW w:w="1701" w:type="dxa"/>
          </w:tcPr>
          <w:p w:rsidR="00894C3E" w:rsidRPr="003910DF" w:rsidRDefault="00894C3E" w:rsidP="00356A7E">
            <w:pPr>
              <w:spacing w:line="360" w:lineRule="auto"/>
              <w:jc w:val="center"/>
              <w:rPr>
                <w:b/>
              </w:rPr>
            </w:pPr>
            <w:r w:rsidRPr="003910DF">
              <w:rPr>
                <w:b/>
              </w:rPr>
              <w:t>Número de frutos</w:t>
            </w:r>
            <w:r>
              <w:rPr>
                <w:b/>
              </w:rPr>
              <w:t>.planta</w:t>
            </w:r>
            <w:r w:rsidRPr="008A0372">
              <w:rPr>
                <w:b/>
                <w:vertAlign w:val="superscript"/>
              </w:rPr>
              <w:t>-1</w:t>
            </w:r>
          </w:p>
        </w:tc>
        <w:tc>
          <w:tcPr>
            <w:tcW w:w="1559" w:type="dxa"/>
          </w:tcPr>
          <w:p w:rsidR="00894C3E" w:rsidRPr="003910DF" w:rsidRDefault="00894C3E" w:rsidP="00356A7E">
            <w:pPr>
              <w:spacing w:line="360" w:lineRule="auto"/>
              <w:jc w:val="center"/>
              <w:rPr>
                <w:b/>
              </w:rPr>
            </w:pPr>
            <w:r>
              <w:rPr>
                <w:b/>
              </w:rPr>
              <w:t>Masa</w:t>
            </w:r>
            <w:r w:rsidRPr="003910DF">
              <w:rPr>
                <w:b/>
              </w:rPr>
              <w:t xml:space="preserve"> </w:t>
            </w:r>
            <w:r>
              <w:rPr>
                <w:b/>
              </w:rPr>
              <w:t xml:space="preserve">fresca </w:t>
            </w:r>
            <w:r w:rsidRPr="003910DF">
              <w:rPr>
                <w:b/>
              </w:rPr>
              <w:t>promedio</w:t>
            </w:r>
            <w:r>
              <w:rPr>
                <w:b/>
              </w:rPr>
              <w:t>.</w:t>
            </w:r>
            <w:r w:rsidRPr="003910DF">
              <w:rPr>
                <w:b/>
              </w:rPr>
              <w:t xml:space="preserve"> </w:t>
            </w:r>
            <w:r>
              <w:rPr>
                <w:b/>
              </w:rPr>
              <w:t>f</w:t>
            </w:r>
            <w:r w:rsidRPr="003910DF">
              <w:rPr>
                <w:b/>
              </w:rPr>
              <w:t>ruto</w:t>
            </w:r>
            <w:r w:rsidRPr="008A0372">
              <w:rPr>
                <w:b/>
                <w:vertAlign w:val="superscript"/>
              </w:rPr>
              <w:t>-1</w:t>
            </w:r>
            <w:r w:rsidRPr="003910DF">
              <w:rPr>
                <w:b/>
              </w:rPr>
              <w:t xml:space="preserve"> (g)</w:t>
            </w:r>
          </w:p>
        </w:tc>
        <w:tc>
          <w:tcPr>
            <w:tcW w:w="1487" w:type="dxa"/>
          </w:tcPr>
          <w:p w:rsidR="00894C3E" w:rsidRDefault="00075EB9" w:rsidP="0042198C">
            <w:pPr>
              <w:spacing w:line="360" w:lineRule="auto"/>
              <w:jc w:val="center"/>
              <w:rPr>
                <w:b/>
              </w:rPr>
            </w:pPr>
            <w:r>
              <w:rPr>
                <w:b/>
              </w:rPr>
              <w:t>Rendimiento (t</w:t>
            </w:r>
            <w:r w:rsidR="0042198C">
              <w:rPr>
                <w:b/>
              </w:rPr>
              <w:t>/</w:t>
            </w:r>
            <w:r>
              <w:rPr>
                <w:b/>
              </w:rPr>
              <w:t>ha</w:t>
            </w:r>
            <w:r w:rsidR="00894C3E" w:rsidRPr="008A0372">
              <w:rPr>
                <w:b/>
                <w:vertAlign w:val="superscript"/>
              </w:rPr>
              <w:t>-1</w:t>
            </w:r>
            <w:r w:rsidR="00894C3E" w:rsidRPr="003910DF">
              <w:rPr>
                <w:b/>
              </w:rPr>
              <w:t xml:space="preserve"> </w:t>
            </w:r>
            <w:r>
              <w:rPr>
                <w:b/>
              </w:rPr>
              <w:t>)</w:t>
            </w:r>
          </w:p>
        </w:tc>
      </w:tr>
      <w:tr w:rsidR="00894C3E" w:rsidRPr="003910DF">
        <w:tc>
          <w:tcPr>
            <w:tcW w:w="2884" w:type="dxa"/>
          </w:tcPr>
          <w:p w:rsidR="00894C3E" w:rsidRPr="0042198C" w:rsidRDefault="00F90864" w:rsidP="00356A7E">
            <w:pPr>
              <w:spacing w:line="360" w:lineRule="auto"/>
              <w:jc w:val="both"/>
            </w:pPr>
            <w:r w:rsidRPr="00F90864">
              <w:t xml:space="preserve">15 </w:t>
            </w:r>
            <w:r w:rsidR="0042198C" w:rsidRPr="003910DF">
              <w:rPr>
                <w:lang w:val="es-MX"/>
              </w:rPr>
              <w:t xml:space="preserve">min </w:t>
            </w:r>
            <w:r w:rsidRPr="00F90864">
              <w:t>de imbibición</w:t>
            </w:r>
          </w:p>
        </w:tc>
        <w:tc>
          <w:tcPr>
            <w:tcW w:w="1369" w:type="dxa"/>
          </w:tcPr>
          <w:p w:rsidR="00894C3E" w:rsidRPr="003910DF" w:rsidRDefault="00741123" w:rsidP="00356A7E">
            <w:pPr>
              <w:spacing w:line="360" w:lineRule="auto"/>
              <w:jc w:val="center"/>
            </w:pPr>
            <w:r w:rsidRPr="003910DF">
              <w:t>4</w:t>
            </w:r>
            <w:r>
              <w:t>,</w:t>
            </w:r>
            <w:r w:rsidRPr="003910DF">
              <w:t>92</w:t>
            </w:r>
            <w:r w:rsidR="00E60631">
              <w:t xml:space="preserve"> </w:t>
            </w:r>
            <w:r>
              <w:t>b</w:t>
            </w:r>
          </w:p>
        </w:tc>
        <w:tc>
          <w:tcPr>
            <w:tcW w:w="1701" w:type="dxa"/>
          </w:tcPr>
          <w:p w:rsidR="00894C3E" w:rsidRPr="008A0372" w:rsidRDefault="008A0372" w:rsidP="00356A7E">
            <w:pPr>
              <w:spacing w:line="360" w:lineRule="auto"/>
              <w:jc w:val="center"/>
            </w:pPr>
            <w:r w:rsidRPr="008A0372">
              <w:t>10</w:t>
            </w:r>
            <w:r w:rsidR="00894C3E" w:rsidRPr="008A0372">
              <w:t>,33</w:t>
            </w:r>
            <w:r w:rsidR="00E60631">
              <w:t xml:space="preserve"> </w:t>
            </w:r>
            <w:r w:rsidR="00741123" w:rsidRPr="008A0372">
              <w:t>d</w:t>
            </w:r>
          </w:p>
        </w:tc>
        <w:tc>
          <w:tcPr>
            <w:tcW w:w="1559" w:type="dxa"/>
          </w:tcPr>
          <w:p w:rsidR="00894C3E" w:rsidRPr="003910DF" w:rsidRDefault="00075EB9" w:rsidP="00356A7E">
            <w:pPr>
              <w:spacing w:line="360" w:lineRule="auto"/>
              <w:jc w:val="center"/>
            </w:pPr>
            <w:r>
              <w:t>78</w:t>
            </w:r>
            <w:r w:rsidR="00894C3E">
              <w:t>,</w:t>
            </w:r>
            <w:r w:rsidR="00894C3E" w:rsidRPr="003910DF">
              <w:t xml:space="preserve">33 </w:t>
            </w:r>
            <w:r>
              <w:t>d</w:t>
            </w:r>
          </w:p>
        </w:tc>
        <w:tc>
          <w:tcPr>
            <w:tcW w:w="1487" w:type="dxa"/>
          </w:tcPr>
          <w:p w:rsidR="00894C3E" w:rsidRPr="003910DF" w:rsidRDefault="00075EB9" w:rsidP="00356A7E">
            <w:pPr>
              <w:spacing w:line="360" w:lineRule="auto"/>
              <w:jc w:val="center"/>
            </w:pPr>
            <w:r>
              <w:t>20</w:t>
            </w:r>
            <w:r w:rsidR="00040373">
              <w:t xml:space="preserve">,44 </w:t>
            </w:r>
            <w:r>
              <w:t>d</w:t>
            </w:r>
          </w:p>
        </w:tc>
      </w:tr>
      <w:tr w:rsidR="00894C3E" w:rsidRPr="003910DF">
        <w:tc>
          <w:tcPr>
            <w:tcW w:w="2884" w:type="dxa"/>
          </w:tcPr>
          <w:p w:rsidR="00894C3E" w:rsidRPr="0042198C" w:rsidRDefault="00F90864" w:rsidP="00356A7E">
            <w:pPr>
              <w:spacing w:line="360" w:lineRule="auto"/>
              <w:jc w:val="both"/>
            </w:pPr>
            <w:r w:rsidRPr="00F90864">
              <w:lastRenderedPageBreak/>
              <w:t xml:space="preserve">15 </w:t>
            </w:r>
            <w:r w:rsidR="0042198C" w:rsidRPr="003910DF">
              <w:rPr>
                <w:lang w:val="es-MX"/>
              </w:rPr>
              <w:t xml:space="preserve">min </w:t>
            </w:r>
            <w:r w:rsidRPr="00F90864">
              <w:t>de imbibición + 1 aplicación foliar</w:t>
            </w:r>
          </w:p>
        </w:tc>
        <w:tc>
          <w:tcPr>
            <w:tcW w:w="1369" w:type="dxa"/>
          </w:tcPr>
          <w:p w:rsidR="00894C3E" w:rsidRPr="003910DF" w:rsidRDefault="00894C3E" w:rsidP="00356A7E">
            <w:pPr>
              <w:spacing w:line="360" w:lineRule="auto"/>
              <w:jc w:val="center"/>
            </w:pPr>
            <w:r w:rsidRPr="003910DF">
              <w:t>4</w:t>
            </w:r>
            <w:r>
              <w:t>,</w:t>
            </w:r>
            <w:r w:rsidRPr="003910DF">
              <w:t>75</w:t>
            </w:r>
            <w:r w:rsidR="00E60631">
              <w:t xml:space="preserve"> </w:t>
            </w:r>
            <w:r w:rsidRPr="003910DF">
              <w:t>b</w:t>
            </w:r>
          </w:p>
        </w:tc>
        <w:tc>
          <w:tcPr>
            <w:tcW w:w="1701" w:type="dxa"/>
          </w:tcPr>
          <w:p w:rsidR="00894C3E" w:rsidRPr="008A0372" w:rsidRDefault="008A0372" w:rsidP="00356A7E">
            <w:pPr>
              <w:spacing w:line="360" w:lineRule="auto"/>
              <w:jc w:val="center"/>
            </w:pPr>
            <w:r w:rsidRPr="008A0372">
              <w:t>13</w:t>
            </w:r>
            <w:r w:rsidR="00894C3E" w:rsidRPr="008A0372">
              <w:t>,08</w:t>
            </w:r>
            <w:r w:rsidR="00E60631">
              <w:t xml:space="preserve"> </w:t>
            </w:r>
            <w:r w:rsidR="00741123" w:rsidRPr="008A0372">
              <w:t>c</w:t>
            </w:r>
          </w:p>
        </w:tc>
        <w:tc>
          <w:tcPr>
            <w:tcW w:w="1559" w:type="dxa"/>
          </w:tcPr>
          <w:p w:rsidR="00894C3E" w:rsidRPr="003910DF" w:rsidRDefault="00075EB9" w:rsidP="00356A7E">
            <w:pPr>
              <w:spacing w:line="360" w:lineRule="auto"/>
              <w:jc w:val="center"/>
            </w:pPr>
            <w:r>
              <w:t>80</w:t>
            </w:r>
            <w:r w:rsidR="00894C3E">
              <w:t>,</w:t>
            </w:r>
            <w:r>
              <w:t>14</w:t>
            </w:r>
            <w:r w:rsidR="00894C3E" w:rsidRPr="003910DF">
              <w:t xml:space="preserve"> </w:t>
            </w:r>
            <w:r>
              <w:t>c</w:t>
            </w:r>
          </w:p>
        </w:tc>
        <w:tc>
          <w:tcPr>
            <w:tcW w:w="1487" w:type="dxa"/>
          </w:tcPr>
          <w:p w:rsidR="00894C3E" w:rsidRPr="003910DF" w:rsidRDefault="00075EB9" w:rsidP="00356A7E">
            <w:pPr>
              <w:spacing w:line="360" w:lineRule="auto"/>
              <w:jc w:val="center"/>
            </w:pPr>
            <w:r>
              <w:t>23,</w:t>
            </w:r>
            <w:r w:rsidR="00040373">
              <w:t xml:space="preserve">05 </w:t>
            </w:r>
            <w:r>
              <w:t>c</w:t>
            </w:r>
          </w:p>
        </w:tc>
      </w:tr>
      <w:tr w:rsidR="00894C3E" w:rsidRPr="003910DF">
        <w:tc>
          <w:tcPr>
            <w:tcW w:w="2884" w:type="dxa"/>
          </w:tcPr>
          <w:p w:rsidR="00894C3E" w:rsidRPr="0042198C" w:rsidRDefault="00F90864" w:rsidP="00356A7E">
            <w:pPr>
              <w:spacing w:line="360" w:lineRule="auto"/>
              <w:jc w:val="both"/>
            </w:pPr>
            <w:r w:rsidRPr="00F90864">
              <w:t xml:space="preserve">30 </w:t>
            </w:r>
            <w:r w:rsidR="0042198C" w:rsidRPr="003910DF">
              <w:rPr>
                <w:lang w:val="es-MX"/>
              </w:rPr>
              <w:t xml:space="preserve">min </w:t>
            </w:r>
            <w:r w:rsidRPr="00F90864">
              <w:t>de imbibición</w:t>
            </w:r>
          </w:p>
        </w:tc>
        <w:tc>
          <w:tcPr>
            <w:tcW w:w="1369" w:type="dxa"/>
          </w:tcPr>
          <w:p w:rsidR="00894C3E" w:rsidRPr="003910DF" w:rsidRDefault="00894C3E" w:rsidP="00356A7E">
            <w:pPr>
              <w:spacing w:line="360" w:lineRule="auto"/>
              <w:jc w:val="center"/>
            </w:pPr>
            <w:r w:rsidRPr="003910DF">
              <w:t>6</w:t>
            </w:r>
            <w:r>
              <w:t>,</w:t>
            </w:r>
            <w:r w:rsidRPr="003910DF">
              <w:t>83</w:t>
            </w:r>
            <w:r w:rsidR="00E60631">
              <w:t xml:space="preserve"> </w:t>
            </w:r>
            <w:r w:rsidRPr="003910DF">
              <w:t>a</w:t>
            </w:r>
          </w:p>
        </w:tc>
        <w:tc>
          <w:tcPr>
            <w:tcW w:w="1701" w:type="dxa"/>
          </w:tcPr>
          <w:p w:rsidR="00894C3E" w:rsidRPr="008A0372" w:rsidRDefault="00894C3E" w:rsidP="00356A7E">
            <w:pPr>
              <w:spacing w:line="360" w:lineRule="auto"/>
              <w:jc w:val="center"/>
            </w:pPr>
            <w:r w:rsidRPr="008A0372">
              <w:t>1</w:t>
            </w:r>
            <w:r w:rsidR="008A0372" w:rsidRPr="008A0372">
              <w:t>5</w:t>
            </w:r>
            <w:r w:rsidRPr="008A0372">
              <w:t>,25</w:t>
            </w:r>
            <w:r w:rsidR="00E60631">
              <w:t xml:space="preserve"> </w:t>
            </w:r>
            <w:r w:rsidRPr="008A0372">
              <w:t>b</w:t>
            </w:r>
          </w:p>
        </w:tc>
        <w:tc>
          <w:tcPr>
            <w:tcW w:w="1559" w:type="dxa"/>
          </w:tcPr>
          <w:p w:rsidR="00894C3E" w:rsidRPr="003910DF" w:rsidRDefault="00894C3E" w:rsidP="00356A7E">
            <w:pPr>
              <w:spacing w:line="360" w:lineRule="auto"/>
              <w:jc w:val="center"/>
            </w:pPr>
            <w:r w:rsidRPr="003910DF">
              <w:t>8</w:t>
            </w:r>
            <w:r w:rsidR="008A0372">
              <w:t>5</w:t>
            </w:r>
            <w:r>
              <w:t>,</w:t>
            </w:r>
            <w:r w:rsidRPr="003910DF">
              <w:t>33 a</w:t>
            </w:r>
          </w:p>
        </w:tc>
        <w:tc>
          <w:tcPr>
            <w:tcW w:w="1487" w:type="dxa"/>
          </w:tcPr>
          <w:p w:rsidR="00894C3E" w:rsidRPr="003910DF" w:rsidRDefault="00075EB9" w:rsidP="00356A7E">
            <w:pPr>
              <w:spacing w:line="360" w:lineRule="auto"/>
              <w:jc w:val="center"/>
            </w:pPr>
            <w:r>
              <w:t>28,</w:t>
            </w:r>
            <w:r w:rsidR="00040373">
              <w:t xml:space="preserve">02 </w:t>
            </w:r>
            <w:r>
              <w:t>b</w:t>
            </w:r>
          </w:p>
        </w:tc>
      </w:tr>
      <w:tr w:rsidR="00894C3E" w:rsidRPr="003910DF">
        <w:tc>
          <w:tcPr>
            <w:tcW w:w="2884" w:type="dxa"/>
          </w:tcPr>
          <w:p w:rsidR="00894C3E" w:rsidRPr="0042198C" w:rsidRDefault="00F90864" w:rsidP="00356A7E">
            <w:pPr>
              <w:spacing w:line="360" w:lineRule="auto"/>
              <w:jc w:val="both"/>
            </w:pPr>
            <w:r w:rsidRPr="00F90864">
              <w:t xml:space="preserve">30 </w:t>
            </w:r>
            <w:r w:rsidR="0042198C" w:rsidRPr="003910DF">
              <w:rPr>
                <w:lang w:val="es-MX"/>
              </w:rPr>
              <w:t xml:space="preserve">min </w:t>
            </w:r>
            <w:r w:rsidRPr="00F90864">
              <w:t>de imbibición + 1 aplicación foliar</w:t>
            </w:r>
          </w:p>
        </w:tc>
        <w:tc>
          <w:tcPr>
            <w:tcW w:w="1369" w:type="dxa"/>
          </w:tcPr>
          <w:p w:rsidR="00894C3E" w:rsidRPr="003910DF" w:rsidRDefault="00741123" w:rsidP="00356A7E">
            <w:pPr>
              <w:spacing w:line="360" w:lineRule="auto"/>
              <w:jc w:val="center"/>
            </w:pPr>
            <w:r w:rsidRPr="003910DF">
              <w:t>7</w:t>
            </w:r>
            <w:r>
              <w:t>,</w:t>
            </w:r>
            <w:r w:rsidRPr="003910DF">
              <w:t>50</w:t>
            </w:r>
            <w:r w:rsidR="00E60631">
              <w:t xml:space="preserve"> </w:t>
            </w:r>
            <w:r>
              <w:t>a</w:t>
            </w:r>
          </w:p>
        </w:tc>
        <w:tc>
          <w:tcPr>
            <w:tcW w:w="1701" w:type="dxa"/>
          </w:tcPr>
          <w:p w:rsidR="00894C3E" w:rsidRPr="008A0372" w:rsidRDefault="00741123" w:rsidP="00356A7E">
            <w:pPr>
              <w:spacing w:line="360" w:lineRule="auto"/>
              <w:jc w:val="center"/>
            </w:pPr>
            <w:r w:rsidRPr="008A0372">
              <w:t>1</w:t>
            </w:r>
            <w:r w:rsidR="008A0372" w:rsidRPr="008A0372">
              <w:t>7</w:t>
            </w:r>
            <w:r w:rsidR="00894C3E" w:rsidRPr="008A0372">
              <w:t>,33</w:t>
            </w:r>
            <w:r w:rsidR="00E60631">
              <w:t xml:space="preserve"> </w:t>
            </w:r>
            <w:r w:rsidRPr="008A0372">
              <w:t>a</w:t>
            </w:r>
          </w:p>
        </w:tc>
        <w:tc>
          <w:tcPr>
            <w:tcW w:w="1559" w:type="dxa"/>
          </w:tcPr>
          <w:p w:rsidR="00894C3E" w:rsidRPr="003910DF" w:rsidRDefault="008A0372" w:rsidP="00356A7E">
            <w:pPr>
              <w:spacing w:line="360" w:lineRule="auto"/>
              <w:jc w:val="center"/>
            </w:pPr>
            <w:r>
              <w:t>83</w:t>
            </w:r>
            <w:r w:rsidR="00894C3E">
              <w:t>,</w:t>
            </w:r>
            <w:r w:rsidR="00894C3E" w:rsidRPr="003910DF">
              <w:t>67 b</w:t>
            </w:r>
          </w:p>
        </w:tc>
        <w:tc>
          <w:tcPr>
            <w:tcW w:w="1487" w:type="dxa"/>
          </w:tcPr>
          <w:p w:rsidR="00894C3E" w:rsidRPr="003910DF" w:rsidRDefault="00040373" w:rsidP="00356A7E">
            <w:pPr>
              <w:spacing w:line="360" w:lineRule="auto"/>
              <w:jc w:val="center"/>
            </w:pPr>
            <w:r>
              <w:t>3</w:t>
            </w:r>
            <w:r w:rsidR="00075EB9">
              <w:t>0,</w:t>
            </w:r>
            <w:r>
              <w:t>55</w:t>
            </w:r>
            <w:r w:rsidR="00741123">
              <w:t xml:space="preserve"> </w:t>
            </w:r>
            <w:r w:rsidR="00075EB9">
              <w:t>a</w:t>
            </w:r>
          </w:p>
        </w:tc>
      </w:tr>
      <w:tr w:rsidR="00894C3E" w:rsidRPr="003910DF">
        <w:tc>
          <w:tcPr>
            <w:tcW w:w="2884" w:type="dxa"/>
          </w:tcPr>
          <w:p w:rsidR="00894C3E" w:rsidRPr="0042198C" w:rsidRDefault="00F90864" w:rsidP="00356A7E">
            <w:pPr>
              <w:spacing w:line="360" w:lineRule="auto"/>
              <w:jc w:val="both"/>
            </w:pPr>
            <w:r w:rsidRPr="00F90864">
              <w:t>Testigo sin inocular</w:t>
            </w:r>
          </w:p>
        </w:tc>
        <w:tc>
          <w:tcPr>
            <w:tcW w:w="1369" w:type="dxa"/>
          </w:tcPr>
          <w:p w:rsidR="00894C3E" w:rsidRPr="003910DF" w:rsidRDefault="00894C3E" w:rsidP="00356A7E">
            <w:pPr>
              <w:spacing w:line="360" w:lineRule="auto"/>
              <w:jc w:val="center"/>
            </w:pPr>
            <w:r w:rsidRPr="003910DF">
              <w:t>5</w:t>
            </w:r>
            <w:r>
              <w:t>,</w:t>
            </w:r>
            <w:r w:rsidRPr="003910DF">
              <w:t>25</w:t>
            </w:r>
            <w:r w:rsidR="00E60631">
              <w:t xml:space="preserve"> </w:t>
            </w:r>
            <w:r w:rsidRPr="003910DF">
              <w:t>b</w:t>
            </w:r>
          </w:p>
        </w:tc>
        <w:tc>
          <w:tcPr>
            <w:tcW w:w="1701" w:type="dxa"/>
          </w:tcPr>
          <w:p w:rsidR="00894C3E" w:rsidRPr="008A0372" w:rsidRDefault="008A0372" w:rsidP="00356A7E">
            <w:pPr>
              <w:spacing w:line="360" w:lineRule="auto"/>
              <w:jc w:val="center"/>
            </w:pPr>
            <w:r w:rsidRPr="008A0372">
              <w:t>15</w:t>
            </w:r>
            <w:r w:rsidR="00894C3E" w:rsidRPr="008A0372">
              <w:t>,33</w:t>
            </w:r>
            <w:r w:rsidR="00E60631">
              <w:t xml:space="preserve"> </w:t>
            </w:r>
            <w:r w:rsidR="00894C3E" w:rsidRPr="008A0372">
              <w:t>b</w:t>
            </w:r>
          </w:p>
        </w:tc>
        <w:tc>
          <w:tcPr>
            <w:tcW w:w="1559" w:type="dxa"/>
          </w:tcPr>
          <w:p w:rsidR="00894C3E" w:rsidRPr="003910DF" w:rsidRDefault="008A0372" w:rsidP="00356A7E">
            <w:pPr>
              <w:spacing w:line="360" w:lineRule="auto"/>
              <w:jc w:val="center"/>
            </w:pPr>
            <w:r>
              <w:t>85</w:t>
            </w:r>
            <w:r w:rsidR="00894C3E">
              <w:t>,</w:t>
            </w:r>
            <w:r>
              <w:t>23</w:t>
            </w:r>
            <w:r w:rsidR="00894C3E" w:rsidRPr="003910DF">
              <w:t xml:space="preserve"> </w:t>
            </w:r>
            <w:r>
              <w:t>a</w:t>
            </w:r>
          </w:p>
        </w:tc>
        <w:tc>
          <w:tcPr>
            <w:tcW w:w="1487" w:type="dxa"/>
          </w:tcPr>
          <w:p w:rsidR="00894C3E" w:rsidRPr="003910DF" w:rsidRDefault="00075EB9" w:rsidP="00356A7E">
            <w:pPr>
              <w:spacing w:line="360" w:lineRule="auto"/>
              <w:jc w:val="center"/>
            </w:pPr>
            <w:r>
              <w:t>27,</w:t>
            </w:r>
            <w:r w:rsidR="00040373">
              <w:t>66</w:t>
            </w:r>
            <w:r w:rsidR="00741123">
              <w:t xml:space="preserve"> b</w:t>
            </w:r>
          </w:p>
        </w:tc>
      </w:tr>
      <w:tr w:rsidR="00894C3E" w:rsidRPr="003910DF">
        <w:tc>
          <w:tcPr>
            <w:tcW w:w="2884" w:type="dxa"/>
          </w:tcPr>
          <w:p w:rsidR="00894C3E" w:rsidRPr="0042198C" w:rsidRDefault="00F90864" w:rsidP="00356A7E">
            <w:pPr>
              <w:spacing w:line="360" w:lineRule="auto"/>
              <w:jc w:val="both"/>
            </w:pPr>
            <w:r w:rsidRPr="00F90864">
              <w:t>ES x</w:t>
            </w:r>
          </w:p>
        </w:tc>
        <w:tc>
          <w:tcPr>
            <w:tcW w:w="1369" w:type="dxa"/>
          </w:tcPr>
          <w:p w:rsidR="00894C3E" w:rsidRPr="003910DF" w:rsidRDefault="00E60631" w:rsidP="00356A7E">
            <w:pPr>
              <w:spacing w:line="360" w:lineRule="auto"/>
              <w:jc w:val="center"/>
            </w:pPr>
            <w:r>
              <w:t xml:space="preserve"> </w:t>
            </w:r>
            <w:r w:rsidR="00894C3E" w:rsidRPr="003910DF">
              <w:t>0</w:t>
            </w:r>
            <w:r w:rsidR="00894C3E">
              <w:t>,</w:t>
            </w:r>
            <w:r w:rsidR="00894C3E" w:rsidRPr="003910DF">
              <w:t>55</w:t>
            </w:r>
            <w:r>
              <w:t xml:space="preserve"> </w:t>
            </w:r>
            <w:r w:rsidR="00894C3E" w:rsidRPr="003910DF">
              <w:t>**</w:t>
            </w:r>
          </w:p>
        </w:tc>
        <w:tc>
          <w:tcPr>
            <w:tcW w:w="1701" w:type="dxa"/>
          </w:tcPr>
          <w:p w:rsidR="00894C3E" w:rsidRPr="008A0372" w:rsidRDefault="00E60631" w:rsidP="00356A7E">
            <w:pPr>
              <w:spacing w:line="360" w:lineRule="auto"/>
              <w:jc w:val="center"/>
            </w:pPr>
            <w:r>
              <w:t xml:space="preserve"> </w:t>
            </w:r>
            <w:r w:rsidR="00894C3E" w:rsidRPr="008A0372">
              <w:t>1,10</w:t>
            </w:r>
            <w:r>
              <w:t xml:space="preserve"> </w:t>
            </w:r>
            <w:r w:rsidR="00894C3E" w:rsidRPr="008A0372">
              <w:t>***</w:t>
            </w:r>
          </w:p>
        </w:tc>
        <w:tc>
          <w:tcPr>
            <w:tcW w:w="1559" w:type="dxa"/>
          </w:tcPr>
          <w:p w:rsidR="00894C3E" w:rsidRPr="003910DF" w:rsidRDefault="00E60631" w:rsidP="00356A7E">
            <w:pPr>
              <w:spacing w:line="360" w:lineRule="auto"/>
              <w:jc w:val="center"/>
            </w:pPr>
            <w:r>
              <w:t xml:space="preserve"> </w:t>
            </w:r>
            <w:r w:rsidR="00894C3E" w:rsidRPr="003910DF">
              <w:t>34</w:t>
            </w:r>
            <w:r w:rsidR="00894C3E">
              <w:t>,</w:t>
            </w:r>
            <w:r w:rsidR="00894C3E" w:rsidRPr="003910DF">
              <w:t>65</w:t>
            </w:r>
            <w:r>
              <w:t xml:space="preserve"> </w:t>
            </w:r>
            <w:r w:rsidR="00894C3E" w:rsidRPr="003910DF">
              <w:t>***</w:t>
            </w:r>
          </w:p>
        </w:tc>
        <w:tc>
          <w:tcPr>
            <w:tcW w:w="1487" w:type="dxa"/>
          </w:tcPr>
          <w:p w:rsidR="00894C3E" w:rsidRDefault="00741123" w:rsidP="00356A7E">
            <w:pPr>
              <w:spacing w:line="360" w:lineRule="auto"/>
              <w:jc w:val="center"/>
            </w:pPr>
            <w:r>
              <w:t>0,97</w:t>
            </w:r>
            <w:r w:rsidR="00894C3E" w:rsidRPr="003910DF">
              <w:t xml:space="preserve"> ***</w:t>
            </w:r>
          </w:p>
        </w:tc>
      </w:tr>
    </w:tbl>
    <w:p w:rsidR="00810DE2" w:rsidRDefault="00E60631" w:rsidP="00356A7E">
      <w:pPr>
        <w:numPr>
          <w:ilvl w:val="12"/>
          <w:numId w:val="0"/>
        </w:numPr>
        <w:spacing w:line="360" w:lineRule="auto"/>
        <w:jc w:val="both"/>
      </w:pPr>
      <w:r>
        <w:t xml:space="preserve"> </w:t>
      </w:r>
      <w:r w:rsidR="00810DE2" w:rsidRPr="003910DF">
        <w:t xml:space="preserve">Medias con letras comunes no difieren significativamente </w:t>
      </w:r>
      <w:r w:rsidR="00F90864" w:rsidRPr="00F90864">
        <w:rPr>
          <w:highlight w:val="cyan"/>
        </w:rPr>
        <w:t>para 0,01 p&lt;0,001</w:t>
      </w:r>
      <w:r w:rsidR="00810DE2" w:rsidRPr="003910DF">
        <w:t xml:space="preserve"> </w:t>
      </w:r>
    </w:p>
    <w:p w:rsidR="00B73EA2" w:rsidRPr="003910DF" w:rsidRDefault="00B73EA2" w:rsidP="00356A7E">
      <w:pPr>
        <w:numPr>
          <w:ilvl w:val="12"/>
          <w:numId w:val="0"/>
        </w:numPr>
        <w:spacing w:line="360" w:lineRule="auto"/>
        <w:jc w:val="both"/>
      </w:pPr>
    </w:p>
    <w:p w:rsidR="007C7098" w:rsidRPr="003910DF" w:rsidRDefault="00E60631" w:rsidP="00356A7E">
      <w:pPr>
        <w:numPr>
          <w:ilvl w:val="12"/>
          <w:numId w:val="0"/>
        </w:numPr>
        <w:spacing w:line="360" w:lineRule="auto"/>
        <w:jc w:val="both"/>
      </w:pPr>
      <w:r>
        <w:t xml:space="preserve"> </w:t>
      </w:r>
    </w:p>
    <w:p w:rsidR="00533581" w:rsidRDefault="00741123" w:rsidP="00356A7E">
      <w:pPr>
        <w:spacing w:line="360" w:lineRule="auto"/>
        <w:jc w:val="both"/>
      </w:pPr>
      <w:r>
        <w:t>En</w:t>
      </w:r>
      <w:r w:rsidR="00533581">
        <w:t xml:space="preserve"> estudios realizados con diferentes cepas de </w:t>
      </w:r>
      <w:r w:rsidR="00533581" w:rsidRPr="00533581">
        <w:rPr>
          <w:i/>
        </w:rPr>
        <w:t>Peudomonas</w:t>
      </w:r>
      <w:r w:rsidR="00533581">
        <w:t xml:space="preserve"> sp, </w:t>
      </w:r>
      <w:r>
        <w:t xml:space="preserve">se ha </w:t>
      </w:r>
      <w:r w:rsidR="00533581">
        <w:t>demostra</w:t>
      </w:r>
      <w:r>
        <w:t xml:space="preserve">do </w:t>
      </w:r>
      <w:r w:rsidR="00533581">
        <w:t>que producen sideróforos y ácido salicílico, compuestos que podrían est</w:t>
      </w:r>
      <w:r w:rsidR="005235EB">
        <w:t>a</w:t>
      </w:r>
      <w:r w:rsidR="00533581">
        <w:t xml:space="preserve">r involucrados en la respuesta </w:t>
      </w:r>
      <w:r w:rsidR="00320638">
        <w:t xml:space="preserve">en el estímulo del crecimiento y desarrollo de las plantas así como con </w:t>
      </w:r>
      <w:r w:rsidR="00533581">
        <w:t>la inducción de resistencia a la presencia de patógenos</w:t>
      </w:r>
      <w:r w:rsidR="00504A79">
        <w:t xml:space="preserve"> </w:t>
      </w:r>
      <w:r>
        <w:t xml:space="preserve">(Hernández </w:t>
      </w:r>
      <w:r w:rsidRPr="00533581">
        <w:rPr>
          <w:i/>
        </w:rPr>
        <w:t>et al</w:t>
      </w:r>
      <w:r>
        <w:t>., 2002)</w:t>
      </w:r>
      <w:r w:rsidR="00533581">
        <w:t>.</w:t>
      </w:r>
    </w:p>
    <w:p w:rsidR="00533581" w:rsidRDefault="00533581" w:rsidP="00356A7E">
      <w:pPr>
        <w:spacing w:line="360" w:lineRule="auto"/>
        <w:jc w:val="both"/>
      </w:pPr>
    </w:p>
    <w:p w:rsidR="00810DE2" w:rsidRDefault="007C7098" w:rsidP="00356A7E">
      <w:pPr>
        <w:spacing w:line="360" w:lineRule="auto"/>
        <w:jc w:val="both"/>
      </w:pPr>
      <w:r w:rsidRPr="003910DF">
        <w:t xml:space="preserve">Respecto a la utilización de microorganismos benéficos o los metabolitos activos de estos, </w:t>
      </w:r>
      <w:r w:rsidR="002454BB">
        <w:t xml:space="preserve">se </w:t>
      </w:r>
      <w:r w:rsidRPr="003910DF">
        <w:t xml:space="preserve">plantea </w:t>
      </w:r>
      <w:r w:rsidR="00B7265F" w:rsidRPr="003910DF">
        <w:t>la idea de acelerar la respuesta de la</w:t>
      </w:r>
      <w:r w:rsidR="00504A79">
        <w:t>s</w:t>
      </w:r>
      <w:r w:rsidR="00B7265F" w:rsidRPr="003910DF">
        <w:t xml:space="preserve"> planta</w:t>
      </w:r>
      <w:r w:rsidR="00504A79">
        <w:t>s</w:t>
      </w:r>
      <w:r w:rsidR="00B7265F" w:rsidRPr="003910DF">
        <w:t xml:space="preserve"> mediante la aplicación de inductores de resistencia sistémica (bióticos o abióticos, respetuosos con el medioambiente)</w:t>
      </w:r>
      <w:r w:rsidR="0042198C">
        <w:t>,</w:t>
      </w:r>
      <w:r w:rsidR="00B7265F" w:rsidRPr="003910DF">
        <w:t xml:space="preserve"> </w:t>
      </w:r>
      <w:r w:rsidR="0042198C">
        <w:t xml:space="preserve">la </w:t>
      </w:r>
      <w:r w:rsidR="00504A79">
        <w:t xml:space="preserve">cual </w:t>
      </w:r>
      <w:r w:rsidR="00B7265F" w:rsidRPr="003910DF">
        <w:t>es del todo atractiva y supondría, al mismo tiempo, una alternativa biológica, ambiental y comercialmente viable</w:t>
      </w:r>
      <w:r w:rsidR="002454BB">
        <w:t xml:space="preserve"> (</w:t>
      </w:r>
      <w:r w:rsidR="002454BB" w:rsidRPr="003910DF">
        <w:t xml:space="preserve">Walker </w:t>
      </w:r>
      <w:r w:rsidR="002454BB" w:rsidRPr="003910DF">
        <w:rPr>
          <w:i/>
        </w:rPr>
        <w:t>et al</w:t>
      </w:r>
      <w:r w:rsidR="002454BB" w:rsidRPr="003910DF">
        <w:t>.</w:t>
      </w:r>
      <w:r w:rsidR="002454BB">
        <w:t>,</w:t>
      </w:r>
      <w:r w:rsidR="002454BB" w:rsidRPr="003910DF">
        <w:t xml:space="preserve"> 2004)</w:t>
      </w:r>
      <w:r w:rsidR="00320638">
        <w:t>.</w:t>
      </w:r>
    </w:p>
    <w:p w:rsidR="00A1177D" w:rsidRDefault="00A1177D" w:rsidP="00356A7E">
      <w:pPr>
        <w:spacing w:line="360" w:lineRule="auto"/>
        <w:jc w:val="both"/>
      </w:pPr>
    </w:p>
    <w:p w:rsidR="005235EB" w:rsidRDefault="005235EB" w:rsidP="00356A7E">
      <w:pPr>
        <w:spacing w:line="360" w:lineRule="auto"/>
        <w:jc w:val="both"/>
        <w:rPr>
          <w:b/>
        </w:rPr>
      </w:pPr>
    </w:p>
    <w:p w:rsidR="00A1177D" w:rsidRPr="00A1177D" w:rsidRDefault="00A1177D" w:rsidP="00356A7E">
      <w:pPr>
        <w:spacing w:line="360" w:lineRule="auto"/>
        <w:jc w:val="both"/>
        <w:rPr>
          <w:b/>
        </w:rPr>
      </w:pPr>
      <w:r w:rsidRPr="00A1177D">
        <w:rPr>
          <w:b/>
        </w:rPr>
        <w:t>Conclusiones</w:t>
      </w:r>
    </w:p>
    <w:p w:rsidR="006C003D" w:rsidRDefault="00A1177D" w:rsidP="00356A7E">
      <w:pPr>
        <w:spacing w:line="360" w:lineRule="auto"/>
        <w:jc w:val="both"/>
        <w:rPr>
          <w:iCs/>
        </w:rPr>
      </w:pPr>
      <w:r>
        <w:t>Se demuestra el efecto positivo del producto Gluticid</w:t>
      </w:r>
      <w:r>
        <w:rPr>
          <w:i/>
          <w:lang w:val="es-MX"/>
        </w:rPr>
        <w:t>®</w:t>
      </w:r>
      <w:r w:rsidR="0042198C">
        <w:rPr>
          <w:lang w:val="es-MX"/>
        </w:rPr>
        <w:t>,</w:t>
      </w:r>
      <w:r>
        <w:rPr>
          <w:i/>
          <w:lang w:val="es-MX"/>
        </w:rPr>
        <w:t xml:space="preserve"> </w:t>
      </w:r>
      <w:r w:rsidRPr="00A1177D">
        <w:rPr>
          <w:lang w:val="es-MX"/>
        </w:rPr>
        <w:t>a base de</w:t>
      </w:r>
      <w:r>
        <w:rPr>
          <w:i/>
          <w:lang w:val="es-MX"/>
        </w:rPr>
        <w:t xml:space="preserve"> </w:t>
      </w:r>
      <w:r w:rsidRPr="00A1177D">
        <w:rPr>
          <w:i/>
          <w:iCs/>
        </w:rPr>
        <w:t>Pseudomona aeruginosa</w:t>
      </w:r>
      <w:r w:rsidR="00F90864" w:rsidRPr="00F90864">
        <w:rPr>
          <w:iCs/>
        </w:rPr>
        <w:t>,</w:t>
      </w:r>
      <w:r>
        <w:rPr>
          <w:i/>
          <w:iCs/>
        </w:rPr>
        <w:t xml:space="preserve"> </w:t>
      </w:r>
      <w:r w:rsidRPr="00A1177D">
        <w:rPr>
          <w:iCs/>
        </w:rPr>
        <w:t>sobre el crecimiento, desarrollo y rendimiento del cultivo del tomate</w:t>
      </w:r>
      <w:r>
        <w:rPr>
          <w:iCs/>
        </w:rPr>
        <w:t xml:space="preserve">, siendo favorecido este efecto por </w:t>
      </w:r>
      <w:r w:rsidR="006C003D">
        <w:rPr>
          <w:iCs/>
        </w:rPr>
        <w:t xml:space="preserve">dos vías diferentes de aplicación: la imbibición de las semillas durante 30 </w:t>
      </w:r>
      <w:r w:rsidR="0042198C" w:rsidRPr="003910DF">
        <w:rPr>
          <w:lang w:val="es-MX"/>
        </w:rPr>
        <w:t>min</w:t>
      </w:r>
      <w:r w:rsidR="006C003D">
        <w:rPr>
          <w:iCs/>
        </w:rPr>
        <w:t xml:space="preserve">, combinado con la aspersión foliar a los </w:t>
      </w:r>
      <w:r w:rsidR="0042198C">
        <w:rPr>
          <w:iCs/>
        </w:rPr>
        <w:t xml:space="preserve">10 </w:t>
      </w:r>
      <w:r w:rsidR="006C003D">
        <w:rPr>
          <w:iCs/>
        </w:rPr>
        <w:t>días posteriores a la siembra.</w:t>
      </w:r>
    </w:p>
    <w:p w:rsidR="00356A7E" w:rsidRDefault="00356A7E" w:rsidP="00356A7E">
      <w:pPr>
        <w:spacing w:line="360" w:lineRule="auto"/>
        <w:jc w:val="both"/>
        <w:rPr>
          <w:b/>
        </w:rPr>
      </w:pPr>
    </w:p>
    <w:p w:rsidR="00595486" w:rsidRPr="003910DF" w:rsidRDefault="0042198C" w:rsidP="00356A7E">
      <w:pPr>
        <w:spacing w:line="360" w:lineRule="auto"/>
        <w:jc w:val="both"/>
        <w:rPr>
          <w:b/>
        </w:rPr>
      </w:pPr>
      <w:r>
        <w:rPr>
          <w:b/>
        </w:rPr>
        <w:t>Referencias</w:t>
      </w:r>
      <w:r w:rsidR="00906D71">
        <w:rPr>
          <w:b/>
        </w:rPr>
        <w:t xml:space="preserve"> bibliográficas</w:t>
      </w:r>
    </w:p>
    <w:p w:rsidR="00057960" w:rsidRPr="003910DF" w:rsidRDefault="00057960" w:rsidP="00356A7E">
      <w:pPr>
        <w:spacing w:line="360" w:lineRule="auto"/>
        <w:jc w:val="both"/>
      </w:pPr>
    </w:p>
    <w:p w:rsidR="00057960" w:rsidRPr="00A1177D" w:rsidRDefault="00057960" w:rsidP="00356A7E">
      <w:pPr>
        <w:spacing w:line="360" w:lineRule="auto"/>
        <w:jc w:val="both"/>
        <w:rPr>
          <w:color w:val="000000"/>
          <w:lang w:val="es-ES_tradnl"/>
        </w:rPr>
      </w:pPr>
      <w:r w:rsidRPr="00A1177D">
        <w:rPr>
          <w:color w:val="000000"/>
          <w:lang w:val="es-MX"/>
        </w:rPr>
        <w:t>Cuba. MINAG. 1984</w:t>
      </w:r>
      <w:r>
        <w:rPr>
          <w:color w:val="000000"/>
          <w:lang w:val="es-MX"/>
        </w:rPr>
        <w:t xml:space="preserve">. </w:t>
      </w:r>
      <w:r w:rsidRPr="00A1177D">
        <w:rPr>
          <w:color w:val="000000"/>
          <w:lang w:val="es-ES_tradnl"/>
        </w:rPr>
        <w:t>Instructivo Técnico para sem</w:t>
      </w:r>
      <w:r>
        <w:rPr>
          <w:color w:val="000000"/>
          <w:lang w:val="es-ES_tradnl"/>
        </w:rPr>
        <w:t>illero de tomate. Folleto, 48 p.</w:t>
      </w:r>
    </w:p>
    <w:p w:rsidR="00057960" w:rsidRPr="003910DF" w:rsidRDefault="00057960" w:rsidP="00356A7E">
      <w:pPr>
        <w:autoSpaceDE w:val="0"/>
        <w:autoSpaceDN w:val="0"/>
        <w:adjustRightInd w:val="0"/>
        <w:spacing w:line="360" w:lineRule="auto"/>
        <w:jc w:val="both"/>
      </w:pPr>
      <w:r w:rsidRPr="003910DF">
        <w:t>Díaz de Villegas, Villa, P</w:t>
      </w:r>
      <w:r w:rsidR="0042198C">
        <w:t>.,</w:t>
      </w:r>
      <w:r w:rsidRPr="003910DF">
        <w:t xml:space="preserve"> Frías, A. 2002. </w:t>
      </w:r>
      <w:r w:rsidRPr="003910DF">
        <w:rPr>
          <w:lang w:val="en-GB"/>
        </w:rPr>
        <w:t xml:space="preserve">Evaluation of the siderophores production by </w:t>
      </w:r>
      <w:r w:rsidRPr="003910DF">
        <w:rPr>
          <w:i/>
          <w:iCs/>
          <w:lang w:val="en-GB"/>
        </w:rPr>
        <w:t xml:space="preserve">Pseudomonas aeruginosa </w:t>
      </w:r>
      <w:r w:rsidRPr="003910DF">
        <w:rPr>
          <w:lang w:val="en-GB"/>
        </w:rPr>
        <w:t xml:space="preserve">PSS. </w:t>
      </w:r>
      <w:r w:rsidRPr="003910DF">
        <w:t>Revista Latinoamericana de Microbiología 44</w:t>
      </w:r>
      <w:r w:rsidR="00512478">
        <w:t xml:space="preserve"> (</w:t>
      </w:r>
      <w:r w:rsidRPr="003910DF">
        <w:t>3-4</w:t>
      </w:r>
      <w:r w:rsidR="00512478">
        <w:t>):</w:t>
      </w:r>
      <w:r w:rsidRPr="003910DF">
        <w:t xml:space="preserve"> 112</w:t>
      </w:r>
      <w:r w:rsidR="0042198C">
        <w:t>-</w:t>
      </w:r>
      <w:r w:rsidRPr="003910DF">
        <w:t>117</w:t>
      </w:r>
      <w:r w:rsidR="0042198C">
        <w:t>.</w:t>
      </w:r>
      <w:r w:rsidR="00512478" w:rsidRPr="00512478">
        <w:t xml:space="preserve"> </w:t>
      </w:r>
    </w:p>
    <w:p w:rsidR="00057960" w:rsidRPr="003910DF" w:rsidRDefault="00057960" w:rsidP="00356A7E">
      <w:pPr>
        <w:autoSpaceDE w:val="0"/>
        <w:autoSpaceDN w:val="0"/>
        <w:adjustRightInd w:val="0"/>
        <w:spacing w:line="360" w:lineRule="auto"/>
      </w:pPr>
      <w:r w:rsidRPr="003910DF">
        <w:t>Ezziyyani, M</w:t>
      </w:r>
      <w:r w:rsidR="0042198C">
        <w:t>.,</w:t>
      </w:r>
      <w:r w:rsidR="0042198C" w:rsidRPr="003910DF">
        <w:t xml:space="preserve"> </w:t>
      </w:r>
      <w:r w:rsidRPr="003910DF">
        <w:t>Requena, M</w:t>
      </w:r>
      <w:r w:rsidR="0042198C">
        <w:t>.,</w:t>
      </w:r>
      <w:r w:rsidR="0042198C" w:rsidRPr="003910DF">
        <w:t xml:space="preserve"> </w:t>
      </w:r>
      <w:r w:rsidRPr="003910DF">
        <w:t>Pérez-Sánchez, C</w:t>
      </w:r>
      <w:r w:rsidR="0042198C">
        <w:t>.,</w:t>
      </w:r>
      <w:r w:rsidRPr="003910DF">
        <w:t xml:space="preserve"> Candela, M. 2005. </w:t>
      </w:r>
      <w:r w:rsidRPr="00B73EA2">
        <w:rPr>
          <w:bCs/>
        </w:rPr>
        <w:t xml:space="preserve">Efecto del sustrato y la temperatura en el control biológico de </w:t>
      </w:r>
      <w:r w:rsidRPr="00B73EA2">
        <w:rPr>
          <w:bCs/>
          <w:i/>
          <w:iCs/>
        </w:rPr>
        <w:t xml:space="preserve">Phytophthora capsici </w:t>
      </w:r>
      <w:r w:rsidRPr="00B73EA2">
        <w:rPr>
          <w:bCs/>
        </w:rPr>
        <w:t>en pimiento</w:t>
      </w:r>
      <w:r w:rsidRPr="003910DF">
        <w:rPr>
          <w:b/>
          <w:bCs/>
        </w:rPr>
        <w:t xml:space="preserve"> </w:t>
      </w:r>
      <w:r w:rsidRPr="004267D9">
        <w:rPr>
          <w:bCs/>
        </w:rPr>
        <w:t>(</w:t>
      </w:r>
      <w:r w:rsidRPr="004267D9">
        <w:rPr>
          <w:bCs/>
          <w:i/>
          <w:iCs/>
        </w:rPr>
        <w:t>Capsicum annuum</w:t>
      </w:r>
      <w:r w:rsidRPr="003910DF">
        <w:rPr>
          <w:b/>
          <w:bCs/>
          <w:i/>
          <w:iCs/>
        </w:rPr>
        <w:t xml:space="preserve"> </w:t>
      </w:r>
      <w:r w:rsidRPr="00B73EA2">
        <w:rPr>
          <w:bCs/>
        </w:rPr>
        <w:t>L.)</w:t>
      </w:r>
      <w:r w:rsidR="0042198C">
        <w:rPr>
          <w:bCs/>
        </w:rPr>
        <w:t>.</w:t>
      </w:r>
      <w:r w:rsidRPr="003910DF">
        <w:rPr>
          <w:b/>
          <w:bCs/>
        </w:rPr>
        <w:t xml:space="preserve"> </w:t>
      </w:r>
      <w:r w:rsidR="00512478">
        <w:t>Anales de Biología 27: 119-126</w:t>
      </w:r>
      <w:r w:rsidR="0042198C">
        <w:t>.</w:t>
      </w:r>
    </w:p>
    <w:p w:rsidR="00057960" w:rsidRPr="003910DF" w:rsidRDefault="00057960" w:rsidP="00356A7E">
      <w:pPr>
        <w:spacing w:line="360" w:lineRule="auto"/>
        <w:jc w:val="both"/>
        <w:rPr>
          <w:color w:val="000000"/>
          <w:lang w:val="es-MX"/>
        </w:rPr>
      </w:pPr>
      <w:r w:rsidRPr="003910DF">
        <w:rPr>
          <w:color w:val="000000"/>
          <w:lang w:val="es-MX"/>
        </w:rPr>
        <w:t>Hernández,</w:t>
      </w:r>
      <w:r w:rsidR="00E60631">
        <w:rPr>
          <w:color w:val="000000"/>
          <w:lang w:val="es-MX"/>
        </w:rPr>
        <w:t xml:space="preserve"> </w:t>
      </w:r>
      <w:r w:rsidRPr="003910DF">
        <w:rPr>
          <w:color w:val="000000"/>
          <w:lang w:val="es-MX"/>
        </w:rPr>
        <w:t>A.</w:t>
      </w:r>
      <w:r w:rsidR="0042198C">
        <w:rPr>
          <w:color w:val="000000"/>
          <w:lang w:val="es-MX"/>
        </w:rPr>
        <w:t xml:space="preserve"> </w:t>
      </w:r>
      <w:r w:rsidRPr="003910DF">
        <w:rPr>
          <w:color w:val="000000"/>
          <w:lang w:val="es-MX"/>
        </w:rPr>
        <w:t xml:space="preserve">J. </w:t>
      </w:r>
      <w:r w:rsidR="00512478" w:rsidRPr="003910DF">
        <w:rPr>
          <w:color w:val="000000"/>
          <w:lang w:val="es-MX"/>
        </w:rPr>
        <w:t>1999.</w:t>
      </w:r>
      <w:r w:rsidR="00512478">
        <w:rPr>
          <w:color w:val="000000"/>
          <w:lang w:val="es-MX"/>
        </w:rPr>
        <w:t xml:space="preserve"> </w:t>
      </w:r>
      <w:r w:rsidRPr="003910DF">
        <w:rPr>
          <w:color w:val="000000"/>
          <w:lang w:val="es-ES_tradnl"/>
        </w:rPr>
        <w:t>Nueva versión de clasificación genética de los suelos de Cuba</w:t>
      </w:r>
      <w:r w:rsidR="0042198C">
        <w:rPr>
          <w:color w:val="000000"/>
          <w:lang w:val="es-ES_tradnl"/>
        </w:rPr>
        <w:t>.</w:t>
      </w:r>
      <w:r w:rsidR="0042198C" w:rsidRPr="003910DF">
        <w:rPr>
          <w:color w:val="000000"/>
          <w:lang w:val="es-ES_tradnl"/>
        </w:rPr>
        <w:t xml:space="preserve"> La Habana</w:t>
      </w:r>
      <w:r w:rsidR="0042198C">
        <w:rPr>
          <w:color w:val="000000"/>
          <w:lang w:val="es-ES_tradnl"/>
        </w:rPr>
        <w:t>:</w:t>
      </w:r>
      <w:r w:rsidR="0042198C" w:rsidRPr="003910DF">
        <w:rPr>
          <w:color w:val="000000"/>
          <w:lang w:val="es-ES_tradnl"/>
        </w:rPr>
        <w:t xml:space="preserve"> </w:t>
      </w:r>
      <w:r w:rsidRPr="003910DF">
        <w:rPr>
          <w:color w:val="000000"/>
          <w:lang w:val="es-ES_tradnl"/>
        </w:rPr>
        <w:t xml:space="preserve">Ministerio de la Agricultura. 23 p. </w:t>
      </w:r>
    </w:p>
    <w:p w:rsidR="00057960" w:rsidRDefault="00057960" w:rsidP="00356A7E">
      <w:pPr>
        <w:spacing w:line="360" w:lineRule="auto"/>
        <w:jc w:val="both"/>
      </w:pPr>
      <w:r>
        <w:t>Hernández, A</w:t>
      </w:r>
      <w:r w:rsidR="0042198C">
        <w:t xml:space="preserve">., </w:t>
      </w:r>
      <w:r>
        <w:t>Caballero, A</w:t>
      </w:r>
      <w:r w:rsidR="0042198C">
        <w:t xml:space="preserve">., </w:t>
      </w:r>
      <w:r>
        <w:t>Hofte, M</w:t>
      </w:r>
      <w:r w:rsidR="0042198C">
        <w:t>.,</w:t>
      </w:r>
      <w:r>
        <w:t xml:space="preserve"> Heydrich, M. 2002. Rizobacterias asociadas al maíz y su aplicación en la agricultura. Contribución a la Educación y la Protección Ambiental 3:</w:t>
      </w:r>
      <w:r w:rsidR="0042198C">
        <w:t xml:space="preserve"> </w:t>
      </w:r>
      <w:r>
        <w:t>136-139</w:t>
      </w:r>
      <w:r w:rsidR="0042198C">
        <w:t>.</w:t>
      </w:r>
    </w:p>
    <w:p w:rsidR="00057960" w:rsidRPr="003910DF" w:rsidRDefault="00057960" w:rsidP="00356A7E">
      <w:pPr>
        <w:autoSpaceDE w:val="0"/>
        <w:autoSpaceDN w:val="0"/>
        <w:adjustRightInd w:val="0"/>
        <w:spacing w:line="360" w:lineRule="auto"/>
        <w:jc w:val="both"/>
      </w:pPr>
      <w:r w:rsidRPr="003910DF">
        <w:t>Hernández, A</w:t>
      </w:r>
      <w:r w:rsidR="0042198C">
        <w:t>.,</w:t>
      </w:r>
      <w:r w:rsidR="0042198C" w:rsidRPr="003910DF">
        <w:t xml:space="preserve"> </w:t>
      </w:r>
      <w:r w:rsidRPr="003910DF">
        <w:t>Hernández, A.</w:t>
      </w:r>
      <w:r w:rsidR="0042198C">
        <w:t xml:space="preserve"> </w:t>
      </w:r>
      <w:r w:rsidRPr="003910DF">
        <w:t>N</w:t>
      </w:r>
      <w:r w:rsidR="0042198C">
        <w:t>.,</w:t>
      </w:r>
      <w:r w:rsidR="0042198C" w:rsidRPr="003910DF">
        <w:t xml:space="preserve"> </w:t>
      </w:r>
      <w:r w:rsidRPr="003910DF">
        <w:t>Velásquez, M</w:t>
      </w:r>
      <w:r w:rsidR="0042198C">
        <w:t>.,</w:t>
      </w:r>
      <w:r w:rsidR="0042198C" w:rsidRPr="003910DF">
        <w:t xml:space="preserve"> </w:t>
      </w:r>
      <w:r w:rsidRPr="003910DF">
        <w:t>Bigiramana, Y</w:t>
      </w:r>
      <w:r w:rsidR="0042198C">
        <w:t>.,</w:t>
      </w:r>
      <w:r w:rsidR="0042198C" w:rsidRPr="003910DF">
        <w:t xml:space="preserve"> </w:t>
      </w:r>
      <w:r w:rsidRPr="003910DF">
        <w:t>Audenaert, K</w:t>
      </w:r>
      <w:r w:rsidR="0042198C">
        <w:t>.,</w:t>
      </w:r>
      <w:r w:rsidR="0042198C" w:rsidRPr="003910DF">
        <w:t xml:space="preserve"> </w:t>
      </w:r>
      <w:r w:rsidRPr="003910DF">
        <w:t>Hofte, M. 2004. Aplicación de rizobacterias para inducir resistencia en los sitemas frijol (</w:t>
      </w:r>
      <w:r w:rsidRPr="005235EB">
        <w:rPr>
          <w:i/>
        </w:rPr>
        <w:t>Phaseolus vulgaris</w:t>
      </w:r>
      <w:r w:rsidRPr="003910DF">
        <w:t xml:space="preserve"> L) – </w:t>
      </w:r>
      <w:r w:rsidRPr="005235EB">
        <w:rPr>
          <w:i/>
        </w:rPr>
        <w:t>Colletotrichum lindemuthianum</w:t>
      </w:r>
      <w:r w:rsidRPr="003910DF">
        <w:t xml:space="preserve"> (Sacc.Y Magnus). Revista Mexicana de Fitopatología 22</w:t>
      </w:r>
      <w:r w:rsidR="0042198C">
        <w:t xml:space="preserve"> </w:t>
      </w:r>
      <w:r w:rsidRPr="003910DF">
        <w:t>(1):</w:t>
      </w:r>
      <w:r w:rsidR="0042198C">
        <w:t xml:space="preserve"> </w:t>
      </w:r>
      <w:r w:rsidRPr="003910DF">
        <w:t>100-106</w:t>
      </w:r>
      <w:r w:rsidR="0042198C">
        <w:t>.</w:t>
      </w:r>
    </w:p>
    <w:p w:rsidR="00057960" w:rsidRPr="003910DF" w:rsidRDefault="00057960" w:rsidP="00356A7E">
      <w:pPr>
        <w:spacing w:line="360" w:lineRule="auto"/>
        <w:jc w:val="both"/>
      </w:pPr>
      <w:r w:rsidRPr="003910DF">
        <w:t xml:space="preserve">ICIDCA. 2007. Biopreparados. Manejo Integrado de Plagas. Manual Práctico. </w:t>
      </w:r>
    </w:p>
    <w:p w:rsidR="00057960" w:rsidRPr="003910DF" w:rsidRDefault="00057960" w:rsidP="00356A7E">
      <w:pPr>
        <w:spacing w:line="360" w:lineRule="auto"/>
        <w:jc w:val="both"/>
        <w:rPr>
          <w:color w:val="000000"/>
        </w:rPr>
      </w:pPr>
      <w:r w:rsidRPr="003910DF">
        <w:rPr>
          <w:color w:val="000000"/>
        </w:rPr>
        <w:t>INCA (Instituto Nacional de Ciencias Agrícolas). 1999. Manual de técnicas analíticas para análisis de suelo, foliar, abonos orgánicos y fertilizantes químicos. La Habana</w:t>
      </w:r>
      <w:r w:rsidR="0042198C">
        <w:rPr>
          <w:color w:val="000000"/>
        </w:rPr>
        <w:t>.</w:t>
      </w:r>
      <w:r w:rsidR="0042198C" w:rsidRPr="003910DF">
        <w:rPr>
          <w:color w:val="000000"/>
        </w:rPr>
        <w:t xml:space="preserve"> </w:t>
      </w:r>
      <w:r w:rsidRPr="003910DF">
        <w:rPr>
          <w:color w:val="000000"/>
        </w:rPr>
        <w:t>90 p</w:t>
      </w:r>
      <w:r w:rsidR="0042198C">
        <w:rPr>
          <w:color w:val="000000"/>
        </w:rPr>
        <w:t>.</w:t>
      </w:r>
    </w:p>
    <w:p w:rsidR="00057960" w:rsidRDefault="00057960" w:rsidP="00356A7E">
      <w:pPr>
        <w:spacing w:line="360" w:lineRule="auto"/>
        <w:jc w:val="both"/>
      </w:pPr>
      <w:r w:rsidRPr="003910DF">
        <w:rPr>
          <w:lang w:val="pt-BR"/>
        </w:rPr>
        <w:t xml:space="preserve">Morte, A. 2009. </w:t>
      </w:r>
      <w:r w:rsidRPr="003910DF">
        <w:t xml:space="preserve">Biofertilizantes de última generación. Facultad de Biología. Universidad de Murcia. España. </w:t>
      </w:r>
      <w:r w:rsidR="00512478">
        <w:t>Disponible</w:t>
      </w:r>
      <w:r w:rsidRPr="003910DF">
        <w:t xml:space="preserve"> en: http/hortalizas.com/quality and safety</w:t>
      </w:r>
      <w:r w:rsidR="0042198C">
        <w:t xml:space="preserve"> </w:t>
      </w:r>
      <w:r w:rsidR="0042198C">
        <w:t>[Fecha de consulta: 10 de enero de 2010].</w:t>
      </w:r>
    </w:p>
    <w:p w:rsidR="004267D9" w:rsidRPr="00E60631" w:rsidRDefault="00F90864" w:rsidP="00356A7E">
      <w:pPr>
        <w:spacing w:line="360" w:lineRule="auto"/>
        <w:jc w:val="both"/>
        <w:rPr>
          <w:lang w:val="en-US"/>
        </w:rPr>
      </w:pPr>
      <w:r w:rsidRPr="00F90864">
        <w:rPr>
          <w:rStyle w:val="CitaHTML"/>
          <w:i w:val="0"/>
          <w:iCs w:val="0"/>
          <w:lang w:val="en-US"/>
        </w:rPr>
        <w:t>Prithiviraj, B., Bais, H., Weir, T., Suresh, B., Najarro</w:t>
      </w:r>
      <w:r w:rsidR="0042198C">
        <w:rPr>
          <w:rStyle w:val="CitaHTML"/>
          <w:i w:val="0"/>
          <w:iCs w:val="0"/>
          <w:lang w:val="en-US"/>
        </w:rPr>
        <w:t>,</w:t>
      </w:r>
      <w:r w:rsidRPr="00F90864">
        <w:rPr>
          <w:rStyle w:val="CitaHTML"/>
          <w:i w:val="0"/>
          <w:iCs w:val="0"/>
          <w:lang w:val="en-US"/>
        </w:rPr>
        <w:t xml:space="preserve"> E</w:t>
      </w:r>
      <w:r w:rsidR="0042198C">
        <w:rPr>
          <w:rStyle w:val="CitaHTML"/>
          <w:i w:val="0"/>
          <w:iCs w:val="0"/>
          <w:lang w:val="en-US"/>
        </w:rPr>
        <w:t>.</w:t>
      </w:r>
      <w:r w:rsidRPr="00F90864">
        <w:rPr>
          <w:rStyle w:val="CitaHTML"/>
          <w:i w:val="0"/>
          <w:iCs w:val="0"/>
          <w:lang w:val="en-US"/>
        </w:rPr>
        <w:t>, Dayakar</w:t>
      </w:r>
      <w:r w:rsidR="0042198C">
        <w:rPr>
          <w:rStyle w:val="CitaHTML"/>
          <w:i w:val="0"/>
          <w:iCs w:val="0"/>
          <w:lang w:val="en-US"/>
        </w:rPr>
        <w:t>,</w:t>
      </w:r>
      <w:r w:rsidRPr="00F90864">
        <w:rPr>
          <w:rStyle w:val="CitaHTML"/>
          <w:i w:val="0"/>
          <w:iCs w:val="0"/>
          <w:lang w:val="en-US"/>
        </w:rPr>
        <w:t xml:space="preserve"> B</w:t>
      </w:r>
      <w:r w:rsidR="0042198C">
        <w:rPr>
          <w:rStyle w:val="CitaHTML"/>
          <w:i w:val="0"/>
          <w:iCs w:val="0"/>
          <w:lang w:val="en-US"/>
        </w:rPr>
        <w:t>.</w:t>
      </w:r>
      <w:r w:rsidRPr="00F90864">
        <w:rPr>
          <w:rStyle w:val="CitaHTML"/>
          <w:i w:val="0"/>
          <w:iCs w:val="0"/>
          <w:lang w:val="en-US"/>
        </w:rPr>
        <w:t>, Schweizer</w:t>
      </w:r>
      <w:r w:rsidR="0042198C">
        <w:rPr>
          <w:rStyle w:val="CitaHTML"/>
          <w:i w:val="0"/>
          <w:iCs w:val="0"/>
          <w:lang w:val="en-US"/>
        </w:rPr>
        <w:t>,</w:t>
      </w:r>
      <w:r w:rsidRPr="00F90864">
        <w:rPr>
          <w:rStyle w:val="CitaHTML"/>
          <w:i w:val="0"/>
          <w:iCs w:val="0"/>
          <w:lang w:val="en-US"/>
        </w:rPr>
        <w:t xml:space="preserve"> H</w:t>
      </w:r>
      <w:r w:rsidR="0042198C">
        <w:rPr>
          <w:rStyle w:val="CitaHTML"/>
          <w:i w:val="0"/>
          <w:iCs w:val="0"/>
          <w:lang w:val="en-US"/>
        </w:rPr>
        <w:t>.</w:t>
      </w:r>
      <w:r w:rsidRPr="00F90864">
        <w:rPr>
          <w:rStyle w:val="CitaHTML"/>
          <w:i w:val="0"/>
          <w:iCs w:val="0"/>
          <w:lang w:val="en-US"/>
        </w:rPr>
        <w:t xml:space="preserve">, Vivanco J. 2005. </w:t>
      </w:r>
      <w:r w:rsidR="004267D9" w:rsidRPr="004267D9">
        <w:rPr>
          <w:rStyle w:val="CitaHTML"/>
          <w:i w:val="0"/>
          <w:iCs w:val="0"/>
          <w:lang w:val="en-GB"/>
        </w:rPr>
        <w:t xml:space="preserve">Down regulation of virulence factors of </w:t>
      </w:r>
      <w:r w:rsidR="004267D9" w:rsidRPr="004267D9">
        <w:rPr>
          <w:rStyle w:val="CitaHTML"/>
          <w:iCs w:val="0"/>
          <w:lang w:val="en-GB"/>
        </w:rPr>
        <w:t>Pseudomonas aeruginosa</w:t>
      </w:r>
      <w:r w:rsidR="004267D9" w:rsidRPr="004267D9">
        <w:rPr>
          <w:rStyle w:val="CitaHTML"/>
          <w:i w:val="0"/>
          <w:iCs w:val="0"/>
          <w:lang w:val="en-GB"/>
        </w:rPr>
        <w:t xml:space="preserve"> by salicylic acid attenuates its virulence on Arabidopsis thaliana and </w:t>
      </w:r>
      <w:r w:rsidR="004267D9" w:rsidRPr="004267D9">
        <w:rPr>
          <w:rStyle w:val="CitaHTML"/>
          <w:iCs w:val="0"/>
          <w:lang w:val="en-GB"/>
        </w:rPr>
        <w:t>Caenorhabditis elegans</w:t>
      </w:r>
      <w:r w:rsidR="004267D9" w:rsidRPr="004267D9">
        <w:rPr>
          <w:rStyle w:val="CitaHTML"/>
          <w:i w:val="0"/>
          <w:iCs w:val="0"/>
          <w:lang w:val="en-GB"/>
        </w:rPr>
        <w:t xml:space="preserve">. </w:t>
      </w:r>
      <w:r w:rsidRPr="00F90864">
        <w:rPr>
          <w:rStyle w:val="CitaHTML"/>
          <w:i w:val="0"/>
          <w:lang w:val="en-US"/>
        </w:rPr>
        <w:t>Infect Immun</w:t>
      </w:r>
      <w:r w:rsidR="004267D9" w:rsidRPr="00E60631">
        <w:rPr>
          <w:rStyle w:val="CitaHTML"/>
          <w:i w:val="0"/>
          <w:iCs w:val="0"/>
          <w:lang w:val="en-US"/>
        </w:rPr>
        <w:t xml:space="preserve"> </w:t>
      </w:r>
      <w:r w:rsidR="004267D9" w:rsidRPr="00E60631">
        <w:rPr>
          <w:rStyle w:val="CitaHTML"/>
          <w:bCs/>
          <w:i w:val="0"/>
          <w:iCs w:val="0"/>
          <w:lang w:val="en-US"/>
        </w:rPr>
        <w:t>73</w:t>
      </w:r>
      <w:r w:rsidR="004267D9" w:rsidRPr="00E60631">
        <w:rPr>
          <w:rStyle w:val="CitaHTML"/>
          <w:i w:val="0"/>
          <w:iCs w:val="0"/>
          <w:lang w:val="en-US"/>
        </w:rPr>
        <w:t xml:space="preserve"> (9): 5319-28</w:t>
      </w:r>
      <w:r w:rsidR="0042198C">
        <w:rPr>
          <w:rStyle w:val="CitaHTML"/>
          <w:i w:val="0"/>
          <w:iCs w:val="0"/>
          <w:lang w:val="en-US"/>
        </w:rPr>
        <w:t>.</w:t>
      </w:r>
    </w:p>
    <w:p w:rsidR="00057960" w:rsidRPr="009F7560" w:rsidRDefault="0042198C" w:rsidP="00356A7E">
      <w:pPr>
        <w:spacing w:line="360" w:lineRule="auto"/>
        <w:jc w:val="both"/>
        <w:rPr>
          <w:lang w:val="en-GB"/>
        </w:rPr>
      </w:pPr>
      <w:r>
        <w:rPr>
          <w:lang w:val="en-US"/>
        </w:rPr>
        <w:lastRenderedPageBreak/>
        <w:t>v</w:t>
      </w:r>
      <w:r w:rsidR="00057960" w:rsidRPr="00E60631">
        <w:rPr>
          <w:lang w:val="en-US"/>
        </w:rPr>
        <w:t xml:space="preserve">an-Wess, S. 1999. </w:t>
      </w:r>
      <w:r w:rsidR="00057960" w:rsidRPr="009F7560">
        <w:rPr>
          <w:lang w:val="en-GB"/>
        </w:rPr>
        <w:t>Rizobacteria Mediated Induced Systemic Resistance in Arabidopsis Signal Transduction and Expresi</w:t>
      </w:r>
      <w:r w:rsidR="00057960">
        <w:rPr>
          <w:lang w:val="en-GB"/>
        </w:rPr>
        <w:t>o</w:t>
      </w:r>
      <w:r w:rsidR="00057960" w:rsidRPr="009F7560">
        <w:rPr>
          <w:lang w:val="en-GB"/>
        </w:rPr>
        <w:t xml:space="preserve">n. </w:t>
      </w:r>
      <w:r w:rsidR="00057960">
        <w:rPr>
          <w:lang w:val="en-GB"/>
        </w:rPr>
        <w:t xml:space="preserve">Ph.D. Thesis. </w:t>
      </w:r>
      <w:smartTag w:uri="urn:schemas-microsoft-com:office:smarttags" w:element="place">
        <w:smartTag w:uri="urn:schemas-microsoft-com:office:smarttags" w:element="PlaceType">
          <w:r w:rsidR="00057960">
            <w:rPr>
              <w:lang w:val="en-GB"/>
            </w:rPr>
            <w:t>University</w:t>
          </w:r>
        </w:smartTag>
        <w:r w:rsidR="00057960">
          <w:rPr>
            <w:lang w:val="en-GB"/>
          </w:rPr>
          <w:t xml:space="preserve"> of </w:t>
        </w:r>
        <w:smartTag w:uri="urn:schemas-microsoft-com:office:smarttags" w:element="PlaceName">
          <w:r w:rsidR="00057960">
            <w:rPr>
              <w:lang w:val="en-GB"/>
            </w:rPr>
            <w:t>Utrecht</w:t>
          </w:r>
        </w:smartTag>
      </w:smartTag>
      <w:r w:rsidR="00057960">
        <w:rPr>
          <w:lang w:val="en-GB"/>
        </w:rPr>
        <w:t xml:space="preserve">. </w:t>
      </w:r>
      <w:smartTag w:uri="urn:schemas-microsoft-com:office:smarttags" w:element="City">
        <w:smartTag w:uri="urn:schemas-microsoft-com:office:smarttags" w:element="place">
          <w:r w:rsidR="00057960">
            <w:rPr>
              <w:lang w:val="en-GB"/>
            </w:rPr>
            <w:t>Utrecht</w:t>
          </w:r>
        </w:smartTag>
      </w:smartTag>
      <w:r w:rsidR="00057960">
        <w:rPr>
          <w:lang w:val="en-GB"/>
        </w:rPr>
        <w:t xml:space="preserve"> The </w:t>
      </w:r>
      <w:smartTag w:uri="urn:schemas-microsoft-com:office:smarttags" w:element="country-region">
        <w:smartTag w:uri="urn:schemas-microsoft-com:office:smarttags" w:element="place">
          <w:r w:rsidR="00057960">
            <w:rPr>
              <w:lang w:val="en-GB"/>
            </w:rPr>
            <w:t>Netherlands</w:t>
          </w:r>
        </w:smartTag>
      </w:smartTag>
      <w:r w:rsidR="00057960">
        <w:rPr>
          <w:lang w:val="en-GB"/>
        </w:rPr>
        <w:t>. 112</w:t>
      </w:r>
      <w:r>
        <w:rPr>
          <w:lang w:val="en-GB"/>
        </w:rPr>
        <w:t xml:space="preserve"> </w:t>
      </w:r>
      <w:r w:rsidR="00057960">
        <w:rPr>
          <w:lang w:val="en-GB"/>
        </w:rPr>
        <w:t>p.</w:t>
      </w:r>
    </w:p>
    <w:p w:rsidR="00057960" w:rsidRPr="00E60631" w:rsidRDefault="00057960" w:rsidP="00356A7E">
      <w:pPr>
        <w:spacing w:line="360" w:lineRule="auto"/>
        <w:jc w:val="both"/>
        <w:rPr>
          <w:lang w:val="en-US"/>
        </w:rPr>
      </w:pPr>
      <w:r w:rsidRPr="003910DF">
        <w:rPr>
          <w:lang w:val="en-GB"/>
        </w:rPr>
        <w:t xml:space="preserve">Walker, T. S., Bais, </w:t>
      </w:r>
      <w:r w:rsidR="0042198C" w:rsidRPr="003910DF">
        <w:rPr>
          <w:lang w:val="en-GB"/>
        </w:rPr>
        <w:t>H. P.</w:t>
      </w:r>
      <w:r w:rsidR="0042198C">
        <w:rPr>
          <w:lang w:val="en-GB"/>
        </w:rPr>
        <w:t>,</w:t>
      </w:r>
      <w:r w:rsidR="0042198C" w:rsidRPr="003910DF">
        <w:rPr>
          <w:lang w:val="en-GB"/>
        </w:rPr>
        <w:t xml:space="preserve"> </w:t>
      </w:r>
      <w:r w:rsidRPr="003910DF">
        <w:rPr>
          <w:lang w:val="en-GB"/>
        </w:rPr>
        <w:t xml:space="preserve">Déziel, </w:t>
      </w:r>
      <w:r w:rsidR="0042198C" w:rsidRPr="003910DF">
        <w:rPr>
          <w:lang w:val="en-GB"/>
        </w:rPr>
        <w:t>E.</w:t>
      </w:r>
      <w:r w:rsidR="0042198C">
        <w:rPr>
          <w:lang w:val="en-GB"/>
        </w:rPr>
        <w:t>,</w:t>
      </w:r>
      <w:r w:rsidR="0042198C" w:rsidRPr="003910DF">
        <w:rPr>
          <w:lang w:val="en-GB"/>
        </w:rPr>
        <w:t xml:space="preserve"> </w:t>
      </w:r>
      <w:r w:rsidRPr="003910DF">
        <w:rPr>
          <w:lang w:val="en-GB"/>
        </w:rPr>
        <w:t xml:space="preserve">Schweizer, </w:t>
      </w:r>
      <w:r w:rsidR="0042198C" w:rsidRPr="003910DF">
        <w:rPr>
          <w:lang w:val="en-GB"/>
        </w:rPr>
        <w:t>H. P.</w:t>
      </w:r>
      <w:r w:rsidR="0042198C">
        <w:rPr>
          <w:lang w:val="en-GB"/>
        </w:rPr>
        <w:t>,</w:t>
      </w:r>
      <w:r w:rsidR="0042198C" w:rsidRPr="003910DF">
        <w:rPr>
          <w:lang w:val="en-GB"/>
        </w:rPr>
        <w:t xml:space="preserve"> </w:t>
      </w:r>
      <w:r w:rsidRPr="003910DF">
        <w:rPr>
          <w:lang w:val="en-GB"/>
        </w:rPr>
        <w:t xml:space="preserve">Rahme, </w:t>
      </w:r>
      <w:r w:rsidR="0042198C" w:rsidRPr="003910DF">
        <w:rPr>
          <w:lang w:val="en-GB"/>
        </w:rPr>
        <w:t>L. G.</w:t>
      </w:r>
      <w:r w:rsidR="0042198C">
        <w:rPr>
          <w:lang w:val="en-GB"/>
        </w:rPr>
        <w:t>,</w:t>
      </w:r>
      <w:r w:rsidR="0042198C" w:rsidRPr="003910DF">
        <w:rPr>
          <w:lang w:val="en-GB"/>
        </w:rPr>
        <w:t xml:space="preserve"> </w:t>
      </w:r>
      <w:r w:rsidRPr="003910DF">
        <w:rPr>
          <w:lang w:val="en-GB"/>
        </w:rPr>
        <w:t xml:space="preserve">Fall, </w:t>
      </w:r>
      <w:r w:rsidR="0042198C" w:rsidRPr="003910DF">
        <w:rPr>
          <w:lang w:val="en-GB"/>
        </w:rPr>
        <w:t>R.</w:t>
      </w:r>
      <w:r w:rsidR="0042198C">
        <w:rPr>
          <w:lang w:val="en-GB"/>
        </w:rPr>
        <w:t>,</w:t>
      </w:r>
      <w:r w:rsidR="0042198C" w:rsidRPr="003910DF">
        <w:rPr>
          <w:lang w:val="en-GB"/>
        </w:rPr>
        <w:t xml:space="preserve"> </w:t>
      </w:r>
      <w:r w:rsidRPr="003910DF">
        <w:rPr>
          <w:lang w:val="en-GB"/>
        </w:rPr>
        <w:t>Vivanco</w:t>
      </w:r>
      <w:r w:rsidR="0042198C">
        <w:rPr>
          <w:lang w:val="en-GB"/>
        </w:rPr>
        <w:t>,</w:t>
      </w:r>
      <w:r w:rsidR="0042198C" w:rsidRPr="0042198C">
        <w:rPr>
          <w:lang w:val="en-GB"/>
        </w:rPr>
        <w:t xml:space="preserve"> </w:t>
      </w:r>
      <w:r w:rsidR="0042198C" w:rsidRPr="003910DF">
        <w:rPr>
          <w:lang w:val="en-GB"/>
        </w:rPr>
        <w:t>J. M</w:t>
      </w:r>
      <w:r w:rsidRPr="003910DF">
        <w:rPr>
          <w:lang w:val="en-GB"/>
        </w:rPr>
        <w:t>. 2004.</w:t>
      </w:r>
      <w:r w:rsidRPr="003910DF">
        <w:rPr>
          <w:i/>
          <w:lang w:val="en-GB"/>
        </w:rPr>
        <w:t xml:space="preserve"> </w:t>
      </w:r>
      <w:r w:rsidRPr="003910DF">
        <w:rPr>
          <w:i/>
          <w:iCs/>
          <w:lang w:val="en-GB"/>
        </w:rPr>
        <w:t>Pseudomonas aeruginosa-</w:t>
      </w:r>
      <w:r w:rsidRPr="003910DF">
        <w:rPr>
          <w:iCs/>
          <w:lang w:val="en-GB"/>
        </w:rPr>
        <w:t>plant root interactions. Pathogenicity, biofilm formation, and root exudation.</w:t>
      </w:r>
      <w:r w:rsidRPr="003910DF">
        <w:rPr>
          <w:lang w:val="en-GB"/>
        </w:rPr>
        <w:t xml:space="preserve"> </w:t>
      </w:r>
      <w:r w:rsidRPr="00E60631">
        <w:rPr>
          <w:lang w:val="en-US"/>
        </w:rPr>
        <w:t>Plant Physiol 134:</w:t>
      </w:r>
      <w:r w:rsidR="0042198C">
        <w:rPr>
          <w:lang w:val="en-US"/>
        </w:rPr>
        <w:t xml:space="preserve"> </w:t>
      </w:r>
      <w:r w:rsidRPr="00E60631">
        <w:rPr>
          <w:lang w:val="en-US"/>
        </w:rPr>
        <w:t>320-331</w:t>
      </w:r>
      <w:r w:rsidR="0042198C">
        <w:rPr>
          <w:lang w:val="en-US"/>
        </w:rPr>
        <w:t>.</w:t>
      </w:r>
    </w:p>
    <w:p w:rsidR="004267D9" w:rsidRPr="00E60631" w:rsidRDefault="004267D9" w:rsidP="00356A7E">
      <w:pPr>
        <w:spacing w:line="360" w:lineRule="auto"/>
        <w:jc w:val="both"/>
        <w:rPr>
          <w:lang w:val="en-US"/>
        </w:rPr>
      </w:pPr>
    </w:p>
    <w:sectPr w:rsidR="004267D9" w:rsidRPr="00E60631" w:rsidSect="003910DF">
      <w:footerReference w:type="default" r:id="rId16"/>
      <w:pgSz w:w="12247" w:h="15593"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A18" w:rsidRDefault="00311A18">
      <w:r>
        <w:separator/>
      </w:r>
    </w:p>
  </w:endnote>
  <w:endnote w:type="continuationSeparator" w:id="1">
    <w:p w:rsidR="00311A18" w:rsidRDefault="00311A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638" w:rsidRPr="00BA435A" w:rsidRDefault="00320638">
    <w:pPr>
      <w:pStyle w:val="Piedepgina"/>
      <w:rPr>
        <w:rFonts w:ascii="Arial" w:hAnsi="Arial" w:cs="Arial"/>
        <w:sz w:val="22"/>
        <w:szCs w:val="22"/>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A18" w:rsidRDefault="00311A18">
      <w:r>
        <w:separator/>
      </w:r>
    </w:p>
  </w:footnote>
  <w:footnote w:type="continuationSeparator" w:id="1">
    <w:p w:rsidR="00311A18" w:rsidRDefault="00311A18">
      <w:r>
        <w:continuationSeparator/>
      </w:r>
    </w:p>
  </w:footnote>
  <w:footnote w:id="2">
    <w:p w:rsidR="00F75D86" w:rsidRDefault="00947253" w:rsidP="00F75D86">
      <w:pPr>
        <w:pStyle w:val="Piedepgina"/>
        <w:rPr>
          <w:rFonts w:ascii="Arial" w:hAnsi="Arial" w:cs="Arial"/>
          <w:sz w:val="22"/>
          <w:szCs w:val="22"/>
          <w:lang w:val="pt-BR"/>
        </w:rPr>
      </w:pPr>
      <w:r w:rsidRPr="00947253">
        <w:rPr>
          <w:rStyle w:val="Refdenotaalpie"/>
        </w:rPr>
        <w:sym w:font="Symbol" w:char="F02A"/>
      </w:r>
      <w:r w:rsidR="00F75D86" w:rsidRPr="00BA435A">
        <w:rPr>
          <w:rFonts w:ascii="Arial" w:hAnsi="Arial" w:cs="Arial"/>
          <w:sz w:val="22"/>
          <w:szCs w:val="22"/>
        </w:rPr>
        <w:t xml:space="preserve">Dra.C. Instituto Nacional de Ciencias Agrícolas (INCA) Carretera de Tapaste km 3 ½. San José de las Lajas. La Habana, Cuba. </w:t>
      </w:r>
      <w:r w:rsidR="00F75D86" w:rsidRPr="00BA435A">
        <w:rPr>
          <w:rFonts w:ascii="Arial" w:hAnsi="Arial" w:cs="Arial"/>
          <w:sz w:val="22"/>
          <w:szCs w:val="22"/>
          <w:lang w:val="pt-BR"/>
        </w:rPr>
        <w:t xml:space="preserve">E-mail: </w:t>
      </w:r>
      <w:hyperlink r:id="rId1" w:history="1">
        <w:r w:rsidR="00F75D86" w:rsidRPr="00BA435A">
          <w:rPr>
            <w:rStyle w:val="Hipervnculo"/>
            <w:rFonts w:ascii="Arial" w:hAnsi="Arial" w:cs="Arial"/>
            <w:sz w:val="22"/>
            <w:szCs w:val="22"/>
            <w:lang w:val="pt-BR"/>
          </w:rPr>
          <w:t>terry@inca.edu.cu</w:t>
        </w:r>
      </w:hyperlink>
      <w:r w:rsidR="00F75D86" w:rsidRPr="00BA435A">
        <w:rPr>
          <w:rFonts w:ascii="Arial" w:hAnsi="Arial" w:cs="Arial"/>
          <w:sz w:val="22"/>
          <w:szCs w:val="22"/>
          <w:lang w:val="pt-BR"/>
        </w:rPr>
        <w:t xml:space="preserve">. </w:t>
      </w:r>
    </w:p>
    <w:p w:rsidR="00F75D86" w:rsidRDefault="00F75D86" w:rsidP="00F75D86">
      <w:pPr>
        <w:pStyle w:val="Piedepgina"/>
        <w:rPr>
          <w:rFonts w:ascii="Arial" w:hAnsi="Arial" w:cs="Arial"/>
          <w:sz w:val="22"/>
          <w:szCs w:val="22"/>
          <w:lang w:val="pt-BR"/>
        </w:rPr>
      </w:pPr>
      <w:r w:rsidRPr="00BA435A">
        <w:rPr>
          <w:rFonts w:ascii="Arial" w:hAnsi="Arial" w:cs="Arial"/>
          <w:sz w:val="22"/>
          <w:szCs w:val="22"/>
          <w:lang w:val="pt-BR"/>
        </w:rPr>
        <w:t xml:space="preserve">**MsC. Instituto Nacional de Ciencias Agrícolas (INCA) E-mail: </w:t>
      </w:r>
      <w:hyperlink r:id="rId2" w:history="1">
        <w:r w:rsidRPr="00BA435A">
          <w:rPr>
            <w:rStyle w:val="Hipervnculo"/>
            <w:rFonts w:ascii="Arial" w:hAnsi="Arial" w:cs="Arial"/>
            <w:sz w:val="22"/>
            <w:szCs w:val="22"/>
            <w:lang w:val="pt-BR"/>
          </w:rPr>
          <w:t>fefita@inca.edu.cu</w:t>
        </w:r>
      </w:hyperlink>
    </w:p>
    <w:p w:rsidR="00F75D86" w:rsidRPr="00BA435A" w:rsidRDefault="00F75D86" w:rsidP="00F75D86">
      <w:pPr>
        <w:pStyle w:val="Piedepgina"/>
        <w:rPr>
          <w:rFonts w:ascii="Arial" w:hAnsi="Arial" w:cs="Arial"/>
          <w:sz w:val="22"/>
          <w:szCs w:val="22"/>
          <w:lang w:val="pt-BR"/>
        </w:rPr>
      </w:pPr>
      <w:r w:rsidRPr="00BA435A">
        <w:rPr>
          <w:rFonts w:ascii="Arial" w:hAnsi="Arial" w:cs="Arial"/>
          <w:sz w:val="22"/>
          <w:szCs w:val="22"/>
          <w:lang w:val="pt-BR"/>
        </w:rPr>
        <w:t xml:space="preserve">***MsC. Instituto Nacional de Ciencias Agrícolas (INCA). E-mail: </w:t>
      </w:r>
      <w:hyperlink r:id="rId3" w:history="1">
        <w:r w:rsidRPr="00BA435A">
          <w:rPr>
            <w:rStyle w:val="Hipervnculo"/>
            <w:rFonts w:ascii="Arial" w:hAnsi="Arial" w:cs="Arial"/>
            <w:sz w:val="22"/>
            <w:szCs w:val="22"/>
            <w:lang w:val="pt-BR"/>
          </w:rPr>
          <w:t>ttejeda@inca.edu.cu</w:t>
        </w:r>
      </w:hyperlink>
    </w:p>
    <w:p w:rsidR="00F75D86" w:rsidRPr="00BA435A" w:rsidRDefault="00F75D86" w:rsidP="00F75D86">
      <w:pPr>
        <w:pStyle w:val="Piedepgina"/>
        <w:rPr>
          <w:rFonts w:ascii="Arial" w:hAnsi="Arial" w:cs="Arial"/>
          <w:sz w:val="22"/>
          <w:szCs w:val="22"/>
          <w:lang w:val="pt-BR"/>
        </w:rPr>
      </w:pPr>
    </w:p>
    <w:p w:rsidR="00947253" w:rsidRPr="00F75D86" w:rsidRDefault="00947253">
      <w:pPr>
        <w:pStyle w:val="Textonotapie"/>
      </w:pPr>
    </w:p>
  </w:footnote>
  <w:footnote w:id="3">
    <w:p w:rsidR="00947253" w:rsidRPr="00F75D86" w:rsidRDefault="00947253">
      <w:pPr>
        <w:pStyle w:val="Textonotapie"/>
      </w:pPr>
    </w:p>
  </w:footnote>
  <w:footnote w:id="4">
    <w:p w:rsidR="00947253" w:rsidRPr="00947253" w:rsidRDefault="00947253">
      <w:pPr>
        <w:pStyle w:val="Textonotapie"/>
        <w:rPr>
          <w:lang w:val="es-C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7300"/>
    <w:multiLevelType w:val="hybridMultilevel"/>
    <w:tmpl w:val="2F8C5E2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B8244B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2C0739B7"/>
    <w:multiLevelType w:val="hybridMultilevel"/>
    <w:tmpl w:val="66CE843E"/>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360B108B"/>
    <w:multiLevelType w:val="hybridMultilevel"/>
    <w:tmpl w:val="06E6EF0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FCB7FEF"/>
    <w:multiLevelType w:val="multilevel"/>
    <w:tmpl w:val="C43228E2"/>
    <w:lvl w:ilvl="0">
      <w:start w:val="1"/>
      <w:numFmt w:val="decimal"/>
      <w:lvlText w:val="%1."/>
      <w:lvlJc w:val="left"/>
      <w:pPr>
        <w:tabs>
          <w:tab w:val="num" w:pos="720"/>
        </w:tabs>
        <w:ind w:left="720" w:hanging="360"/>
      </w:pPr>
      <w:rPr>
        <w:rFonts w:hint="default"/>
        <w:b/>
      </w:rPr>
    </w:lvl>
    <w:lvl w:ilvl="1">
      <w:start w:val="6"/>
      <w:numFmt w:val="decimal"/>
      <w:lvlText w:val="%1.%2."/>
      <w:lvlJc w:val="left"/>
      <w:pPr>
        <w:tabs>
          <w:tab w:val="num" w:pos="720"/>
        </w:tabs>
        <w:ind w:left="720" w:hanging="54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5">
    <w:nsid w:val="68FD79EE"/>
    <w:multiLevelType w:val="hybridMultilevel"/>
    <w:tmpl w:val="5204EA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onotype Corsiv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onotype Corsiv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onotype Corsiv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C513133"/>
    <w:multiLevelType w:val="hybridMultilevel"/>
    <w:tmpl w:val="46B87F76"/>
    <w:lvl w:ilvl="0" w:tplc="AED6D3F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708"/>
  <w:hyphenationZone w:val="425"/>
  <w:noPunctuationKerning/>
  <w:characterSpacingControl w:val="doNotCompress"/>
  <w:footnotePr>
    <w:footnote w:id="0"/>
    <w:footnote w:id="1"/>
  </w:footnotePr>
  <w:endnotePr>
    <w:endnote w:id="0"/>
    <w:endnote w:id="1"/>
  </w:endnotePr>
  <w:compat/>
  <w:rsids>
    <w:rsidRoot w:val="005F2C7D"/>
    <w:rsid w:val="00040373"/>
    <w:rsid w:val="00057960"/>
    <w:rsid w:val="00075EB9"/>
    <w:rsid w:val="000C2015"/>
    <w:rsid w:val="000D3B6E"/>
    <w:rsid w:val="001126F7"/>
    <w:rsid w:val="00144189"/>
    <w:rsid w:val="00160DD8"/>
    <w:rsid w:val="002010C6"/>
    <w:rsid w:val="0023099A"/>
    <w:rsid w:val="00240962"/>
    <w:rsid w:val="002454BB"/>
    <w:rsid w:val="002921DE"/>
    <w:rsid w:val="00297641"/>
    <w:rsid w:val="002A3F01"/>
    <w:rsid w:val="002D6C78"/>
    <w:rsid w:val="0030077C"/>
    <w:rsid w:val="00311A18"/>
    <w:rsid w:val="00320638"/>
    <w:rsid w:val="00321459"/>
    <w:rsid w:val="00330C12"/>
    <w:rsid w:val="00330C89"/>
    <w:rsid w:val="00356A7E"/>
    <w:rsid w:val="0036148B"/>
    <w:rsid w:val="00390750"/>
    <w:rsid w:val="003910DF"/>
    <w:rsid w:val="004006A0"/>
    <w:rsid w:val="00420416"/>
    <w:rsid w:val="0042198C"/>
    <w:rsid w:val="004267D9"/>
    <w:rsid w:val="0043393B"/>
    <w:rsid w:val="00473F2E"/>
    <w:rsid w:val="00476D2E"/>
    <w:rsid w:val="00484F06"/>
    <w:rsid w:val="00504A79"/>
    <w:rsid w:val="00512478"/>
    <w:rsid w:val="005235EB"/>
    <w:rsid w:val="00533581"/>
    <w:rsid w:val="0056411E"/>
    <w:rsid w:val="00595486"/>
    <w:rsid w:val="00596082"/>
    <w:rsid w:val="005B3DED"/>
    <w:rsid w:val="005F2C7D"/>
    <w:rsid w:val="006144DA"/>
    <w:rsid w:val="00636E2A"/>
    <w:rsid w:val="0064214D"/>
    <w:rsid w:val="00670218"/>
    <w:rsid w:val="006B11B6"/>
    <w:rsid w:val="006C003D"/>
    <w:rsid w:val="006C4F8C"/>
    <w:rsid w:val="006E30D7"/>
    <w:rsid w:val="00711E5F"/>
    <w:rsid w:val="007227D1"/>
    <w:rsid w:val="007229BF"/>
    <w:rsid w:val="00732C6F"/>
    <w:rsid w:val="00741123"/>
    <w:rsid w:val="007737EA"/>
    <w:rsid w:val="00781345"/>
    <w:rsid w:val="007906F3"/>
    <w:rsid w:val="00797756"/>
    <w:rsid w:val="007A0125"/>
    <w:rsid w:val="007A7B8C"/>
    <w:rsid w:val="007C34E4"/>
    <w:rsid w:val="007C7098"/>
    <w:rsid w:val="00810DE2"/>
    <w:rsid w:val="00865AC3"/>
    <w:rsid w:val="00894C3E"/>
    <w:rsid w:val="008A0372"/>
    <w:rsid w:val="008F3420"/>
    <w:rsid w:val="0090189E"/>
    <w:rsid w:val="00906D71"/>
    <w:rsid w:val="00910840"/>
    <w:rsid w:val="00947253"/>
    <w:rsid w:val="009B35BD"/>
    <w:rsid w:val="009D4821"/>
    <w:rsid w:val="009F7560"/>
    <w:rsid w:val="00A1177D"/>
    <w:rsid w:val="00A414BF"/>
    <w:rsid w:val="00B07E9A"/>
    <w:rsid w:val="00B27E55"/>
    <w:rsid w:val="00B55CD7"/>
    <w:rsid w:val="00B7265F"/>
    <w:rsid w:val="00B73EA2"/>
    <w:rsid w:val="00BA435A"/>
    <w:rsid w:val="00C03E54"/>
    <w:rsid w:val="00C13EE6"/>
    <w:rsid w:val="00C54EB9"/>
    <w:rsid w:val="00C73E40"/>
    <w:rsid w:val="00CE3B67"/>
    <w:rsid w:val="00CF7748"/>
    <w:rsid w:val="00D024D4"/>
    <w:rsid w:val="00D15A71"/>
    <w:rsid w:val="00D83B55"/>
    <w:rsid w:val="00DB2C33"/>
    <w:rsid w:val="00DB6238"/>
    <w:rsid w:val="00DC4978"/>
    <w:rsid w:val="00E32378"/>
    <w:rsid w:val="00E54A4A"/>
    <w:rsid w:val="00E60631"/>
    <w:rsid w:val="00E61A79"/>
    <w:rsid w:val="00E86F12"/>
    <w:rsid w:val="00EB4262"/>
    <w:rsid w:val="00ED7843"/>
    <w:rsid w:val="00F21376"/>
    <w:rsid w:val="00F3117D"/>
    <w:rsid w:val="00F420CD"/>
    <w:rsid w:val="00F75D86"/>
    <w:rsid w:val="00F90864"/>
    <w:rsid w:val="00FA5959"/>
    <w:rsid w:val="00FA5B95"/>
    <w:rsid w:val="00FB5324"/>
    <w:rsid w:val="00FE30C9"/>
    <w:rsid w:val="00FE73C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E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732C6F"/>
    <w:rPr>
      <w:color w:val="0000FF"/>
      <w:u w:val="single"/>
    </w:rPr>
  </w:style>
  <w:style w:type="paragraph" w:styleId="NormalWeb">
    <w:name w:val="Normal (Web)"/>
    <w:basedOn w:val="Normal"/>
    <w:rsid w:val="00732C6F"/>
    <w:pPr>
      <w:spacing w:before="100" w:beforeAutospacing="1" w:after="100" w:afterAutospacing="1"/>
    </w:pPr>
  </w:style>
  <w:style w:type="paragraph" w:customStyle="1" w:styleId="NormalWeb1">
    <w:name w:val="Normal (Web)1"/>
    <w:basedOn w:val="Normal"/>
    <w:rsid w:val="008F3420"/>
    <w:pPr>
      <w:spacing w:after="100"/>
    </w:pPr>
  </w:style>
  <w:style w:type="table" w:styleId="Tablabsica1">
    <w:name w:val="Table Simple 1"/>
    <w:basedOn w:val="Tablanormal"/>
    <w:rsid w:val="007229B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ncabezado">
    <w:name w:val="header"/>
    <w:basedOn w:val="Normal"/>
    <w:rsid w:val="009D4821"/>
    <w:pPr>
      <w:tabs>
        <w:tab w:val="center" w:pos="4252"/>
        <w:tab w:val="right" w:pos="8504"/>
      </w:tabs>
    </w:pPr>
  </w:style>
  <w:style w:type="paragraph" w:styleId="Piedepgina">
    <w:name w:val="footer"/>
    <w:basedOn w:val="Normal"/>
    <w:rsid w:val="009D4821"/>
    <w:pPr>
      <w:tabs>
        <w:tab w:val="center" w:pos="4252"/>
        <w:tab w:val="right" w:pos="8504"/>
      </w:tabs>
    </w:pPr>
  </w:style>
  <w:style w:type="character" w:styleId="CitaHTML">
    <w:name w:val="HTML Cite"/>
    <w:basedOn w:val="Fuentedeprrafopredeter"/>
    <w:rsid w:val="004267D9"/>
    <w:rPr>
      <w:i/>
      <w:iCs/>
    </w:rPr>
  </w:style>
  <w:style w:type="paragraph" w:styleId="Textodeglobo">
    <w:name w:val="Balloon Text"/>
    <w:basedOn w:val="Normal"/>
    <w:link w:val="TextodegloboCar"/>
    <w:uiPriority w:val="99"/>
    <w:semiHidden/>
    <w:unhideWhenUsed/>
    <w:rsid w:val="00356A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A7E"/>
    <w:rPr>
      <w:rFonts w:ascii="Tahoma" w:hAnsi="Tahoma" w:cs="Tahoma"/>
      <w:sz w:val="16"/>
      <w:szCs w:val="16"/>
      <w:lang w:val="es-ES" w:eastAsia="es-ES"/>
    </w:rPr>
  </w:style>
  <w:style w:type="paragraph" w:styleId="Textonotapie">
    <w:name w:val="footnote text"/>
    <w:basedOn w:val="Normal"/>
    <w:link w:val="TextonotapieCar"/>
    <w:uiPriority w:val="99"/>
    <w:semiHidden/>
    <w:unhideWhenUsed/>
    <w:rsid w:val="00947253"/>
    <w:rPr>
      <w:sz w:val="20"/>
      <w:szCs w:val="20"/>
    </w:rPr>
  </w:style>
  <w:style w:type="character" w:customStyle="1" w:styleId="TextonotapieCar">
    <w:name w:val="Texto nota pie Car"/>
    <w:basedOn w:val="Fuentedeprrafopredeter"/>
    <w:link w:val="Textonotapie"/>
    <w:uiPriority w:val="99"/>
    <w:semiHidden/>
    <w:rsid w:val="00947253"/>
    <w:rPr>
      <w:lang w:val="es-ES" w:eastAsia="es-ES"/>
    </w:rPr>
  </w:style>
  <w:style w:type="character" w:styleId="Refdenotaalpie">
    <w:name w:val="footnote reference"/>
    <w:basedOn w:val="Fuentedeprrafopredeter"/>
    <w:uiPriority w:val="99"/>
    <w:semiHidden/>
    <w:unhideWhenUsed/>
    <w:rsid w:val="00947253"/>
    <w:rPr>
      <w:vertAlign w:val="superscript"/>
    </w:rPr>
  </w:style>
</w:styles>
</file>

<file path=word/webSettings.xml><?xml version="1.0" encoding="utf-8"?>
<w:webSettings xmlns:r="http://schemas.openxmlformats.org/officeDocument/2006/relationships" xmlns:w="http://schemas.openxmlformats.org/wordprocessingml/2006/main">
  <w:divs>
    <w:div w:id="250823005">
      <w:bodyDiv w:val="1"/>
      <w:marLeft w:val="0"/>
      <w:marRight w:val="0"/>
      <w:marTop w:val="0"/>
      <w:marBottom w:val="0"/>
      <w:divBdr>
        <w:top w:val="none" w:sz="0" w:space="0" w:color="auto"/>
        <w:left w:val="none" w:sz="0" w:space="0" w:color="auto"/>
        <w:bottom w:val="none" w:sz="0" w:space="0" w:color="auto"/>
        <w:right w:val="none" w:sz="0" w:space="0" w:color="auto"/>
      </w:divBdr>
      <w:divsChild>
        <w:div w:id="816534477">
          <w:marLeft w:val="0"/>
          <w:marRight w:val="0"/>
          <w:marTop w:val="0"/>
          <w:marBottom w:val="0"/>
          <w:divBdr>
            <w:top w:val="none" w:sz="0" w:space="0" w:color="auto"/>
            <w:left w:val="none" w:sz="0" w:space="0" w:color="auto"/>
            <w:bottom w:val="none" w:sz="0" w:space="0" w:color="auto"/>
            <w:right w:val="none" w:sz="0" w:space="0" w:color="auto"/>
          </w:divBdr>
        </w:div>
      </w:divsChild>
    </w:div>
    <w:div w:id="1275871083">
      <w:bodyDiv w:val="1"/>
      <w:marLeft w:val="0"/>
      <w:marRight w:val="0"/>
      <w:marTop w:val="0"/>
      <w:marBottom w:val="0"/>
      <w:divBdr>
        <w:top w:val="none" w:sz="0" w:space="0" w:color="auto"/>
        <w:left w:val="none" w:sz="0" w:space="0" w:color="auto"/>
        <w:bottom w:val="none" w:sz="0" w:space="0" w:color="auto"/>
        <w:right w:val="none" w:sz="0" w:space="0" w:color="auto"/>
      </w:divBdr>
      <w:divsChild>
        <w:div w:id="266234179">
          <w:marLeft w:val="0"/>
          <w:marRight w:val="0"/>
          <w:marTop w:val="0"/>
          <w:marBottom w:val="0"/>
          <w:divBdr>
            <w:top w:val="none" w:sz="0" w:space="0" w:color="auto"/>
            <w:left w:val="none" w:sz="0" w:space="0" w:color="auto"/>
            <w:bottom w:val="none" w:sz="0" w:space="0" w:color="auto"/>
            <w:right w:val="none" w:sz="0" w:space="0" w:color="auto"/>
          </w:divBdr>
          <w:divsChild>
            <w:div w:id="409889219">
              <w:marLeft w:val="0"/>
              <w:marRight w:val="0"/>
              <w:marTop w:val="0"/>
              <w:marBottom w:val="0"/>
              <w:divBdr>
                <w:top w:val="none" w:sz="0" w:space="0" w:color="auto"/>
                <w:left w:val="none" w:sz="0" w:space="0" w:color="auto"/>
                <w:bottom w:val="none" w:sz="0" w:space="0" w:color="auto"/>
                <w:right w:val="none" w:sz="0" w:space="0" w:color="auto"/>
              </w:divBdr>
              <w:divsChild>
                <w:div w:id="11236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5738">
      <w:bodyDiv w:val="1"/>
      <w:marLeft w:val="0"/>
      <w:marRight w:val="0"/>
      <w:marTop w:val="0"/>
      <w:marBottom w:val="0"/>
      <w:divBdr>
        <w:top w:val="none" w:sz="0" w:space="0" w:color="auto"/>
        <w:left w:val="none" w:sz="0" w:space="0" w:color="auto"/>
        <w:bottom w:val="none" w:sz="0" w:space="0" w:color="auto"/>
        <w:right w:val="none" w:sz="0" w:space="0" w:color="auto"/>
      </w:divBdr>
      <w:divsChild>
        <w:div w:id="517237726">
          <w:marLeft w:val="0"/>
          <w:marRight w:val="0"/>
          <w:marTop w:val="0"/>
          <w:marBottom w:val="0"/>
          <w:divBdr>
            <w:top w:val="none" w:sz="0" w:space="0" w:color="auto"/>
            <w:left w:val="none" w:sz="0" w:space="0" w:color="auto"/>
            <w:bottom w:val="none" w:sz="0" w:space="0" w:color="auto"/>
            <w:right w:val="none" w:sz="0" w:space="0" w:color="auto"/>
          </w:divBdr>
          <w:divsChild>
            <w:div w:id="236594967">
              <w:marLeft w:val="0"/>
              <w:marRight w:val="0"/>
              <w:marTop w:val="0"/>
              <w:marBottom w:val="0"/>
              <w:divBdr>
                <w:top w:val="none" w:sz="0" w:space="0" w:color="auto"/>
                <w:left w:val="none" w:sz="0" w:space="0" w:color="auto"/>
                <w:bottom w:val="none" w:sz="0" w:space="0" w:color="auto"/>
                <w:right w:val="none" w:sz="0" w:space="0" w:color="auto"/>
              </w:divBdr>
              <w:divsChild>
                <w:div w:id="7418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6731">
      <w:bodyDiv w:val="1"/>
      <w:marLeft w:val="0"/>
      <w:marRight w:val="0"/>
      <w:marTop w:val="0"/>
      <w:marBottom w:val="0"/>
      <w:divBdr>
        <w:top w:val="none" w:sz="0" w:space="0" w:color="auto"/>
        <w:left w:val="none" w:sz="0" w:space="0" w:color="auto"/>
        <w:bottom w:val="none" w:sz="0" w:space="0" w:color="auto"/>
        <w:right w:val="none" w:sz="0" w:space="0" w:color="auto"/>
      </w:divBdr>
      <w:divsChild>
        <w:div w:id="144010934">
          <w:marLeft w:val="0"/>
          <w:marRight w:val="0"/>
          <w:marTop w:val="0"/>
          <w:marBottom w:val="0"/>
          <w:divBdr>
            <w:top w:val="none" w:sz="0" w:space="0" w:color="auto"/>
            <w:left w:val="none" w:sz="0" w:space="0" w:color="auto"/>
            <w:bottom w:val="none" w:sz="0" w:space="0" w:color="auto"/>
            <w:right w:val="none" w:sz="0" w:space="0" w:color="auto"/>
          </w:divBdr>
          <w:divsChild>
            <w:div w:id="20202891">
              <w:marLeft w:val="0"/>
              <w:marRight w:val="0"/>
              <w:marTop w:val="0"/>
              <w:marBottom w:val="0"/>
              <w:divBdr>
                <w:top w:val="none" w:sz="0" w:space="0" w:color="auto"/>
                <w:left w:val="none" w:sz="0" w:space="0" w:color="auto"/>
                <w:bottom w:val="none" w:sz="0" w:space="0" w:color="auto"/>
                <w:right w:val="none" w:sz="0" w:space="0" w:color="auto"/>
              </w:divBdr>
              <w:divsChild>
                <w:div w:id="1847745249">
                  <w:marLeft w:val="0"/>
                  <w:marRight w:val="0"/>
                  <w:marTop w:val="0"/>
                  <w:marBottom w:val="0"/>
                  <w:divBdr>
                    <w:top w:val="none" w:sz="0" w:space="0" w:color="auto"/>
                    <w:left w:val="none" w:sz="0" w:space="0" w:color="auto"/>
                    <w:bottom w:val="none" w:sz="0" w:space="0" w:color="auto"/>
                    <w:right w:val="none" w:sz="0" w:space="0" w:color="auto"/>
                  </w:divBdr>
                  <w:divsChild>
                    <w:div w:id="17944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22423">
      <w:bodyDiv w:val="1"/>
      <w:marLeft w:val="0"/>
      <w:marRight w:val="0"/>
      <w:marTop w:val="0"/>
      <w:marBottom w:val="0"/>
      <w:divBdr>
        <w:top w:val="none" w:sz="0" w:space="0" w:color="auto"/>
        <w:left w:val="none" w:sz="0" w:space="0" w:color="auto"/>
        <w:bottom w:val="none" w:sz="0" w:space="0" w:color="auto"/>
        <w:right w:val="none" w:sz="0" w:space="0" w:color="auto"/>
      </w:divBdr>
      <w:divsChild>
        <w:div w:id="4075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Agricultura_y_Ganaderia/index.s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celula/celula.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genetica/genetica.shtml" TargetMode="External"/><Relationship Id="rId5" Type="http://schemas.openxmlformats.org/officeDocument/2006/relationships/webSettings" Target="webSettings.xml"/><Relationship Id="rId15" Type="http://schemas.openxmlformats.org/officeDocument/2006/relationships/hyperlink" Target="http://www.monografias.com/trabajos14/dinamica-grupos/dinamica-grupos.shtml" TargetMode="External"/><Relationship Id="rId10" Type="http://schemas.openxmlformats.org/officeDocument/2006/relationships/hyperlink" Target="http://www.monografias.com/trabajos11/contabm/contabm.shtml" TargetMode="External"/><Relationship Id="rId4" Type="http://schemas.openxmlformats.org/officeDocument/2006/relationships/settings" Target="settings.xml"/><Relationship Id="rId9" Type="http://schemas.openxmlformats.org/officeDocument/2006/relationships/hyperlink" Target="http://www.monografias.com/trabajos16/estrategia-produccion/estrategia-produccion.shtml" TargetMode="External"/><Relationship Id="rId14" Type="http://schemas.openxmlformats.org/officeDocument/2006/relationships/hyperlink" Target="http://www.monografias.com/trabajos/bacterias/bacterias.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ttejeda@inca.edu.cu" TargetMode="External"/><Relationship Id="rId2" Type="http://schemas.openxmlformats.org/officeDocument/2006/relationships/hyperlink" Target="mailto:fefita@inca.edu.cu" TargetMode="External"/><Relationship Id="rId1" Type="http://schemas.openxmlformats.org/officeDocument/2006/relationships/hyperlink" Target="mailto:terry@inca.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E5B4-21B0-4F57-B3A7-F3AAE997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2897</Words>
  <Characters>15936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Respuesta del cultivo del tomate (Solanum esculentum Mill) a la aplicación de un bioproducto a base de Pseudomona aeruginosa</vt:lpstr>
    </vt:vector>
  </TitlesOfParts>
  <Company>COPEXTEL</Company>
  <LinksUpToDate>false</LinksUpToDate>
  <CharactersWithSpaces>18796</CharactersWithSpaces>
  <SharedDoc>false</SharedDoc>
  <HLinks>
    <vt:vector size="60" baseType="variant">
      <vt:variant>
        <vt:i4>3866737</vt:i4>
      </vt:variant>
      <vt:variant>
        <vt:i4>18</vt:i4>
      </vt:variant>
      <vt:variant>
        <vt:i4>0</vt:i4>
      </vt:variant>
      <vt:variant>
        <vt:i4>5</vt:i4>
      </vt:variant>
      <vt:variant>
        <vt:lpwstr>http://www.monografias.com/trabajos14/dinamica-grupos/dinamica-grupos.shtml</vt:lpwstr>
      </vt:variant>
      <vt:variant>
        <vt:lpwstr/>
      </vt:variant>
      <vt:variant>
        <vt:i4>655429</vt:i4>
      </vt:variant>
      <vt:variant>
        <vt:i4>15</vt:i4>
      </vt:variant>
      <vt:variant>
        <vt:i4>0</vt:i4>
      </vt:variant>
      <vt:variant>
        <vt:i4>5</vt:i4>
      </vt:variant>
      <vt:variant>
        <vt:lpwstr>http://www.monografias.com/trabajos/bacterias/bacterias.shtml</vt:lpwstr>
      </vt:variant>
      <vt:variant>
        <vt:lpwstr/>
      </vt:variant>
      <vt:variant>
        <vt:i4>3604600</vt:i4>
      </vt:variant>
      <vt:variant>
        <vt:i4>12</vt:i4>
      </vt:variant>
      <vt:variant>
        <vt:i4>0</vt:i4>
      </vt:variant>
      <vt:variant>
        <vt:i4>5</vt:i4>
      </vt:variant>
      <vt:variant>
        <vt:lpwstr>http://www.monografias.com/trabajos/celula/celula.shtml</vt:lpwstr>
      </vt:variant>
      <vt:variant>
        <vt:lpwstr/>
      </vt:variant>
      <vt:variant>
        <vt:i4>3342460</vt:i4>
      </vt:variant>
      <vt:variant>
        <vt:i4>9</vt:i4>
      </vt:variant>
      <vt:variant>
        <vt:i4>0</vt:i4>
      </vt:variant>
      <vt:variant>
        <vt:i4>5</vt:i4>
      </vt:variant>
      <vt:variant>
        <vt:lpwstr>http://www.monografias.com/trabajos/genetica/genetica.shtml</vt:lpwstr>
      </vt:variant>
      <vt:variant>
        <vt:lpwstr/>
      </vt:variant>
      <vt:variant>
        <vt:i4>3866740</vt:i4>
      </vt:variant>
      <vt:variant>
        <vt:i4>6</vt:i4>
      </vt:variant>
      <vt:variant>
        <vt:i4>0</vt:i4>
      </vt:variant>
      <vt:variant>
        <vt:i4>5</vt:i4>
      </vt:variant>
      <vt:variant>
        <vt:lpwstr>http://www.monografias.com/trabajos11/contabm/contabm.shtml</vt:lpwstr>
      </vt:variant>
      <vt:variant>
        <vt:lpwstr/>
      </vt:variant>
      <vt:variant>
        <vt:i4>3866739</vt:i4>
      </vt:variant>
      <vt:variant>
        <vt:i4>3</vt:i4>
      </vt:variant>
      <vt:variant>
        <vt:i4>0</vt:i4>
      </vt:variant>
      <vt:variant>
        <vt:i4>5</vt:i4>
      </vt:variant>
      <vt:variant>
        <vt:lpwstr>http://www.monografias.com/trabajos16/estrategia-produccion/estrategia-produccion.shtml</vt:lpwstr>
      </vt:variant>
      <vt:variant>
        <vt:lpwstr/>
      </vt:variant>
      <vt:variant>
        <vt:i4>2818101</vt:i4>
      </vt:variant>
      <vt:variant>
        <vt:i4>0</vt:i4>
      </vt:variant>
      <vt:variant>
        <vt:i4>0</vt:i4>
      </vt:variant>
      <vt:variant>
        <vt:i4>5</vt:i4>
      </vt:variant>
      <vt:variant>
        <vt:lpwstr>http://www.monografias.com/Agricultura_y_Ganaderia/index.shtml</vt:lpwstr>
      </vt:variant>
      <vt:variant>
        <vt:lpwstr/>
      </vt:variant>
      <vt:variant>
        <vt:i4>7077900</vt:i4>
      </vt:variant>
      <vt:variant>
        <vt:i4>6</vt:i4>
      </vt:variant>
      <vt:variant>
        <vt:i4>0</vt:i4>
      </vt:variant>
      <vt:variant>
        <vt:i4>5</vt:i4>
      </vt:variant>
      <vt:variant>
        <vt:lpwstr>mailto:ttejeda@inca.edu.cu</vt:lpwstr>
      </vt:variant>
      <vt:variant>
        <vt:lpwstr/>
      </vt:variant>
      <vt:variant>
        <vt:i4>2752585</vt:i4>
      </vt:variant>
      <vt:variant>
        <vt:i4>3</vt:i4>
      </vt:variant>
      <vt:variant>
        <vt:i4>0</vt:i4>
      </vt:variant>
      <vt:variant>
        <vt:i4>5</vt:i4>
      </vt:variant>
      <vt:variant>
        <vt:lpwstr>mailto:fefita@inca.edu.cu</vt:lpwstr>
      </vt:variant>
      <vt:variant>
        <vt:lpwstr/>
      </vt:variant>
      <vt:variant>
        <vt:i4>393313</vt:i4>
      </vt:variant>
      <vt:variant>
        <vt:i4>0</vt:i4>
      </vt:variant>
      <vt:variant>
        <vt:i4>0</vt:i4>
      </vt:variant>
      <vt:variant>
        <vt:i4>5</vt:i4>
      </vt:variant>
      <vt:variant>
        <vt:lpwstr>mailto:terry@inca.edu.cu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del cultivo del tomate (Solanum esculentum Mill) a la aplicación de un bioproducto a base de Pseudomona aeruginosa</dc:title>
  <dc:subject/>
  <dc:creator>terry</dc:creator>
  <cp:keywords/>
  <dc:description/>
  <cp:lastModifiedBy>adm_corbi</cp:lastModifiedBy>
  <cp:revision>3</cp:revision>
  <dcterms:created xsi:type="dcterms:W3CDTF">2010-07-15T19:31:00Z</dcterms:created>
  <dcterms:modified xsi:type="dcterms:W3CDTF">2010-07-15T19:31:00Z</dcterms:modified>
</cp:coreProperties>
</file>