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8EA" w:rsidRPr="00AA08EA" w:rsidRDefault="00AA08EA" w:rsidP="00AA08EA">
      <w:pPr>
        <w:jc w:val="both"/>
        <w:rPr>
          <w:b/>
          <w:lang w:val="es-AR"/>
        </w:rPr>
      </w:pPr>
      <w:r w:rsidRPr="00AA08EA">
        <w:rPr>
          <w:b/>
          <w:lang w:val="es-AR"/>
        </w:rPr>
        <w:t xml:space="preserve">Importancia del aislamiento y del rango de concentración de conidias en el efecto de </w:t>
      </w:r>
      <w:r w:rsidRPr="00AA08EA">
        <w:rPr>
          <w:b/>
          <w:i/>
          <w:iCs/>
          <w:lang w:val="es-AR"/>
        </w:rPr>
        <w:t>Trichoderma asperellum</w:t>
      </w:r>
      <w:r w:rsidRPr="00AA08EA">
        <w:rPr>
          <w:b/>
          <w:lang w:val="es-AR"/>
        </w:rPr>
        <w:t xml:space="preserve"> sobre el crecimiento de plántulas de </w:t>
      </w:r>
      <w:r w:rsidRPr="00AA08EA">
        <w:rPr>
          <w:b/>
          <w:i/>
          <w:iCs/>
          <w:lang w:val="es-AR"/>
        </w:rPr>
        <w:t>Solanum lycopersicum L.</w:t>
      </w:r>
    </w:p>
    <w:p w:rsidR="00AA08EA" w:rsidRDefault="00AA08EA" w:rsidP="00AA08EA">
      <w:pPr>
        <w:jc w:val="both"/>
        <w:rPr>
          <w:lang w:val="es-MX"/>
        </w:rPr>
      </w:pPr>
    </w:p>
    <w:p w:rsidR="00AA08EA" w:rsidRDefault="00AA08EA" w:rsidP="00AA08EA">
      <w:pPr>
        <w:jc w:val="both"/>
        <w:rPr>
          <w:lang w:val="en-GB"/>
        </w:rPr>
      </w:pPr>
      <w:proofErr w:type="gramStart"/>
      <w:r w:rsidRPr="00466C54">
        <w:rPr>
          <w:lang w:val="en-GB"/>
        </w:rPr>
        <w:t xml:space="preserve">Importance of strain and concentration range of conidia </w:t>
      </w:r>
      <w:r w:rsidRPr="001E40C5">
        <w:rPr>
          <w:lang w:val="en-GB"/>
        </w:rPr>
        <w:t xml:space="preserve">in the </w:t>
      </w:r>
      <w:r w:rsidRPr="00AA08EA">
        <w:rPr>
          <w:lang w:val="en-US"/>
        </w:rPr>
        <w:t xml:space="preserve">effect of </w:t>
      </w:r>
      <w:r w:rsidRPr="00AA08EA">
        <w:rPr>
          <w:i/>
          <w:lang w:val="en-US"/>
        </w:rPr>
        <w:t>Trichoderma asperellum</w:t>
      </w:r>
      <w:r w:rsidRPr="00AA08EA">
        <w:rPr>
          <w:lang w:val="en-US"/>
        </w:rPr>
        <w:t xml:space="preserve"> on the growth of tomato seedlings </w:t>
      </w:r>
      <w:r w:rsidRPr="00740C37">
        <w:rPr>
          <w:i/>
          <w:iCs/>
          <w:lang w:val="en-GB"/>
        </w:rPr>
        <w:t>Solanum lycopersicum</w:t>
      </w:r>
      <w:r w:rsidRPr="00740C37">
        <w:rPr>
          <w:lang w:val="en-GB"/>
        </w:rPr>
        <w:t xml:space="preserve"> L.</w:t>
      </w:r>
      <w:proofErr w:type="gramEnd"/>
      <w:r w:rsidRPr="00740C37">
        <w:rPr>
          <w:lang w:val="en-GB"/>
        </w:rPr>
        <w:t xml:space="preserve"> </w:t>
      </w:r>
    </w:p>
    <w:p w:rsidR="00AA08EA" w:rsidRDefault="00AA08EA" w:rsidP="00AA08EA">
      <w:pPr>
        <w:jc w:val="both"/>
        <w:rPr>
          <w:lang w:val="en-GB"/>
        </w:rPr>
      </w:pPr>
    </w:p>
    <w:p w:rsidR="006A75FD" w:rsidRDefault="005D516E" w:rsidP="006A75FD">
      <w:pPr>
        <w:jc w:val="both"/>
        <w:rPr>
          <w:lang w:val="es-AR"/>
        </w:rPr>
      </w:pPr>
      <w:r w:rsidRPr="006A75FD">
        <w:rPr>
          <w:lang w:val="es-AR"/>
        </w:rPr>
        <w:t xml:space="preserve">Sonia Elena Gómez Ramírez, </w:t>
      </w:r>
      <w:r w:rsidR="006A75FD" w:rsidRPr="0085458A">
        <w:rPr>
          <w:bCs/>
          <w:lang w:val="es-ES"/>
        </w:rPr>
        <w:t xml:space="preserve">Grupo BioDes, Departamento de Ciencias Agronómicas, Universidad Nacional de Colombia, </w:t>
      </w:r>
      <w:r w:rsidR="006A75FD" w:rsidRPr="0085458A">
        <w:rPr>
          <w:lang w:val="es-MX" w:eastAsia="en-US"/>
        </w:rPr>
        <w:t>Calle 59a 20-63, Medellín, Colombia</w:t>
      </w:r>
      <w:r w:rsidR="006A75FD">
        <w:rPr>
          <w:lang w:val="es-MX" w:eastAsia="en-US"/>
        </w:rPr>
        <w:t>.</w:t>
      </w:r>
      <w:r w:rsidR="006A75FD" w:rsidRPr="006A75FD">
        <w:rPr>
          <w:lang w:val="es-AR"/>
        </w:rPr>
        <w:t xml:space="preserve"> </w:t>
      </w:r>
      <w:r w:rsidR="006A75FD" w:rsidRPr="00FB5684">
        <w:rPr>
          <w:lang w:val="es-AR"/>
        </w:rPr>
        <w:t>segomezr@yahoo.es</w:t>
      </w:r>
    </w:p>
    <w:p w:rsidR="006A75FD" w:rsidRPr="006A75FD" w:rsidRDefault="006A75FD" w:rsidP="005D516E">
      <w:pPr>
        <w:jc w:val="both"/>
        <w:rPr>
          <w:lang w:val="es-MX"/>
        </w:rPr>
      </w:pPr>
    </w:p>
    <w:p w:rsidR="006A75FD" w:rsidRDefault="005D516E" w:rsidP="005D516E">
      <w:pPr>
        <w:jc w:val="both"/>
        <w:rPr>
          <w:lang w:val="es-AR"/>
        </w:rPr>
      </w:pPr>
      <w:r w:rsidRPr="006A75FD">
        <w:rPr>
          <w:color w:val="000000"/>
          <w:lang w:val="es-AR"/>
        </w:rPr>
        <w:t>Elizabeth</w:t>
      </w:r>
      <w:r w:rsidRPr="006A75FD" w:rsidDel="000B2B6C">
        <w:rPr>
          <w:color w:val="000000"/>
          <w:lang w:val="es-AR"/>
        </w:rPr>
        <w:t xml:space="preserve"> </w:t>
      </w:r>
      <w:r w:rsidRPr="006A75FD">
        <w:rPr>
          <w:color w:val="000000"/>
          <w:lang w:val="es-AR"/>
        </w:rPr>
        <w:t xml:space="preserve">Gilchrist Ramelli, </w:t>
      </w:r>
      <w:r w:rsidR="006A75FD" w:rsidRPr="0085458A">
        <w:rPr>
          <w:bCs/>
          <w:lang w:val="es-ES"/>
        </w:rPr>
        <w:t xml:space="preserve">Grupo BioDes, Departamento de Ciencias Agronómicas, Universidad Nacional de Colombia, </w:t>
      </w:r>
      <w:r w:rsidR="006A75FD" w:rsidRPr="0085458A">
        <w:rPr>
          <w:lang w:val="es-MX" w:eastAsia="en-US"/>
        </w:rPr>
        <w:t>Calle 59a 20-63, Medellín, Colombia</w:t>
      </w:r>
      <w:r w:rsidR="006A75FD">
        <w:rPr>
          <w:lang w:val="es-MX" w:eastAsia="en-US"/>
        </w:rPr>
        <w:t>.</w:t>
      </w:r>
      <w:r w:rsidR="006A75FD">
        <w:rPr>
          <w:lang w:val="es-AR"/>
        </w:rPr>
        <w:t xml:space="preserve"> </w:t>
      </w:r>
      <w:r w:rsidR="006A75FD" w:rsidRPr="00FB5684">
        <w:rPr>
          <w:lang w:val="es-AR"/>
        </w:rPr>
        <w:t>elygilchrist@hotmail.com</w:t>
      </w:r>
    </w:p>
    <w:p w:rsidR="006A75FD" w:rsidRDefault="006A75FD" w:rsidP="005D516E">
      <w:pPr>
        <w:jc w:val="both"/>
        <w:rPr>
          <w:color w:val="000000"/>
          <w:lang w:val="es-AR"/>
        </w:rPr>
      </w:pPr>
    </w:p>
    <w:p w:rsidR="005D516E" w:rsidRPr="006A75FD" w:rsidRDefault="005D516E" w:rsidP="005D516E">
      <w:pPr>
        <w:jc w:val="both"/>
        <w:rPr>
          <w:lang w:val="es-AR"/>
        </w:rPr>
      </w:pPr>
      <w:r w:rsidRPr="006A75FD">
        <w:rPr>
          <w:color w:val="000000"/>
          <w:lang w:val="es-AR"/>
        </w:rPr>
        <w:t>Sebastián Reynaldi</w:t>
      </w:r>
      <w:r w:rsidR="006A75FD" w:rsidRPr="006A75FD">
        <w:rPr>
          <w:color w:val="000000"/>
          <w:lang w:val="es-AR"/>
        </w:rPr>
        <w:t xml:space="preserve"> </w:t>
      </w:r>
      <w:r w:rsidR="006A75FD" w:rsidRPr="0085458A">
        <w:rPr>
          <w:bCs/>
          <w:lang w:val="es-ES"/>
        </w:rPr>
        <w:t xml:space="preserve">Grupo BioDes, Departamento de Ciencias Agronómicas, Universidad Nacional de Colombia, </w:t>
      </w:r>
      <w:r w:rsidR="006A75FD" w:rsidRPr="0085458A">
        <w:rPr>
          <w:lang w:val="es-MX" w:eastAsia="en-US"/>
        </w:rPr>
        <w:t>Calle 59a 20-63, Medellín, Colombia</w:t>
      </w:r>
      <w:r w:rsidR="006A75FD">
        <w:rPr>
          <w:lang w:val="es-MX" w:eastAsia="en-US"/>
        </w:rPr>
        <w:t>.</w:t>
      </w:r>
      <w:r w:rsidR="006A75FD" w:rsidRPr="006A75FD">
        <w:rPr>
          <w:lang w:val="es-AR"/>
        </w:rPr>
        <w:t xml:space="preserve"> </w:t>
      </w:r>
      <w:r w:rsidR="006A75FD" w:rsidRPr="00FB5684">
        <w:rPr>
          <w:lang w:val="es-AR"/>
        </w:rPr>
        <w:t>sreynaldi@unal.edu.co</w:t>
      </w:r>
    </w:p>
    <w:p w:rsidR="005D516E" w:rsidRPr="0085458A" w:rsidRDefault="005D516E" w:rsidP="005D516E">
      <w:pPr>
        <w:jc w:val="both"/>
        <w:rPr>
          <w:bCs/>
          <w:lang w:val="pt-BR"/>
        </w:rPr>
      </w:pPr>
    </w:p>
    <w:p w:rsidR="00AA08EA" w:rsidRDefault="00AA08EA" w:rsidP="00AA08EA">
      <w:pPr>
        <w:pStyle w:val="Textoindependiente"/>
        <w:autoSpaceDE w:val="0"/>
        <w:spacing w:after="0"/>
        <w:jc w:val="both"/>
        <w:rPr>
          <w:b/>
          <w:lang w:val="es-AR"/>
        </w:rPr>
      </w:pPr>
      <w:r w:rsidRPr="00740C37">
        <w:rPr>
          <w:b/>
          <w:lang w:val="es-AR"/>
        </w:rPr>
        <w:t>Resumen</w:t>
      </w:r>
    </w:p>
    <w:p w:rsidR="00AA08EA" w:rsidRDefault="00AA08EA" w:rsidP="00AA08EA">
      <w:pPr>
        <w:pStyle w:val="Textoindependiente"/>
        <w:autoSpaceDE w:val="0"/>
        <w:spacing w:after="0"/>
        <w:jc w:val="both"/>
        <w:rPr>
          <w:lang w:val="es-AR"/>
        </w:rPr>
      </w:pPr>
    </w:p>
    <w:p w:rsidR="00AA08EA" w:rsidRDefault="00AA08EA" w:rsidP="00AA08EA">
      <w:pPr>
        <w:pStyle w:val="Textoindependiente"/>
        <w:autoSpaceDE w:val="0"/>
        <w:spacing w:after="0"/>
        <w:jc w:val="both"/>
        <w:rPr>
          <w:lang w:val="es-MX"/>
        </w:rPr>
      </w:pPr>
      <w:r w:rsidRPr="00740C37">
        <w:rPr>
          <w:lang w:val="es-AR"/>
        </w:rPr>
        <w:t xml:space="preserve">El crecimiento </w:t>
      </w:r>
      <w:r w:rsidRPr="00740C37">
        <w:rPr>
          <w:lang w:val="es-MX"/>
        </w:rPr>
        <w:t>longitudinal</w:t>
      </w:r>
      <w:r w:rsidRPr="00740C37">
        <w:rPr>
          <w:lang w:val="es-AR"/>
        </w:rPr>
        <w:t xml:space="preserve"> de tallos y raíces </w:t>
      </w:r>
      <w:r w:rsidRPr="00740C37">
        <w:rPr>
          <w:lang w:val="es-MX"/>
        </w:rPr>
        <w:t>fue investigado en plántulas de tomate (</w:t>
      </w:r>
      <w:r w:rsidRPr="00740C37">
        <w:rPr>
          <w:i/>
          <w:iCs/>
          <w:lang w:val="es-MX"/>
        </w:rPr>
        <w:t>Solanum lycopersicum</w:t>
      </w:r>
      <w:r w:rsidRPr="00740C37">
        <w:rPr>
          <w:lang w:val="es-MX"/>
        </w:rPr>
        <w:t xml:space="preserve"> L), luego de la aplicación de cuatro aislamientos de </w:t>
      </w:r>
      <w:r w:rsidRPr="00740C37">
        <w:rPr>
          <w:i/>
          <w:lang w:val="es-MX"/>
        </w:rPr>
        <w:t>Trichoderma asperellum</w:t>
      </w:r>
      <w:r w:rsidRPr="00740C37">
        <w:rPr>
          <w:iCs/>
          <w:lang w:val="es-MX"/>
        </w:rPr>
        <w:t>:</w:t>
      </w:r>
      <w:r w:rsidRPr="00740C37">
        <w:rPr>
          <w:i/>
          <w:lang w:val="es-MX"/>
        </w:rPr>
        <w:t xml:space="preserve"> </w:t>
      </w:r>
      <w:r w:rsidRPr="00740C37">
        <w:rPr>
          <w:lang w:val="es-MX"/>
        </w:rPr>
        <w:t>T25, T46, T84 y T109. Sólo la aplicación del aislamiento T109 causó un incremento significativo (</w:t>
      </w:r>
      <w:r w:rsidRPr="00740C37">
        <w:rPr>
          <w:i/>
          <w:lang w:val="es-MX"/>
        </w:rPr>
        <w:t xml:space="preserve">p </w:t>
      </w:r>
      <w:r w:rsidRPr="00740C37">
        <w:rPr>
          <w:lang w:val="es-MX"/>
        </w:rPr>
        <w:t>≤ 0,05) del crecimiento longitudinal de tallos y raíces. El peso seco de las plántulas también fue estimulado desde la primera semana luego de la aplicación de T109. El crecimiento fue estimulado significativamente (</w:t>
      </w:r>
      <w:r w:rsidRPr="00740C37">
        <w:rPr>
          <w:i/>
          <w:lang w:val="es-MX"/>
        </w:rPr>
        <w:t xml:space="preserve">p </w:t>
      </w:r>
      <w:r w:rsidRPr="00740C37">
        <w:rPr>
          <w:lang w:val="es-MX"/>
        </w:rPr>
        <w:t>≤ 0,05) por la aplicación de 10</w:t>
      </w:r>
      <w:r w:rsidRPr="00740C37">
        <w:rPr>
          <w:vertAlign w:val="superscript"/>
          <w:lang w:val="es-MX"/>
        </w:rPr>
        <w:t>5</w:t>
      </w:r>
      <w:r w:rsidRPr="00740C37">
        <w:rPr>
          <w:lang w:val="es-MX"/>
        </w:rPr>
        <w:t xml:space="preserve"> y 10</w:t>
      </w:r>
      <w:r w:rsidRPr="00740C37">
        <w:rPr>
          <w:vertAlign w:val="superscript"/>
          <w:lang w:val="es-MX"/>
        </w:rPr>
        <w:t>6</w:t>
      </w:r>
      <w:r w:rsidRPr="00740C37">
        <w:rPr>
          <w:lang w:val="es-MX"/>
        </w:rPr>
        <w:t xml:space="preserve"> conidias/ml, pero no lo fue por la aplicación de 10</w:t>
      </w:r>
      <w:r w:rsidRPr="00740C37">
        <w:rPr>
          <w:vertAlign w:val="superscript"/>
          <w:lang w:val="es-MX"/>
        </w:rPr>
        <w:t>4</w:t>
      </w:r>
      <w:r w:rsidRPr="00740C37">
        <w:rPr>
          <w:lang w:val="es-MX"/>
        </w:rPr>
        <w:t>, 10</w:t>
      </w:r>
      <w:r w:rsidRPr="00740C37">
        <w:rPr>
          <w:vertAlign w:val="superscript"/>
          <w:lang w:val="es-MX"/>
        </w:rPr>
        <w:t>7</w:t>
      </w:r>
      <w:r w:rsidRPr="00740C37">
        <w:rPr>
          <w:lang w:val="es-MX"/>
        </w:rPr>
        <w:t xml:space="preserve"> y 10</w:t>
      </w:r>
      <w:r w:rsidRPr="00740C37">
        <w:rPr>
          <w:vertAlign w:val="superscript"/>
          <w:lang w:val="es-MX"/>
        </w:rPr>
        <w:t>8</w:t>
      </w:r>
      <w:r w:rsidRPr="00740C37">
        <w:rPr>
          <w:lang w:val="es-MX"/>
        </w:rPr>
        <w:t xml:space="preserve"> conidias/ml. Estos resultados indican que el estímulo del crecimiento producido por </w:t>
      </w:r>
      <w:r w:rsidRPr="00740C37">
        <w:rPr>
          <w:i/>
          <w:lang w:val="es-MX"/>
        </w:rPr>
        <w:t>T. asperellum</w:t>
      </w:r>
      <w:r w:rsidRPr="00740C37" w:rsidDel="002E0A17">
        <w:rPr>
          <w:lang w:val="es-MX"/>
        </w:rPr>
        <w:t xml:space="preserve"> </w:t>
      </w:r>
      <w:r w:rsidRPr="00740C37">
        <w:rPr>
          <w:lang w:val="es-MX"/>
        </w:rPr>
        <w:t>en plántulas de tomate, sólo ocurre con aislamientos particulares y un rangos de concentración específicos.</w:t>
      </w:r>
    </w:p>
    <w:p w:rsidR="00AA08EA" w:rsidRDefault="00AA08EA" w:rsidP="00AA08EA">
      <w:pPr>
        <w:pStyle w:val="Textoindependiente"/>
        <w:autoSpaceDE w:val="0"/>
        <w:spacing w:after="0"/>
        <w:jc w:val="both"/>
        <w:rPr>
          <w:lang w:val="es-MX"/>
        </w:rPr>
      </w:pPr>
    </w:p>
    <w:p w:rsidR="00AA08EA" w:rsidRDefault="00AA08EA" w:rsidP="00AA08EA">
      <w:pPr>
        <w:tabs>
          <w:tab w:val="left" w:pos="3960"/>
        </w:tabs>
        <w:jc w:val="both"/>
        <w:rPr>
          <w:lang w:val="es-MX"/>
        </w:rPr>
      </w:pPr>
      <w:r w:rsidRPr="00AA08EA">
        <w:rPr>
          <w:b/>
          <w:lang w:val="es-MX"/>
        </w:rPr>
        <w:t>Palabras claves:</w:t>
      </w:r>
      <w:r w:rsidRPr="00F52C4A">
        <w:rPr>
          <w:lang w:val="es-MX"/>
        </w:rPr>
        <w:t xml:space="preserve"> </w:t>
      </w:r>
      <w:r w:rsidRPr="00F52C4A">
        <w:rPr>
          <w:i/>
          <w:lang w:val="es-MX"/>
        </w:rPr>
        <w:t>Trichoderma asperellum,</w:t>
      </w:r>
      <w:r w:rsidRPr="00F52C4A">
        <w:rPr>
          <w:lang w:val="es-MX"/>
        </w:rPr>
        <w:t xml:space="preserve"> Estímulo del crecimiento, Plántulas de tomate, Aislamientos de </w:t>
      </w:r>
      <w:r w:rsidRPr="0042422C">
        <w:rPr>
          <w:i/>
          <w:iCs/>
          <w:lang w:val="es-MX"/>
        </w:rPr>
        <w:t>Trichoderma</w:t>
      </w:r>
      <w:r w:rsidRPr="00466C54">
        <w:rPr>
          <w:lang w:val="es-MX"/>
        </w:rPr>
        <w:t>, Rango de concentraciones.</w:t>
      </w:r>
    </w:p>
    <w:p w:rsidR="00AA08EA" w:rsidRDefault="00AA08EA" w:rsidP="00AA08EA">
      <w:pPr>
        <w:tabs>
          <w:tab w:val="left" w:pos="3960"/>
        </w:tabs>
        <w:jc w:val="both"/>
        <w:rPr>
          <w:lang w:val="es-MX"/>
        </w:rPr>
      </w:pPr>
    </w:p>
    <w:p w:rsidR="00AA08EA" w:rsidRPr="00AA08EA" w:rsidRDefault="00AA08EA" w:rsidP="00AA08EA">
      <w:pPr>
        <w:tabs>
          <w:tab w:val="left" w:pos="3960"/>
        </w:tabs>
        <w:jc w:val="both"/>
        <w:rPr>
          <w:b/>
          <w:bCs/>
          <w:lang w:val="en-US"/>
        </w:rPr>
      </w:pPr>
      <w:r w:rsidRPr="00AA08EA">
        <w:rPr>
          <w:b/>
          <w:bCs/>
          <w:lang w:val="en-GB"/>
        </w:rPr>
        <w:t>Abstract</w:t>
      </w:r>
      <w:r w:rsidRPr="00AA08EA">
        <w:rPr>
          <w:b/>
          <w:bCs/>
          <w:lang w:val="en-US"/>
        </w:rPr>
        <w:t xml:space="preserve"> </w:t>
      </w:r>
    </w:p>
    <w:p w:rsidR="00AA08EA" w:rsidRPr="00AA08EA" w:rsidRDefault="00AA08EA" w:rsidP="00AA08EA">
      <w:pPr>
        <w:pStyle w:val="Textoindependiente"/>
        <w:autoSpaceDE w:val="0"/>
        <w:spacing w:after="0"/>
        <w:jc w:val="both"/>
        <w:rPr>
          <w:lang w:val="en-US"/>
        </w:rPr>
      </w:pPr>
    </w:p>
    <w:p w:rsidR="00AA08EA" w:rsidRDefault="00AA08EA" w:rsidP="00AA08EA">
      <w:pPr>
        <w:pStyle w:val="Textoindependiente"/>
        <w:autoSpaceDE w:val="0"/>
        <w:spacing w:after="0"/>
        <w:jc w:val="both"/>
        <w:rPr>
          <w:lang w:val="en-GB"/>
        </w:rPr>
      </w:pPr>
      <w:r w:rsidRPr="00466C54">
        <w:rPr>
          <w:lang w:val="en-GB"/>
        </w:rPr>
        <w:t>Longitudinal growth of shoot and roots was investigated in tomato seedlings (</w:t>
      </w:r>
      <w:r w:rsidRPr="00466C54">
        <w:rPr>
          <w:i/>
          <w:iCs/>
          <w:lang w:val="en-GB"/>
        </w:rPr>
        <w:t>Solanum lycopersicum</w:t>
      </w:r>
      <w:r w:rsidRPr="001E40C5">
        <w:rPr>
          <w:lang w:val="en-GB"/>
        </w:rPr>
        <w:t xml:space="preserve"> L) after application of four isolates of </w:t>
      </w:r>
      <w:r w:rsidRPr="00740C37">
        <w:rPr>
          <w:i/>
          <w:lang w:val="en-GB"/>
        </w:rPr>
        <w:t xml:space="preserve">T. asperellum </w:t>
      </w:r>
      <w:r w:rsidRPr="00740C37">
        <w:rPr>
          <w:iCs/>
          <w:lang w:val="en-GB"/>
        </w:rPr>
        <w:t>(</w:t>
      </w:r>
      <w:r w:rsidRPr="00740C37">
        <w:rPr>
          <w:lang w:val="en-GB"/>
        </w:rPr>
        <w:t>T25, T46, T84 y T109). Only the isolate T109 caused a significant (</w:t>
      </w:r>
      <w:r w:rsidRPr="00740C37">
        <w:rPr>
          <w:i/>
          <w:lang w:val="en-GB"/>
        </w:rPr>
        <w:t xml:space="preserve">p </w:t>
      </w:r>
      <w:r w:rsidRPr="00740C37">
        <w:rPr>
          <w:lang w:val="en-GB"/>
        </w:rPr>
        <w:t>≤ 0.05) increase of longitudinal growth of roots and shoots, and dry weight of seedlings was also stimulated from the first week after T109 application. The growth was significantly (</w:t>
      </w:r>
      <w:r w:rsidRPr="00740C37">
        <w:rPr>
          <w:i/>
          <w:lang w:val="en-GB"/>
        </w:rPr>
        <w:t xml:space="preserve">p </w:t>
      </w:r>
      <w:r w:rsidRPr="00740C37">
        <w:rPr>
          <w:lang w:val="en-GB"/>
        </w:rPr>
        <w:t>≤ 0.05) stimulated by 10</w:t>
      </w:r>
      <w:r w:rsidRPr="00740C37">
        <w:rPr>
          <w:vertAlign w:val="superscript"/>
          <w:lang w:val="en-GB"/>
        </w:rPr>
        <w:t>5</w:t>
      </w:r>
      <w:r w:rsidRPr="00740C37">
        <w:rPr>
          <w:lang w:val="en-GB"/>
        </w:rPr>
        <w:t xml:space="preserve"> and 10</w:t>
      </w:r>
      <w:r w:rsidRPr="00740C37">
        <w:rPr>
          <w:vertAlign w:val="superscript"/>
          <w:lang w:val="en-GB"/>
        </w:rPr>
        <w:t>6</w:t>
      </w:r>
      <w:r w:rsidRPr="00740C37">
        <w:rPr>
          <w:lang w:val="en-GB"/>
        </w:rPr>
        <w:t xml:space="preserve"> conidia/ml, but it was not by 10</w:t>
      </w:r>
      <w:r w:rsidRPr="00740C37">
        <w:rPr>
          <w:vertAlign w:val="superscript"/>
          <w:lang w:val="en-GB"/>
        </w:rPr>
        <w:t>4</w:t>
      </w:r>
      <w:r w:rsidRPr="00740C37">
        <w:rPr>
          <w:lang w:val="en-GB"/>
        </w:rPr>
        <w:t>, 10</w:t>
      </w:r>
      <w:r w:rsidRPr="00740C37">
        <w:rPr>
          <w:vertAlign w:val="superscript"/>
          <w:lang w:val="en-GB"/>
        </w:rPr>
        <w:t>7</w:t>
      </w:r>
      <w:r w:rsidRPr="00740C37">
        <w:rPr>
          <w:lang w:val="en-GB"/>
        </w:rPr>
        <w:t xml:space="preserve"> and 10</w:t>
      </w:r>
      <w:r w:rsidRPr="00740C37">
        <w:rPr>
          <w:vertAlign w:val="superscript"/>
          <w:lang w:val="en-GB"/>
        </w:rPr>
        <w:t>8</w:t>
      </w:r>
      <w:r w:rsidRPr="00740C37">
        <w:rPr>
          <w:lang w:val="en-GB"/>
        </w:rPr>
        <w:t xml:space="preserve"> conidia/ml. These results indicate that growth stimulus caused by </w:t>
      </w:r>
      <w:r w:rsidRPr="00740C37">
        <w:rPr>
          <w:i/>
          <w:iCs/>
          <w:lang w:val="en-GB"/>
        </w:rPr>
        <w:t>T. asperellum</w:t>
      </w:r>
      <w:r w:rsidRPr="00740C37">
        <w:rPr>
          <w:lang w:val="en-GB"/>
        </w:rPr>
        <w:t xml:space="preserve"> in tomato seedlings, occurs only with specific isolates and at a specific concentration ranges.</w:t>
      </w:r>
    </w:p>
    <w:p w:rsidR="00AA08EA" w:rsidRPr="00AA08EA" w:rsidRDefault="00AA08EA" w:rsidP="00AA08EA">
      <w:pPr>
        <w:pStyle w:val="Textoindependiente"/>
        <w:autoSpaceDE w:val="0"/>
        <w:spacing w:after="0"/>
        <w:jc w:val="both"/>
        <w:rPr>
          <w:lang w:val="en-US"/>
        </w:rPr>
      </w:pPr>
    </w:p>
    <w:p w:rsidR="00AA08EA" w:rsidRDefault="00AA08EA" w:rsidP="00AA08EA">
      <w:pPr>
        <w:pStyle w:val="Textoindependiente"/>
        <w:autoSpaceDE w:val="0"/>
        <w:spacing w:after="0"/>
        <w:jc w:val="both"/>
        <w:rPr>
          <w:lang w:val="en-GB"/>
        </w:rPr>
      </w:pPr>
      <w:r w:rsidRPr="00AA08EA">
        <w:rPr>
          <w:b/>
          <w:lang w:val="en-GB"/>
        </w:rPr>
        <w:t>Key words:</w:t>
      </w:r>
      <w:r w:rsidRPr="00F52C4A">
        <w:rPr>
          <w:lang w:val="en-GB"/>
        </w:rPr>
        <w:t xml:space="preserve"> </w:t>
      </w:r>
      <w:r w:rsidRPr="00F52C4A">
        <w:rPr>
          <w:i/>
          <w:lang w:val="en-GB"/>
        </w:rPr>
        <w:t>Trichoderma asperellum,</w:t>
      </w:r>
      <w:r w:rsidRPr="00F52C4A">
        <w:rPr>
          <w:lang w:val="en-GB"/>
        </w:rPr>
        <w:t xml:space="preserve"> Growth stimulation, Tomato seedlings, Trichoderma strains, concentration range. </w:t>
      </w:r>
    </w:p>
    <w:p w:rsidR="00AA08EA" w:rsidRDefault="00AA08EA" w:rsidP="00AA08EA">
      <w:pPr>
        <w:pStyle w:val="Textoindependiente"/>
        <w:autoSpaceDE w:val="0"/>
        <w:spacing w:after="0"/>
        <w:jc w:val="both"/>
        <w:rPr>
          <w:lang w:val="en-GB"/>
        </w:rPr>
      </w:pPr>
    </w:p>
    <w:p w:rsidR="005953B4" w:rsidRPr="005953B4" w:rsidRDefault="005953B4" w:rsidP="00AA08EA">
      <w:pPr>
        <w:jc w:val="both"/>
        <w:rPr>
          <w:lang w:val="es-MX"/>
        </w:rPr>
      </w:pPr>
      <w:r>
        <w:rPr>
          <w:b/>
          <w:lang w:val="es-MX"/>
        </w:rPr>
        <w:t xml:space="preserve">Recibido: </w:t>
      </w:r>
      <w:r>
        <w:rPr>
          <w:lang w:val="es-MX"/>
        </w:rPr>
        <w:t>febrero 12 de 2012</w:t>
      </w:r>
    </w:p>
    <w:p w:rsidR="005953B4" w:rsidRPr="005953B4" w:rsidRDefault="005953B4" w:rsidP="00AA08EA">
      <w:pPr>
        <w:jc w:val="both"/>
        <w:rPr>
          <w:lang w:val="es-MX"/>
        </w:rPr>
      </w:pPr>
      <w:r>
        <w:rPr>
          <w:b/>
          <w:lang w:val="es-MX"/>
        </w:rPr>
        <w:t xml:space="preserve">Aprobado: </w:t>
      </w:r>
      <w:r>
        <w:rPr>
          <w:lang w:val="es-MX"/>
        </w:rPr>
        <w:t>junio 22 de 2013</w:t>
      </w:r>
    </w:p>
    <w:p w:rsidR="005953B4" w:rsidRDefault="005953B4" w:rsidP="00AA08EA">
      <w:pPr>
        <w:jc w:val="both"/>
        <w:rPr>
          <w:b/>
          <w:lang w:val="es-MX"/>
        </w:rPr>
      </w:pPr>
    </w:p>
    <w:p w:rsidR="00AA08EA" w:rsidRPr="00AA08EA" w:rsidRDefault="00064958" w:rsidP="00AA08EA">
      <w:pPr>
        <w:jc w:val="both"/>
        <w:rPr>
          <w:b/>
          <w:lang w:val="es-MX"/>
        </w:rPr>
      </w:pPr>
      <w:r w:rsidRPr="00AA08EA">
        <w:rPr>
          <w:b/>
          <w:lang w:val="es-MX"/>
        </w:rPr>
        <w:t>Introducción</w:t>
      </w:r>
    </w:p>
    <w:p w:rsidR="00AA08EA" w:rsidRDefault="00AA08EA" w:rsidP="00AA08EA">
      <w:pPr>
        <w:jc w:val="both"/>
        <w:rPr>
          <w:lang w:val="es-MX"/>
        </w:rPr>
      </w:pPr>
    </w:p>
    <w:p w:rsidR="00AA08EA" w:rsidRDefault="00AA08EA" w:rsidP="00AA08EA">
      <w:pPr>
        <w:jc w:val="both"/>
        <w:rPr>
          <w:lang w:val="es-ES"/>
        </w:rPr>
      </w:pPr>
      <w:r w:rsidRPr="00466C54">
        <w:rPr>
          <w:lang w:val="es-MX"/>
        </w:rPr>
        <w:t xml:space="preserve">El género </w:t>
      </w:r>
      <w:r w:rsidRPr="00466C54">
        <w:rPr>
          <w:i/>
          <w:lang w:val="es-MX"/>
        </w:rPr>
        <w:t xml:space="preserve">Trichoderma </w:t>
      </w:r>
      <w:r w:rsidRPr="001E40C5">
        <w:rPr>
          <w:iCs/>
          <w:lang w:val="es-MX"/>
        </w:rPr>
        <w:t xml:space="preserve">está conformado por hongos </w:t>
      </w:r>
      <w:r w:rsidRPr="001E40C5">
        <w:rPr>
          <w:lang w:val="es-MX"/>
        </w:rPr>
        <w:t>de vida libre presentes en casi todas las regiones del planeta (Schuster y Schmoll, 2010) y en una gran varied</w:t>
      </w:r>
      <w:r w:rsidRPr="00740C37">
        <w:rPr>
          <w:lang w:val="es-MX"/>
        </w:rPr>
        <w:t xml:space="preserve">ad de ecosistemas (Woo </w:t>
      </w:r>
      <w:r w:rsidRPr="00740C37">
        <w:rPr>
          <w:i/>
          <w:iCs/>
          <w:lang w:val="es-MX"/>
        </w:rPr>
        <w:t>et al.</w:t>
      </w:r>
      <w:r w:rsidRPr="00740C37">
        <w:rPr>
          <w:iCs/>
          <w:lang w:val="es-MX"/>
        </w:rPr>
        <w:t>,</w:t>
      </w:r>
      <w:r w:rsidRPr="00740C37">
        <w:rPr>
          <w:lang w:val="es-MX"/>
        </w:rPr>
        <w:t xml:space="preserve"> 2006). </w:t>
      </w:r>
      <w:r>
        <w:rPr>
          <w:lang w:val="es-MX"/>
        </w:rPr>
        <w:t>Este género</w:t>
      </w:r>
      <w:r w:rsidRPr="00F52C4A">
        <w:rPr>
          <w:i/>
          <w:lang w:val="es-MX"/>
        </w:rPr>
        <w:t xml:space="preserve"> </w:t>
      </w:r>
      <w:r w:rsidRPr="00F52C4A">
        <w:rPr>
          <w:lang w:val="es-MX"/>
        </w:rPr>
        <w:t xml:space="preserve">está relacionado con el estímulo del crecimiento vegetal y la resistencia de las plantas a enfermedades infecciosas (Harman </w:t>
      </w:r>
      <w:r w:rsidRPr="00F52C4A">
        <w:rPr>
          <w:i/>
          <w:iCs/>
          <w:lang w:val="es-MX"/>
        </w:rPr>
        <w:t>et al</w:t>
      </w:r>
      <w:r w:rsidRPr="00F52C4A">
        <w:rPr>
          <w:i/>
          <w:lang w:val="es-MX"/>
        </w:rPr>
        <w:t>.</w:t>
      </w:r>
      <w:r w:rsidRPr="0042422C">
        <w:rPr>
          <w:lang w:val="es-MX"/>
        </w:rPr>
        <w:t>, 2004</w:t>
      </w:r>
      <w:r>
        <w:rPr>
          <w:lang w:val="es-MX"/>
        </w:rPr>
        <w:t>a</w:t>
      </w:r>
      <w:r w:rsidRPr="0042422C">
        <w:rPr>
          <w:lang w:val="es-MX"/>
        </w:rPr>
        <w:t xml:space="preserve">). Así, </w:t>
      </w:r>
      <w:r w:rsidRPr="00466C54">
        <w:rPr>
          <w:lang w:val="es-ES"/>
        </w:rPr>
        <w:t xml:space="preserve">productos comerciales a base de hongos del </w:t>
      </w:r>
      <w:r w:rsidRPr="00466C54">
        <w:t>género</w:t>
      </w:r>
      <w:r w:rsidRPr="001E40C5">
        <w:rPr>
          <w:lang w:val="es-ES"/>
        </w:rPr>
        <w:t xml:space="preserve"> </w:t>
      </w:r>
      <w:r w:rsidRPr="001E40C5">
        <w:rPr>
          <w:i/>
          <w:iCs/>
          <w:lang w:val="es-ES"/>
        </w:rPr>
        <w:t>Tr</w:t>
      </w:r>
      <w:r w:rsidRPr="00740C37">
        <w:rPr>
          <w:i/>
          <w:iCs/>
          <w:lang w:val="es-ES"/>
        </w:rPr>
        <w:t>ichoderma</w:t>
      </w:r>
      <w:r w:rsidRPr="00740C37">
        <w:rPr>
          <w:lang w:val="es-ES"/>
        </w:rPr>
        <w:t xml:space="preserve"> redujeron la replicación del protozoo </w:t>
      </w:r>
      <w:r w:rsidRPr="00740C37">
        <w:rPr>
          <w:i/>
          <w:iCs/>
          <w:lang w:val="es-ES"/>
        </w:rPr>
        <w:t>Spongospora subterranea</w:t>
      </w:r>
      <w:r w:rsidRPr="00740C37">
        <w:rPr>
          <w:lang w:val="es-ES"/>
        </w:rPr>
        <w:t xml:space="preserve"> en plántulas de tomate y compensaron la reducción del crecimiento causada por la infección (Nielsen y Larsen, 2004). </w:t>
      </w:r>
      <w:r w:rsidRPr="00740C37">
        <w:rPr>
          <w:i/>
          <w:iCs/>
          <w:lang w:val="es-ES"/>
        </w:rPr>
        <w:t>S. subterranea</w:t>
      </w:r>
      <w:r w:rsidRPr="00740C37">
        <w:rPr>
          <w:lang w:val="es-ES"/>
        </w:rPr>
        <w:t xml:space="preserve"> replica en </w:t>
      </w:r>
      <w:r w:rsidRPr="00740C37">
        <w:rPr>
          <w:i/>
          <w:iCs/>
          <w:lang w:val="es-ES"/>
        </w:rPr>
        <w:t>Solanáceas</w:t>
      </w:r>
      <w:r w:rsidRPr="00740C37">
        <w:rPr>
          <w:lang w:val="es-ES"/>
        </w:rPr>
        <w:t xml:space="preserve"> como tomate y papa, en la cual causa la enfermedad sarna polvosa que reduce el tamaño de las plantas y la producción de tubérculos (</w:t>
      </w:r>
      <w:r w:rsidRPr="00740C37">
        <w:rPr>
          <w:color w:val="000000"/>
          <w:lang w:val="es-AR"/>
        </w:rPr>
        <w:t>Gilchrist</w:t>
      </w:r>
      <w:r w:rsidRPr="00740C37">
        <w:rPr>
          <w:lang w:val="es-ES"/>
        </w:rPr>
        <w:t xml:space="preserve"> </w:t>
      </w:r>
      <w:r w:rsidRPr="00740C37">
        <w:rPr>
          <w:i/>
          <w:iCs/>
          <w:lang w:val="es-ES"/>
        </w:rPr>
        <w:t>et al.</w:t>
      </w:r>
      <w:r w:rsidRPr="00740C37">
        <w:rPr>
          <w:lang w:val="es-ES"/>
        </w:rPr>
        <w:t xml:space="preserve">, 2011). El presente trabajo es parte de un proyecto de investigación sobre los efectos del género </w:t>
      </w:r>
      <w:r w:rsidRPr="00740C37">
        <w:rPr>
          <w:i/>
          <w:iCs/>
          <w:lang w:val="es-ES"/>
        </w:rPr>
        <w:t>Trichoderma</w:t>
      </w:r>
      <w:r w:rsidRPr="00740C37">
        <w:rPr>
          <w:lang w:val="es-ES"/>
        </w:rPr>
        <w:t xml:space="preserve"> en la sarna polvosa.</w:t>
      </w:r>
    </w:p>
    <w:p w:rsidR="00AA08EA" w:rsidRDefault="00AA08EA" w:rsidP="00AA08EA">
      <w:pPr>
        <w:jc w:val="both"/>
        <w:rPr>
          <w:lang w:val="es-ES"/>
        </w:rPr>
      </w:pPr>
    </w:p>
    <w:p w:rsidR="00AA08EA" w:rsidRDefault="00AA08EA" w:rsidP="00AA08EA">
      <w:pPr>
        <w:jc w:val="both"/>
        <w:rPr>
          <w:lang w:val="es-ES"/>
        </w:rPr>
      </w:pPr>
      <w:r w:rsidRPr="00740C37">
        <w:rPr>
          <w:lang w:val="es-ES"/>
        </w:rPr>
        <w:t xml:space="preserve">La filogenia y la capacidad de estimular el crecimiento del frijol </w:t>
      </w:r>
      <w:r w:rsidRPr="00740C37">
        <w:rPr>
          <w:rStyle w:val="nbapihighlight"/>
          <w:i/>
          <w:iCs/>
          <w:lang w:val="es-ES"/>
        </w:rPr>
        <w:t xml:space="preserve">Phaseolus vulgaris </w:t>
      </w:r>
      <w:r w:rsidRPr="00740C37">
        <w:rPr>
          <w:rStyle w:val="nbapihighlight"/>
          <w:lang w:val="es-ES"/>
        </w:rPr>
        <w:t xml:space="preserve">fue investigada </w:t>
      </w:r>
      <w:r w:rsidRPr="00740C37">
        <w:rPr>
          <w:lang w:val="es-ES"/>
        </w:rPr>
        <w:t xml:space="preserve">en más de 100 aislamientos del género </w:t>
      </w:r>
      <w:r w:rsidRPr="00740C37">
        <w:rPr>
          <w:i/>
          <w:lang w:val="es-MX"/>
        </w:rPr>
        <w:t>Trichoderma</w:t>
      </w:r>
      <w:r w:rsidRPr="00740C37">
        <w:rPr>
          <w:lang w:val="es-ES"/>
        </w:rPr>
        <w:t xml:space="preserve"> de Colombia y otros países de la región andina tropical (Hoyos-Carvajal </w:t>
      </w:r>
      <w:r w:rsidRPr="00740C37">
        <w:rPr>
          <w:i/>
          <w:iCs/>
          <w:lang w:val="es-ES"/>
        </w:rPr>
        <w:t>et al</w:t>
      </w:r>
      <w:r w:rsidRPr="00740C37">
        <w:rPr>
          <w:lang w:val="es-ES"/>
        </w:rPr>
        <w:t>., 2009a; Hoyos</w:t>
      </w:r>
      <w:r w:rsidRPr="00740C37">
        <w:rPr>
          <w:lang w:val="es-MX"/>
        </w:rPr>
        <w:t xml:space="preserve"> </w:t>
      </w:r>
      <w:r w:rsidRPr="00740C37">
        <w:rPr>
          <w:lang w:val="es-ES"/>
        </w:rPr>
        <w:t xml:space="preserve">-Carvajal </w:t>
      </w:r>
      <w:r w:rsidRPr="00740C37">
        <w:rPr>
          <w:i/>
          <w:iCs/>
          <w:lang w:val="es-ES"/>
        </w:rPr>
        <w:t>et al.,</w:t>
      </w:r>
      <w:r w:rsidRPr="00740C37">
        <w:rPr>
          <w:lang w:val="es-ES"/>
        </w:rPr>
        <w:t xml:space="preserve"> 2009b). En estos trabajos, se pudo observar que dentro de una misma especie hay aislamientos que pueden estimular el crecimiento del frijol y otros que no. </w:t>
      </w:r>
      <w:r>
        <w:rPr>
          <w:lang w:val="es-ES"/>
        </w:rPr>
        <w:t>E</w:t>
      </w:r>
      <w:r w:rsidRPr="00F52C4A">
        <w:rPr>
          <w:lang w:val="es-ES"/>
        </w:rPr>
        <w:t xml:space="preserve">l objetivo del presente trabajo es evaluar diferentes aislamientos de una misma especie, </w:t>
      </w:r>
      <w:r w:rsidRPr="00F52C4A">
        <w:rPr>
          <w:i/>
          <w:lang w:val="es-MX"/>
        </w:rPr>
        <w:t>Trichoderma asperellum,</w:t>
      </w:r>
      <w:r w:rsidRPr="00675BE1">
        <w:rPr>
          <w:lang w:val="es-MX"/>
        </w:rPr>
        <w:t xml:space="preserve"> en plántulas de tomate </w:t>
      </w:r>
      <w:r w:rsidRPr="0042422C">
        <w:rPr>
          <w:i/>
          <w:iCs/>
          <w:lang w:val="es-MX"/>
        </w:rPr>
        <w:t>Solanum lycopersicum</w:t>
      </w:r>
      <w:r w:rsidRPr="0042422C">
        <w:rPr>
          <w:lang w:val="es-MX"/>
        </w:rPr>
        <w:t xml:space="preserve"> L</w:t>
      </w:r>
      <w:r w:rsidRPr="0042422C">
        <w:rPr>
          <w:i/>
          <w:lang w:val="es-MX"/>
        </w:rPr>
        <w:t xml:space="preserve">. </w:t>
      </w:r>
      <w:r w:rsidRPr="0042422C">
        <w:rPr>
          <w:iCs/>
          <w:lang w:val="es-MX"/>
        </w:rPr>
        <w:t xml:space="preserve">Las plántulas de tomate son un modelo experimental para </w:t>
      </w:r>
      <w:r w:rsidRPr="00466C54">
        <w:rPr>
          <w:iCs/>
          <w:lang w:val="es-MX"/>
        </w:rPr>
        <w:t xml:space="preserve">evidenciar </w:t>
      </w:r>
      <w:r w:rsidRPr="00924F23">
        <w:rPr>
          <w:iCs/>
          <w:lang w:val="es-MX"/>
        </w:rPr>
        <w:t xml:space="preserve">los efectos de </w:t>
      </w:r>
      <w:r w:rsidRPr="00924F23">
        <w:rPr>
          <w:i/>
          <w:lang w:val="es-MX"/>
        </w:rPr>
        <w:t>T. asperellum</w:t>
      </w:r>
      <w:r w:rsidRPr="001E40C5">
        <w:rPr>
          <w:lang w:val="es-MX"/>
        </w:rPr>
        <w:t xml:space="preserve"> sobre el crecimiento vegetal desde hace varias </w:t>
      </w:r>
      <w:r w:rsidRPr="00740C37">
        <w:rPr>
          <w:lang w:val="es-MX"/>
        </w:rPr>
        <w:t>décadas (</w:t>
      </w:r>
      <w:r w:rsidRPr="00740C37">
        <w:rPr>
          <w:lang w:val="es-AR"/>
        </w:rPr>
        <w:t xml:space="preserve">Lindsey </w:t>
      </w:r>
      <w:r w:rsidRPr="00740C37">
        <w:rPr>
          <w:i/>
          <w:iCs/>
          <w:lang w:val="es-AR"/>
        </w:rPr>
        <w:t>et al</w:t>
      </w:r>
      <w:r w:rsidRPr="00740C37">
        <w:rPr>
          <w:i/>
          <w:lang w:val="es-AR"/>
        </w:rPr>
        <w:t>.</w:t>
      </w:r>
      <w:r w:rsidRPr="00740C37">
        <w:rPr>
          <w:lang w:val="es-AR"/>
        </w:rPr>
        <w:t>, 1967</w:t>
      </w:r>
      <w:r w:rsidRPr="00740C37">
        <w:rPr>
          <w:lang w:val="es-MX"/>
        </w:rPr>
        <w:t xml:space="preserve">), Además, </w:t>
      </w:r>
      <w:r w:rsidRPr="00740C37">
        <w:rPr>
          <w:i/>
          <w:iCs/>
          <w:lang w:val="es-ES"/>
        </w:rPr>
        <w:t>S. subterranea</w:t>
      </w:r>
      <w:r w:rsidRPr="00740C37">
        <w:rPr>
          <w:lang w:val="es-ES"/>
        </w:rPr>
        <w:t xml:space="preserve"> puede replicar en plántulas de tomate, donde fue sensible a los efectos de hongos del género </w:t>
      </w:r>
      <w:r w:rsidRPr="00740C37">
        <w:rPr>
          <w:i/>
          <w:iCs/>
          <w:lang w:val="es-ES"/>
        </w:rPr>
        <w:t>Trichoderma</w:t>
      </w:r>
      <w:r w:rsidRPr="00740C37">
        <w:rPr>
          <w:lang w:val="es-ES"/>
        </w:rPr>
        <w:t xml:space="preserve"> (Nielsen y Larsen, 2004). </w:t>
      </w:r>
    </w:p>
    <w:p w:rsidR="00AA08EA" w:rsidRDefault="00AA08EA" w:rsidP="00AA08EA">
      <w:pPr>
        <w:jc w:val="both"/>
        <w:rPr>
          <w:iCs/>
          <w:lang w:val="es-MX"/>
        </w:rPr>
      </w:pPr>
    </w:p>
    <w:p w:rsidR="00AA08EA" w:rsidRDefault="00AA08EA" w:rsidP="00AA08EA">
      <w:pPr>
        <w:jc w:val="both"/>
        <w:rPr>
          <w:lang w:val="es-ES"/>
        </w:rPr>
      </w:pPr>
      <w:r w:rsidRPr="00740C37">
        <w:rPr>
          <w:lang w:val="es-ES"/>
        </w:rPr>
        <w:t>De</w:t>
      </w:r>
      <w:r w:rsidRPr="00740C37">
        <w:rPr>
          <w:lang w:val="es-MX"/>
        </w:rPr>
        <w:t xml:space="preserve"> los aislamientos analizados en </w:t>
      </w:r>
      <w:r w:rsidRPr="00740C37">
        <w:rPr>
          <w:lang w:val="es-ES"/>
        </w:rPr>
        <w:t xml:space="preserve">Hoyos-Carvajal </w:t>
      </w:r>
      <w:r w:rsidRPr="00740C37">
        <w:rPr>
          <w:i/>
          <w:iCs/>
          <w:lang w:val="es-ES"/>
        </w:rPr>
        <w:t>et al.</w:t>
      </w:r>
      <w:r w:rsidRPr="00740C37">
        <w:rPr>
          <w:lang w:val="es-ES"/>
        </w:rPr>
        <w:t xml:space="preserve"> (2009b)</w:t>
      </w:r>
      <w:r w:rsidRPr="00740C37">
        <w:rPr>
          <w:lang w:val="es-MX"/>
        </w:rPr>
        <w:t xml:space="preserve">, se seleccionaron cuatro pertenecientes a la especie </w:t>
      </w:r>
      <w:r w:rsidRPr="00740C37">
        <w:rPr>
          <w:i/>
          <w:lang w:val="es-MX"/>
        </w:rPr>
        <w:t>T. asperellum</w:t>
      </w:r>
      <w:r w:rsidRPr="00740C37">
        <w:rPr>
          <w:iCs/>
          <w:lang w:val="es-MX"/>
        </w:rPr>
        <w:t>:</w:t>
      </w:r>
      <w:r w:rsidRPr="00740C37">
        <w:rPr>
          <w:i/>
          <w:lang w:val="es-MX"/>
        </w:rPr>
        <w:t xml:space="preserve"> </w:t>
      </w:r>
      <w:r w:rsidRPr="00740C37">
        <w:rPr>
          <w:iCs/>
          <w:lang w:val="es-MX"/>
        </w:rPr>
        <w:t xml:space="preserve">T25, T46, T84 y T109. En el </w:t>
      </w:r>
      <w:r w:rsidRPr="00740C37">
        <w:rPr>
          <w:lang w:val="es-ES"/>
        </w:rPr>
        <w:t>frijol,</w:t>
      </w:r>
      <w:r w:rsidRPr="00740C37">
        <w:rPr>
          <w:iCs/>
          <w:lang w:val="es-MX"/>
        </w:rPr>
        <w:t xml:space="preserve"> </w:t>
      </w:r>
      <w:r w:rsidRPr="00740C37">
        <w:rPr>
          <w:lang w:val="es-MX"/>
        </w:rPr>
        <w:t>T25 y T46 estimularon el crecimiento de las plántulas, T109 causó una leve inhibición y T84 no tuvo ningún efecto (</w:t>
      </w:r>
      <w:r w:rsidRPr="00740C37">
        <w:rPr>
          <w:lang w:val="es-ES"/>
        </w:rPr>
        <w:t xml:space="preserve">Hoyos-Carvajal </w:t>
      </w:r>
      <w:r w:rsidRPr="00740C37">
        <w:rPr>
          <w:i/>
          <w:iCs/>
          <w:lang w:val="es-ES"/>
        </w:rPr>
        <w:t>et al.,</w:t>
      </w:r>
      <w:r w:rsidRPr="00740C37">
        <w:rPr>
          <w:lang w:val="es-ES"/>
        </w:rPr>
        <w:t xml:space="preserve"> 2009b). Además, </w:t>
      </w:r>
      <w:r w:rsidRPr="00740C37">
        <w:rPr>
          <w:lang w:val="es-MX"/>
        </w:rPr>
        <w:t xml:space="preserve">los aislamientos T84 y T109 redujeron la replicación de </w:t>
      </w:r>
      <w:r w:rsidRPr="00740C37">
        <w:rPr>
          <w:i/>
          <w:iCs/>
          <w:lang w:val="es-MX"/>
        </w:rPr>
        <w:t>S. spongospora</w:t>
      </w:r>
      <w:r w:rsidRPr="00740C37">
        <w:rPr>
          <w:lang w:val="es-MX"/>
        </w:rPr>
        <w:t xml:space="preserve"> en papa sembrada en macetas y estimularon el crecimiento de las plantas infectadas (Hoyos-Carvajal </w:t>
      </w:r>
      <w:r w:rsidRPr="00740C37">
        <w:rPr>
          <w:i/>
          <w:iCs/>
          <w:lang w:val="es-MX"/>
        </w:rPr>
        <w:t>et al</w:t>
      </w:r>
      <w:r w:rsidRPr="00740C37">
        <w:rPr>
          <w:lang w:val="es-MX"/>
        </w:rPr>
        <w:t>., 2008). Sin embargo, en campo los aislamientos T25, T46, T84 y T109 no redujeron los efectos de la sarna polvosa de la papa (</w:t>
      </w:r>
      <w:r w:rsidRPr="00740C37">
        <w:rPr>
          <w:color w:val="000000"/>
          <w:lang w:val="es-AR"/>
        </w:rPr>
        <w:t>Gilchrist</w:t>
      </w:r>
      <w:r w:rsidRPr="00740C37">
        <w:rPr>
          <w:lang w:val="es-ES"/>
        </w:rPr>
        <w:t xml:space="preserve"> </w:t>
      </w:r>
      <w:r w:rsidRPr="00740C37">
        <w:rPr>
          <w:i/>
          <w:iCs/>
          <w:lang w:val="es-ES"/>
        </w:rPr>
        <w:t>et al</w:t>
      </w:r>
      <w:r w:rsidRPr="00740C37">
        <w:rPr>
          <w:lang w:val="es-ES"/>
        </w:rPr>
        <w:t xml:space="preserve">., 2009). En algunos aislamientos del género </w:t>
      </w:r>
      <w:r w:rsidRPr="00740C37">
        <w:rPr>
          <w:i/>
          <w:iCs/>
          <w:lang w:val="es-ES"/>
        </w:rPr>
        <w:t>Trichoderma</w:t>
      </w:r>
      <w:r w:rsidRPr="00740C37">
        <w:rPr>
          <w:lang w:val="es-ES"/>
        </w:rPr>
        <w:t xml:space="preserve"> se pudo observar que los efectos sobre el crecimiento sólo ocurren en un específico rango de concentraciones de </w:t>
      </w:r>
      <w:r w:rsidRPr="00740C37">
        <w:rPr>
          <w:lang w:val="es-AR" w:eastAsia="de-DE"/>
        </w:rPr>
        <w:t>inóculo fúngico</w:t>
      </w:r>
      <w:r w:rsidRPr="00AA08EA">
        <w:rPr>
          <w:sz w:val="20"/>
          <w:szCs w:val="20"/>
          <w:lang w:val="es-AR" w:eastAsia="de-DE"/>
        </w:rPr>
        <w:t xml:space="preserve"> </w:t>
      </w:r>
      <w:r w:rsidRPr="00740C37">
        <w:rPr>
          <w:lang w:val="es-ES"/>
        </w:rPr>
        <w:t xml:space="preserve">(Ousley </w:t>
      </w:r>
      <w:r w:rsidRPr="00740C37">
        <w:rPr>
          <w:i/>
          <w:iCs/>
          <w:lang w:val="es-ES"/>
        </w:rPr>
        <w:t>et al</w:t>
      </w:r>
      <w:r w:rsidRPr="00F52C4A">
        <w:rPr>
          <w:lang w:val="es-ES"/>
        </w:rPr>
        <w:t>., 1994</w:t>
      </w:r>
      <w:r>
        <w:rPr>
          <w:lang w:val="es-ES"/>
        </w:rPr>
        <w:t>a</w:t>
      </w:r>
      <w:r w:rsidRPr="00F52C4A">
        <w:rPr>
          <w:lang w:val="es-ES"/>
        </w:rPr>
        <w:t>). En el presente trabajo, para descartar una posible falta de efecto debid</w:t>
      </w:r>
      <w:r w:rsidRPr="0042422C">
        <w:rPr>
          <w:lang w:val="es-ES"/>
        </w:rPr>
        <w:t xml:space="preserve">o a la concentración de conidias aplicada, el </w:t>
      </w:r>
      <w:r w:rsidRPr="00466C54">
        <w:rPr>
          <w:lang w:val="es-ES"/>
        </w:rPr>
        <w:t xml:space="preserve">resultado </w:t>
      </w:r>
      <w:r w:rsidRPr="00924F23">
        <w:rPr>
          <w:lang w:val="es-ES"/>
        </w:rPr>
        <w:t>sobre el crecimiento de las plántulas se evaluará en un amplio rango de concentraciones</w:t>
      </w:r>
      <w:r w:rsidRPr="001E40C5">
        <w:rPr>
          <w:lang w:val="es-ES"/>
        </w:rPr>
        <w:t xml:space="preserve"> de inóculo.</w:t>
      </w:r>
    </w:p>
    <w:p w:rsidR="00AA08EA" w:rsidRDefault="00AA08EA" w:rsidP="00AA08EA">
      <w:pPr>
        <w:jc w:val="both"/>
        <w:rPr>
          <w:lang w:val="es-ES"/>
        </w:rPr>
      </w:pPr>
    </w:p>
    <w:p w:rsidR="00AA08EA" w:rsidRPr="00AA08EA" w:rsidRDefault="00B4736A" w:rsidP="00AA08EA">
      <w:pPr>
        <w:jc w:val="both"/>
        <w:rPr>
          <w:b/>
          <w:lang w:val="es-MX"/>
        </w:rPr>
      </w:pPr>
      <w:r w:rsidRPr="00AA08EA">
        <w:rPr>
          <w:b/>
          <w:lang w:val="es-MX"/>
        </w:rPr>
        <w:t>M</w:t>
      </w:r>
      <w:r w:rsidR="00A037AE" w:rsidRPr="00AA08EA">
        <w:rPr>
          <w:b/>
          <w:lang w:val="es-MX"/>
        </w:rPr>
        <w:t xml:space="preserve">ateriales </w:t>
      </w:r>
      <w:r w:rsidR="00A037AE">
        <w:rPr>
          <w:b/>
          <w:lang w:val="es-MX"/>
        </w:rPr>
        <w:t>y</w:t>
      </w:r>
      <w:r w:rsidR="00A037AE" w:rsidRPr="00AA08EA">
        <w:rPr>
          <w:b/>
          <w:lang w:val="es-MX"/>
        </w:rPr>
        <w:t xml:space="preserve"> </w:t>
      </w:r>
      <w:r w:rsidR="00773FDE">
        <w:rPr>
          <w:b/>
          <w:lang w:val="es-MX"/>
        </w:rPr>
        <w:t>m</w:t>
      </w:r>
      <w:r w:rsidR="00773FDE" w:rsidRPr="00AA08EA">
        <w:rPr>
          <w:b/>
          <w:lang w:val="es-MX"/>
        </w:rPr>
        <w:t>étodos</w:t>
      </w:r>
    </w:p>
    <w:p w:rsidR="00AA08EA" w:rsidRDefault="00AA08EA" w:rsidP="00AA08EA">
      <w:pPr>
        <w:jc w:val="both"/>
        <w:rPr>
          <w:lang w:val="es-AR"/>
        </w:rPr>
      </w:pPr>
    </w:p>
    <w:p w:rsidR="00AA08EA" w:rsidRDefault="00AA08EA" w:rsidP="00AA08EA">
      <w:pPr>
        <w:jc w:val="both"/>
        <w:rPr>
          <w:rStyle w:val="apple-converted-space"/>
          <w:rFonts w:eastAsia="Arial Unicode MS"/>
          <w:b/>
          <w:bCs/>
          <w:shd w:val="clear" w:color="auto" w:fill="FFFFFF"/>
        </w:rPr>
      </w:pPr>
      <w:r w:rsidRPr="00740C37">
        <w:rPr>
          <w:rStyle w:val="apple-converted-space"/>
          <w:rFonts w:eastAsia="Arial Unicode MS"/>
          <w:b/>
          <w:bCs/>
          <w:shd w:val="clear" w:color="auto" w:fill="FFFFFF"/>
        </w:rPr>
        <w:lastRenderedPageBreak/>
        <w:t xml:space="preserve">Preparación de las suspensiones de </w:t>
      </w:r>
      <w:r w:rsidRPr="00740C37">
        <w:rPr>
          <w:rStyle w:val="apple-converted-space"/>
          <w:rFonts w:eastAsia="Arial Unicode MS"/>
          <w:b/>
          <w:bCs/>
          <w:i/>
          <w:iCs/>
          <w:shd w:val="clear" w:color="auto" w:fill="FFFFFF"/>
        </w:rPr>
        <w:t>T. asperellum</w:t>
      </w:r>
      <w:r w:rsidRPr="00F52C4A">
        <w:rPr>
          <w:rStyle w:val="apple-converted-space"/>
          <w:rFonts w:eastAsia="Arial Unicode MS"/>
          <w:b/>
          <w:bCs/>
          <w:shd w:val="clear" w:color="auto" w:fill="FFFFFF"/>
        </w:rPr>
        <w:t xml:space="preserve"> </w:t>
      </w:r>
    </w:p>
    <w:p w:rsidR="00AA08EA" w:rsidRDefault="00AA08EA" w:rsidP="00AA08EA">
      <w:pPr>
        <w:jc w:val="both"/>
        <w:rPr>
          <w:lang w:val="es-AR"/>
        </w:rPr>
      </w:pPr>
    </w:p>
    <w:p w:rsidR="00AA08EA" w:rsidRDefault="00AA08EA" w:rsidP="00AA08EA">
      <w:pPr>
        <w:jc w:val="both"/>
        <w:rPr>
          <w:color w:val="000000"/>
          <w:lang w:val="es-MX"/>
        </w:rPr>
      </w:pPr>
      <w:r w:rsidRPr="0042422C">
        <w:rPr>
          <w:rStyle w:val="apple-converted-space"/>
          <w:rFonts w:eastAsia="Arial Unicode MS"/>
          <w:shd w:val="clear" w:color="auto" w:fill="FFFFFF"/>
        </w:rPr>
        <w:t xml:space="preserve">Los aislamientos T25, T46, T84 y T109 provienen de la colección de microorganismos de la Unidad de Biotecnología y Control Biológico de la Corporación para Investigaciones Biológicas - CIB (Medellín, Colombia) fueron clasificados como </w:t>
      </w:r>
      <w:r w:rsidRPr="00466C54">
        <w:rPr>
          <w:rStyle w:val="apple-converted-space"/>
          <w:rFonts w:eastAsia="Arial Unicode MS"/>
          <w:i/>
          <w:iCs/>
          <w:shd w:val="clear" w:color="auto" w:fill="FFFFFF"/>
        </w:rPr>
        <w:t>Trichoderma asperellum</w:t>
      </w:r>
      <w:r w:rsidRPr="00466C54">
        <w:rPr>
          <w:rStyle w:val="apple-converted-space"/>
          <w:rFonts w:eastAsia="Arial Unicode MS"/>
          <w:shd w:val="clear" w:color="auto" w:fill="FFFFFF"/>
        </w:rPr>
        <w:t xml:space="preserve"> por </w:t>
      </w:r>
      <w:r w:rsidRPr="00466C54">
        <w:rPr>
          <w:lang w:val="es-ES"/>
        </w:rPr>
        <w:t>Hoyos-Carvajal et al. (2009). En el presente trabajo</w:t>
      </w:r>
      <w:r w:rsidRPr="00924F23">
        <w:rPr>
          <w:lang w:val="es-ES"/>
        </w:rPr>
        <w:t xml:space="preserve"> se prepararon suspensiones de cada uno de los aislamientos partiendo de cultivo</w:t>
      </w:r>
      <w:r>
        <w:rPr>
          <w:lang w:val="es-ES"/>
        </w:rPr>
        <w:t xml:space="preserve">s </w:t>
      </w:r>
      <w:r w:rsidRPr="00675BE1">
        <w:rPr>
          <w:lang w:val="es-ES"/>
        </w:rPr>
        <w:t>realiza</w:t>
      </w:r>
      <w:r>
        <w:rPr>
          <w:lang w:val="es-ES"/>
        </w:rPr>
        <w:t>dos</w:t>
      </w:r>
      <w:r w:rsidRPr="00675BE1">
        <w:rPr>
          <w:lang w:val="es-ES"/>
        </w:rPr>
        <w:t xml:space="preserve"> en botellas de vidrio conteniendo una mezcla de </w:t>
      </w:r>
      <w:r w:rsidRPr="00675BE1">
        <w:rPr>
          <w:bCs/>
          <w:color w:val="000000"/>
          <w:lang w:val="es-MX"/>
        </w:rPr>
        <w:t xml:space="preserve">20 g </w:t>
      </w:r>
      <w:r w:rsidRPr="00675BE1">
        <w:rPr>
          <w:lang w:val="es-MX"/>
        </w:rPr>
        <w:t xml:space="preserve">arroz cocido, </w:t>
      </w:r>
      <w:r w:rsidRPr="00675BE1">
        <w:rPr>
          <w:bCs/>
          <w:color w:val="000000"/>
          <w:lang w:val="es-MX"/>
        </w:rPr>
        <w:t xml:space="preserve">25 ml de agua destilada estéril, </w:t>
      </w:r>
      <w:r w:rsidRPr="00675BE1">
        <w:rPr>
          <w:lang w:val="es-MX"/>
        </w:rPr>
        <w:t xml:space="preserve">2 g de glucosa y 2 ml de una solución de ácido láctico al 3 % v/v. Luego de </w:t>
      </w:r>
      <w:r>
        <w:rPr>
          <w:lang w:val="es-MX"/>
        </w:rPr>
        <w:t>esterilizadas</w:t>
      </w:r>
      <w:r w:rsidRPr="00675BE1">
        <w:rPr>
          <w:lang w:val="es-MX"/>
        </w:rPr>
        <w:t xml:space="preserve">, las botellas se sembraron e incubaron bajo condiciones de </w:t>
      </w:r>
      <w:r>
        <w:rPr>
          <w:lang w:val="es-MX"/>
        </w:rPr>
        <w:t>asepsia</w:t>
      </w:r>
      <w:r w:rsidRPr="00675BE1">
        <w:rPr>
          <w:lang w:val="es-MX"/>
        </w:rPr>
        <w:t xml:space="preserve"> a temperatura ambiente. Luego de 8 días se removieron las conidias con agua de red estéril y se </w:t>
      </w:r>
      <w:r>
        <w:rPr>
          <w:lang w:val="es-MX"/>
        </w:rPr>
        <w:t xml:space="preserve">realizaron </w:t>
      </w:r>
      <w:r w:rsidRPr="00675BE1">
        <w:rPr>
          <w:lang w:val="es-MX"/>
        </w:rPr>
        <w:t>dilu</w:t>
      </w:r>
      <w:r>
        <w:rPr>
          <w:lang w:val="es-MX"/>
        </w:rPr>
        <w:t>ciones</w:t>
      </w:r>
      <w:r w:rsidRPr="00675BE1">
        <w:rPr>
          <w:lang w:val="es-MX"/>
        </w:rPr>
        <w:t xml:space="preserve"> hasta alcanzar las concentraciones requeridas. </w:t>
      </w:r>
      <w:r w:rsidRPr="0042422C">
        <w:rPr>
          <w:lang w:val="es-MX"/>
        </w:rPr>
        <w:t xml:space="preserve">Se utilizó agua de red porque tiene solutos en un rango constante, los solutos permiten </w:t>
      </w:r>
      <w:r w:rsidRPr="0042422C">
        <w:rPr>
          <w:rStyle w:val="st"/>
          <w:lang w:val="es-AR"/>
        </w:rPr>
        <w:t xml:space="preserve">evitar un </w:t>
      </w:r>
      <w:r>
        <w:rPr>
          <w:rStyle w:val="nfasis"/>
          <w:i w:val="0"/>
          <w:lang w:val="es-AR"/>
        </w:rPr>
        <w:t>choque</w:t>
      </w:r>
      <w:r w:rsidRPr="0042422C">
        <w:rPr>
          <w:rStyle w:val="nfasis"/>
          <w:i w:val="0"/>
          <w:lang w:val="es-AR"/>
        </w:rPr>
        <w:t xml:space="preserve"> hipotónico</w:t>
      </w:r>
      <w:r w:rsidRPr="0042422C">
        <w:rPr>
          <w:rStyle w:val="st"/>
          <w:lang w:val="es-AR"/>
        </w:rPr>
        <w:t xml:space="preserve"> como el que podría provocar el </w:t>
      </w:r>
      <w:r w:rsidRPr="0042422C">
        <w:rPr>
          <w:rStyle w:val="nfasis"/>
          <w:i w:val="0"/>
          <w:lang w:val="es-AR"/>
        </w:rPr>
        <w:t>agua destilada que carece de solutos</w:t>
      </w:r>
      <w:r w:rsidRPr="0042422C">
        <w:rPr>
          <w:rStyle w:val="nfasis"/>
          <w:lang w:val="es-AR"/>
        </w:rPr>
        <w:t>.</w:t>
      </w:r>
      <w:r w:rsidRPr="0042422C">
        <w:rPr>
          <w:rStyle w:val="st"/>
          <w:lang w:val="es-AR"/>
        </w:rPr>
        <w:t xml:space="preserve"> </w:t>
      </w:r>
      <w:r w:rsidRPr="0042422C">
        <w:rPr>
          <w:lang w:val="es-MX"/>
        </w:rPr>
        <w:t>La concentración y viabilidad de las conidias en las suspensiones se determinaron sembrando diluciones de las suspensiones en agar papa dextrosa</w:t>
      </w:r>
      <w:r w:rsidRPr="0042422C">
        <w:rPr>
          <w:lang w:val="es-AR"/>
        </w:rPr>
        <w:t xml:space="preserve"> (Oxoid</w:t>
      </w:r>
      <w:r>
        <w:rPr>
          <w:lang w:val="es-AR"/>
        </w:rPr>
        <w:t xml:space="preserve"> </w:t>
      </w:r>
      <w:r w:rsidRPr="00AA08EA">
        <w:rPr>
          <w:vertAlign w:val="superscript"/>
          <w:lang w:val="es-AR"/>
        </w:rPr>
        <w:t>TM</w:t>
      </w:r>
      <w:r w:rsidRPr="0042422C">
        <w:rPr>
          <w:lang w:val="es-AR"/>
        </w:rPr>
        <w:t>, Thermo Fisher Scientific Inc.)</w:t>
      </w:r>
      <w:r w:rsidRPr="0042422C">
        <w:rPr>
          <w:color w:val="000000"/>
          <w:lang w:val="es-MX"/>
        </w:rPr>
        <w:t xml:space="preserve">. </w:t>
      </w:r>
    </w:p>
    <w:p w:rsidR="00AA08EA" w:rsidRDefault="00AA08EA" w:rsidP="00AA08EA">
      <w:pPr>
        <w:jc w:val="both"/>
        <w:rPr>
          <w:lang w:val="es-MX"/>
        </w:rPr>
      </w:pPr>
    </w:p>
    <w:p w:rsidR="00AA08EA" w:rsidRDefault="00AA08EA" w:rsidP="00AA08EA">
      <w:pPr>
        <w:jc w:val="both"/>
        <w:rPr>
          <w:b/>
          <w:bCs/>
          <w:lang w:val="es-MX"/>
        </w:rPr>
      </w:pPr>
      <w:r w:rsidRPr="00466C54">
        <w:rPr>
          <w:b/>
          <w:bCs/>
          <w:lang w:val="es-MX"/>
        </w:rPr>
        <w:t>Cultivo de las plántulas de tomate</w:t>
      </w:r>
    </w:p>
    <w:p w:rsidR="00AA08EA" w:rsidRDefault="00AA08EA" w:rsidP="00AA08EA">
      <w:pPr>
        <w:jc w:val="both"/>
        <w:rPr>
          <w:lang w:val="es-MX"/>
        </w:rPr>
      </w:pPr>
    </w:p>
    <w:p w:rsidR="00AA08EA" w:rsidRDefault="00AA08EA" w:rsidP="00AA08EA">
      <w:pPr>
        <w:jc w:val="both"/>
        <w:rPr>
          <w:bCs/>
          <w:color w:val="000000"/>
          <w:lang w:val="es-MX"/>
        </w:rPr>
      </w:pPr>
      <w:r w:rsidRPr="00740C37">
        <w:rPr>
          <w:lang w:val="es-MX"/>
        </w:rPr>
        <w:t xml:space="preserve">Las suspensiones de los aislamientos se aplicaron a plántulas embrionarias de tomate crecidas en forma individual </w:t>
      </w:r>
      <w:r w:rsidRPr="00740C37">
        <w:rPr>
          <w:bCs/>
          <w:color w:val="000000"/>
          <w:lang w:val="es-MX"/>
        </w:rPr>
        <w:t>en almácigos plásticos con 2 cm</w:t>
      </w:r>
      <w:r w:rsidRPr="00740C37">
        <w:rPr>
          <w:bCs/>
          <w:color w:val="000000"/>
          <w:vertAlign w:val="superscript"/>
          <w:lang w:val="es-MX"/>
        </w:rPr>
        <w:t>3</w:t>
      </w:r>
      <w:r w:rsidRPr="00740C37">
        <w:rPr>
          <w:bCs/>
          <w:color w:val="000000"/>
          <w:lang w:val="es-MX"/>
        </w:rPr>
        <w:t xml:space="preserve"> de sustrato orgánico L</w:t>
      </w:r>
      <w:r w:rsidRPr="00740C37">
        <w:rPr>
          <w:lang w:val="es-AR"/>
        </w:rPr>
        <w:t>ombricompuesto</w:t>
      </w:r>
      <w:r w:rsidRPr="00AA08EA">
        <w:rPr>
          <w:vertAlign w:val="superscript"/>
          <w:lang w:val="es-AR"/>
        </w:rPr>
        <w:t>TR</w:t>
      </w:r>
      <w:r w:rsidRPr="00466C54">
        <w:rPr>
          <w:lang w:val="es-AR"/>
        </w:rPr>
        <w:t xml:space="preserve"> (Jardines Sierra</w:t>
      </w:r>
      <w:r w:rsidRPr="00466C54">
        <w:rPr>
          <w:bCs/>
          <w:color w:val="000000"/>
          <w:lang w:val="es-MX"/>
        </w:rPr>
        <w:t xml:space="preserve">). Se consideró como plántula embrionaria, la plántula con sus hojas cotiledonares totalmente desplegadas, </w:t>
      </w:r>
      <w:r w:rsidRPr="00466C54">
        <w:rPr>
          <w:bCs/>
          <w:color w:val="000000"/>
          <w:lang w:val="es-AR"/>
        </w:rPr>
        <w:t>estadio principal 10 (Meier, 2001)</w:t>
      </w:r>
      <w:r w:rsidRPr="00466C54">
        <w:rPr>
          <w:bCs/>
          <w:color w:val="000000"/>
          <w:lang w:val="es-MX"/>
        </w:rPr>
        <w:t xml:space="preserve">. Las </w:t>
      </w:r>
      <w:r w:rsidRPr="00466C54">
        <w:rPr>
          <w:lang w:val="es-MX"/>
        </w:rPr>
        <w:t xml:space="preserve">plántulas </w:t>
      </w:r>
      <w:r w:rsidRPr="00466C54">
        <w:rPr>
          <w:bCs/>
          <w:color w:val="000000"/>
          <w:lang w:val="es-MX"/>
        </w:rPr>
        <w:t>se originaron a partir de</w:t>
      </w:r>
      <w:r w:rsidRPr="00466C54">
        <w:rPr>
          <w:lang w:val="es-MX"/>
        </w:rPr>
        <w:t xml:space="preserve"> semillas de </w:t>
      </w:r>
      <w:r w:rsidRPr="00466C54">
        <w:rPr>
          <w:i/>
          <w:iCs/>
          <w:lang w:val="es-MX"/>
        </w:rPr>
        <w:t>Solanum lycopersicum</w:t>
      </w:r>
      <w:r w:rsidRPr="001E40C5">
        <w:rPr>
          <w:lang w:val="es-MX"/>
        </w:rPr>
        <w:t xml:space="preserve"> L</w:t>
      </w:r>
      <w:r w:rsidRPr="001E40C5">
        <w:rPr>
          <w:bCs/>
          <w:color w:val="000000"/>
          <w:lang w:val="es-MX"/>
        </w:rPr>
        <w:t xml:space="preserve"> variedad Chonto Sa</w:t>
      </w:r>
      <w:r w:rsidRPr="00740C37">
        <w:rPr>
          <w:bCs/>
          <w:color w:val="000000"/>
          <w:lang w:val="es-MX"/>
        </w:rPr>
        <w:t>nta Cruz (</w:t>
      </w:r>
      <w:r w:rsidRPr="00740C37">
        <w:rPr>
          <w:rStyle w:val="titulo"/>
          <w:lang w:val="es-AR"/>
        </w:rPr>
        <w:t>Fercon S.A</w:t>
      </w:r>
      <w:r w:rsidR="00A037AE">
        <w:rPr>
          <w:rStyle w:val="titulo"/>
          <w:lang w:val="es-AR"/>
        </w:rPr>
        <w:t>.</w:t>
      </w:r>
      <w:r w:rsidRPr="00740C37">
        <w:rPr>
          <w:rStyle w:val="titulo"/>
          <w:lang w:val="es-AR"/>
        </w:rPr>
        <w:t>)</w:t>
      </w:r>
      <w:r w:rsidRPr="00740C37">
        <w:rPr>
          <w:bCs/>
          <w:color w:val="000000"/>
          <w:lang w:val="es-MX"/>
        </w:rPr>
        <w:t xml:space="preserve">. Las semillas sembradas fueron dispuestas </w:t>
      </w:r>
      <w:r w:rsidRPr="00740C37">
        <w:rPr>
          <w:lang w:val="es-MX"/>
        </w:rPr>
        <w:t>bajo luz controlada en un ciclo de 12h luz/12h oscuridad, a una temperatura de 20 ± 1ºC y con un régimen de riego de 3 ml de agua por plántula 3 veces por semana. No se utilizaron pesticidas, ni fertilizantes</w:t>
      </w:r>
      <w:r w:rsidRPr="00740C37">
        <w:rPr>
          <w:bCs/>
          <w:color w:val="000000"/>
          <w:lang w:val="es-MX"/>
        </w:rPr>
        <w:t>.</w:t>
      </w:r>
    </w:p>
    <w:p w:rsidR="00AA08EA" w:rsidRDefault="00AA08EA" w:rsidP="00AA08EA">
      <w:pPr>
        <w:jc w:val="both"/>
        <w:rPr>
          <w:bCs/>
          <w:color w:val="000000"/>
          <w:lang w:val="es-MX"/>
        </w:rPr>
      </w:pPr>
    </w:p>
    <w:p w:rsidR="00AA08EA" w:rsidRDefault="00AA08EA" w:rsidP="00E763EC">
      <w:pPr>
        <w:pStyle w:val="Textocomentario"/>
        <w:rPr>
          <w:sz w:val="24"/>
          <w:szCs w:val="24"/>
        </w:rPr>
      </w:pPr>
      <w:r w:rsidRPr="007E5F93">
        <w:rPr>
          <w:b/>
          <w:bCs/>
          <w:sz w:val="24"/>
          <w:szCs w:val="24"/>
          <w:lang w:val="es-MX"/>
        </w:rPr>
        <w:t>Diseño experimental</w:t>
      </w:r>
    </w:p>
    <w:p w:rsidR="00A42010" w:rsidRDefault="00A42010" w:rsidP="00EB0ABE">
      <w:pPr>
        <w:pStyle w:val="Textocomentario"/>
        <w:rPr>
          <w:sz w:val="24"/>
          <w:szCs w:val="24"/>
        </w:rPr>
      </w:pPr>
    </w:p>
    <w:p w:rsidR="00937363" w:rsidRDefault="00B4736A" w:rsidP="00D06F2F">
      <w:pPr>
        <w:jc w:val="both"/>
        <w:rPr>
          <w:bCs/>
          <w:color w:val="000000"/>
          <w:lang w:val="es-MX"/>
        </w:rPr>
      </w:pPr>
      <w:r>
        <w:rPr>
          <w:lang w:val="es-MX"/>
        </w:rPr>
        <w:t xml:space="preserve">El </w:t>
      </w:r>
      <w:r w:rsidR="0072126B">
        <w:rPr>
          <w:lang w:val="es-MX"/>
        </w:rPr>
        <w:t xml:space="preserve">incremento longitudinal de las plántulas </w:t>
      </w:r>
      <w:r>
        <w:rPr>
          <w:lang w:val="es-MX"/>
        </w:rPr>
        <w:t xml:space="preserve">se comparó durante </w:t>
      </w:r>
      <w:r w:rsidR="004D5199">
        <w:rPr>
          <w:lang w:val="es-MX"/>
        </w:rPr>
        <w:t xml:space="preserve">un periodo de </w:t>
      </w:r>
      <w:r w:rsidR="007E5F93" w:rsidRPr="00740C37">
        <w:rPr>
          <w:lang w:val="es-MX"/>
        </w:rPr>
        <w:t>28 días</w:t>
      </w:r>
      <w:r w:rsidR="007E5F93" w:rsidRPr="007E5F93">
        <w:rPr>
          <w:lang w:val="es-MX"/>
        </w:rPr>
        <w:t xml:space="preserve"> </w:t>
      </w:r>
      <w:r w:rsidR="004D5199">
        <w:rPr>
          <w:lang w:val="es-MX"/>
        </w:rPr>
        <w:t xml:space="preserve">luego de la aplicación </w:t>
      </w:r>
      <w:r w:rsidR="007E5F93">
        <w:rPr>
          <w:lang w:val="es-MX"/>
        </w:rPr>
        <w:t>de los aislamientos</w:t>
      </w:r>
      <w:r w:rsidR="00C068DE">
        <w:rPr>
          <w:lang w:val="es-MX"/>
        </w:rPr>
        <w:t xml:space="preserve"> de </w:t>
      </w:r>
      <w:r w:rsidR="00C068DE" w:rsidRPr="00C068DE">
        <w:rPr>
          <w:i/>
          <w:iCs/>
          <w:lang w:val="es-MX"/>
        </w:rPr>
        <w:t xml:space="preserve">T asperellum </w:t>
      </w:r>
      <w:r w:rsidR="00C068DE">
        <w:rPr>
          <w:lang w:val="es-MX"/>
        </w:rPr>
        <w:t>(</w:t>
      </w:r>
      <w:r w:rsidR="00562AAF">
        <w:rPr>
          <w:lang w:val="es-MX"/>
        </w:rPr>
        <w:t>Tratamientos: control</w:t>
      </w:r>
      <w:r w:rsidR="00064958">
        <w:rPr>
          <w:lang w:val="es-MX"/>
        </w:rPr>
        <w:t>,</w:t>
      </w:r>
      <w:r w:rsidR="00562AAF">
        <w:rPr>
          <w:lang w:val="es-MX"/>
        </w:rPr>
        <w:t xml:space="preserve"> </w:t>
      </w:r>
      <w:r w:rsidR="00C068DE">
        <w:rPr>
          <w:lang w:val="es-MX"/>
        </w:rPr>
        <w:t>T25, T46, T84 y T109)</w:t>
      </w:r>
      <w:r w:rsidR="007E5F93">
        <w:rPr>
          <w:lang w:val="es-MX"/>
        </w:rPr>
        <w:t xml:space="preserve">. La longitud de las raíces de las plántulas </w:t>
      </w:r>
      <w:r w:rsidR="00C068DE">
        <w:rPr>
          <w:lang w:val="es-MX"/>
        </w:rPr>
        <w:t xml:space="preserve">se comparó </w:t>
      </w:r>
      <w:r w:rsidR="007E5F93">
        <w:rPr>
          <w:lang w:val="es-MX"/>
        </w:rPr>
        <w:t xml:space="preserve">luego de </w:t>
      </w:r>
      <w:r w:rsidR="007E5F93" w:rsidRPr="00466C54">
        <w:rPr>
          <w:lang w:val="es-MX"/>
        </w:rPr>
        <w:t xml:space="preserve">21 días </w:t>
      </w:r>
      <w:r w:rsidR="007E5F93">
        <w:rPr>
          <w:lang w:val="es-MX"/>
        </w:rPr>
        <w:t xml:space="preserve">de la aplicación </w:t>
      </w:r>
      <w:r w:rsidR="007E5F93" w:rsidRPr="00466C54">
        <w:rPr>
          <w:lang w:val="es-MX"/>
        </w:rPr>
        <w:t xml:space="preserve">de los aislamientos de </w:t>
      </w:r>
      <w:r w:rsidR="007E5F93" w:rsidRPr="00466C54">
        <w:rPr>
          <w:i/>
          <w:iCs/>
          <w:lang w:val="es-MX"/>
        </w:rPr>
        <w:t xml:space="preserve">T. asperellum </w:t>
      </w:r>
      <w:r w:rsidR="007E5F93" w:rsidRPr="00466C54">
        <w:rPr>
          <w:lang w:val="es-MX"/>
        </w:rPr>
        <w:t>(T46 y T109) y de la auxina sintética ácido naftalenacético (ANA)</w:t>
      </w:r>
      <w:r w:rsidR="00A53372">
        <w:rPr>
          <w:lang w:val="es-MX"/>
        </w:rPr>
        <w:t>.</w:t>
      </w:r>
      <w:r w:rsidR="00A53372" w:rsidRPr="00466C54">
        <w:rPr>
          <w:lang w:val="es-MX"/>
        </w:rPr>
        <w:t xml:space="preserve"> </w:t>
      </w:r>
      <w:r w:rsidR="00913102">
        <w:rPr>
          <w:lang w:val="es-MX"/>
        </w:rPr>
        <w:t>Se escogieron T109 y T46 porque tuvieron efecto</w:t>
      </w:r>
      <w:r>
        <w:rPr>
          <w:lang w:val="es-MX"/>
        </w:rPr>
        <w:t xml:space="preserve"> contrario</w:t>
      </w:r>
      <w:r w:rsidR="00913102">
        <w:rPr>
          <w:lang w:val="es-MX"/>
        </w:rPr>
        <w:t xml:space="preserve"> sobre el crecimiento longitudinal </w:t>
      </w:r>
      <w:r>
        <w:rPr>
          <w:lang w:val="es-MX"/>
        </w:rPr>
        <w:t xml:space="preserve">de las plántulas </w:t>
      </w:r>
      <w:r w:rsidR="00913102">
        <w:rPr>
          <w:lang w:val="es-MX"/>
        </w:rPr>
        <w:t>(</w:t>
      </w:r>
      <w:r w:rsidR="005D04A4">
        <w:rPr>
          <w:lang w:val="es-MX"/>
        </w:rPr>
        <w:t xml:space="preserve">figura </w:t>
      </w:r>
      <w:r w:rsidR="00913102">
        <w:rPr>
          <w:lang w:val="es-MX"/>
        </w:rPr>
        <w:t xml:space="preserve">1). </w:t>
      </w:r>
      <w:r w:rsidR="00562AAF" w:rsidRPr="00466C54">
        <w:rPr>
          <w:lang w:val="es-MX"/>
        </w:rPr>
        <w:t xml:space="preserve">Para </w:t>
      </w:r>
      <w:r w:rsidR="00064958">
        <w:rPr>
          <w:lang w:val="es-MX"/>
        </w:rPr>
        <w:t>las pruebas de</w:t>
      </w:r>
      <w:r w:rsidR="00064958" w:rsidRPr="00466C54">
        <w:rPr>
          <w:lang w:val="es-MX"/>
        </w:rPr>
        <w:t xml:space="preserve"> </w:t>
      </w:r>
      <w:r w:rsidR="00562AAF" w:rsidRPr="00466C54">
        <w:rPr>
          <w:lang w:val="es-MX"/>
        </w:rPr>
        <w:t>ANA</w:t>
      </w:r>
      <w:r w:rsidR="00562AAF">
        <w:rPr>
          <w:lang w:val="es-MX"/>
        </w:rPr>
        <w:t xml:space="preserve">, </w:t>
      </w:r>
      <w:r w:rsidR="00562AAF" w:rsidRPr="00466C54">
        <w:rPr>
          <w:lang w:val="es-MX"/>
        </w:rPr>
        <w:t>se aplicaron 0,41 ml por plántula del producto Hormonagro</w:t>
      </w:r>
      <w:r w:rsidR="00562AAF" w:rsidRPr="00AA08EA">
        <w:rPr>
          <w:vertAlign w:val="superscript"/>
          <w:lang w:val="es-MX"/>
        </w:rPr>
        <w:t>TR</w:t>
      </w:r>
      <w:r w:rsidR="00562AAF" w:rsidRPr="00466C54">
        <w:rPr>
          <w:vertAlign w:val="superscript"/>
          <w:lang w:val="es-MX"/>
        </w:rPr>
        <w:t xml:space="preserve"> </w:t>
      </w:r>
      <w:r w:rsidR="00562AAF" w:rsidRPr="00466C54">
        <w:rPr>
          <w:lang w:val="es-MX"/>
        </w:rPr>
        <w:t>(Colinagro).</w:t>
      </w:r>
      <w:r w:rsidR="00562AAF">
        <w:rPr>
          <w:lang w:val="es-MX"/>
        </w:rPr>
        <w:t xml:space="preserve"> </w:t>
      </w:r>
      <w:r w:rsidR="00562AAF" w:rsidRPr="00466C54">
        <w:rPr>
          <w:lang w:val="es-MX"/>
        </w:rPr>
        <w:t>La concentración aplicada cumple con las especificaciones del producto, 0,516 mg/m</w:t>
      </w:r>
      <w:r w:rsidR="00562AAF" w:rsidRPr="00466C54">
        <w:rPr>
          <w:vertAlign w:val="superscript"/>
          <w:lang w:val="es-MX"/>
        </w:rPr>
        <w:t>2</w:t>
      </w:r>
      <w:r w:rsidR="00562AAF" w:rsidRPr="00466C54">
        <w:rPr>
          <w:lang w:val="es-MX"/>
        </w:rPr>
        <w:t xml:space="preserve"> a partir de una concentración de 25,3 mg/L</w:t>
      </w:r>
      <w:r w:rsidR="00562AAF">
        <w:rPr>
          <w:lang w:val="es-MX"/>
        </w:rPr>
        <w:t>. En este experimento</w:t>
      </w:r>
      <w:r w:rsidR="00995B94">
        <w:rPr>
          <w:lang w:val="es-MX"/>
        </w:rPr>
        <w:t xml:space="preserve">, los tratamientos fueron </w:t>
      </w:r>
      <w:r>
        <w:rPr>
          <w:lang w:val="es-MX"/>
        </w:rPr>
        <w:t xml:space="preserve">T46, T109 </w:t>
      </w:r>
      <w:r w:rsidR="00995B94">
        <w:rPr>
          <w:lang w:val="es-MX"/>
        </w:rPr>
        <w:t>y ANA.</w:t>
      </w:r>
      <w:r w:rsidR="00995B94" w:rsidRPr="00995B94">
        <w:rPr>
          <w:lang w:val="es-MX"/>
        </w:rPr>
        <w:t xml:space="preserve"> </w:t>
      </w:r>
      <w:r w:rsidR="00995B94">
        <w:rPr>
          <w:lang w:val="es-MX"/>
        </w:rPr>
        <w:t>L</w:t>
      </w:r>
      <w:r w:rsidR="00995B94" w:rsidRPr="00740C37">
        <w:rPr>
          <w:lang w:val="es-MX"/>
        </w:rPr>
        <w:t>a longitud y el peso seco de plántulas</w:t>
      </w:r>
      <w:r w:rsidR="00995B94">
        <w:rPr>
          <w:lang w:val="es-MX"/>
        </w:rPr>
        <w:t>, fueron determinados cada 7 días durante 21 días, luego de la aplicación de</w:t>
      </w:r>
      <w:r w:rsidR="00D06F2F">
        <w:rPr>
          <w:lang w:val="es-MX"/>
        </w:rPr>
        <w:t>l aislamiento.</w:t>
      </w:r>
      <w:r w:rsidR="00995B94">
        <w:rPr>
          <w:lang w:val="es-MX"/>
        </w:rPr>
        <w:t xml:space="preserve"> </w:t>
      </w:r>
      <w:r w:rsidR="00D06F2F">
        <w:rPr>
          <w:lang w:val="es-MX"/>
        </w:rPr>
        <w:t>L</w:t>
      </w:r>
      <w:r w:rsidR="00995B94">
        <w:rPr>
          <w:lang w:val="es-MX"/>
        </w:rPr>
        <w:t>os tratamientos fueron la aplicación de T109 (niveles: control y</w:t>
      </w:r>
      <w:r w:rsidR="004B65B3">
        <w:rPr>
          <w:lang w:val="es-MX"/>
        </w:rPr>
        <w:t xml:space="preserve"> </w:t>
      </w:r>
      <w:r w:rsidR="00995B94">
        <w:rPr>
          <w:lang w:val="es-MX"/>
        </w:rPr>
        <w:t>T109) y el tiempo (niveles: 0</w:t>
      </w:r>
      <w:r w:rsidR="00064958">
        <w:rPr>
          <w:lang w:val="es-MX"/>
        </w:rPr>
        <w:t>,</w:t>
      </w:r>
      <w:r w:rsidR="00995B94">
        <w:rPr>
          <w:lang w:val="es-MX"/>
        </w:rPr>
        <w:t xml:space="preserve"> 7</w:t>
      </w:r>
      <w:r w:rsidR="00064958">
        <w:rPr>
          <w:lang w:val="es-MX"/>
        </w:rPr>
        <w:t>,</w:t>
      </w:r>
      <w:r w:rsidR="00995B94">
        <w:rPr>
          <w:lang w:val="es-MX"/>
        </w:rPr>
        <w:t xml:space="preserve"> 14 y 21 días).</w:t>
      </w:r>
      <w:r w:rsidR="00A11FDB">
        <w:rPr>
          <w:bCs/>
          <w:color w:val="000000"/>
          <w:lang w:val="es-MX"/>
        </w:rPr>
        <w:t xml:space="preserve"> Dada la limitación de los almácigos donde se sembraron las </w:t>
      </w:r>
      <w:r w:rsidR="00937363">
        <w:rPr>
          <w:bCs/>
          <w:color w:val="000000"/>
          <w:lang w:val="es-MX"/>
        </w:rPr>
        <w:t>semillas</w:t>
      </w:r>
      <w:r w:rsidR="00D73334">
        <w:rPr>
          <w:bCs/>
          <w:color w:val="000000"/>
          <w:lang w:val="es-MX"/>
        </w:rPr>
        <w:t xml:space="preserve">, </w:t>
      </w:r>
      <w:r w:rsidR="00A11FDB">
        <w:rPr>
          <w:bCs/>
          <w:color w:val="000000"/>
          <w:lang w:val="es-MX"/>
        </w:rPr>
        <w:t xml:space="preserve">largos periodos </w:t>
      </w:r>
      <w:r w:rsidR="00937363">
        <w:rPr>
          <w:bCs/>
          <w:color w:val="000000"/>
          <w:lang w:val="es-MX"/>
        </w:rPr>
        <w:t xml:space="preserve">de cultivo de las plántulas </w:t>
      </w:r>
      <w:r w:rsidR="00A11FDB">
        <w:rPr>
          <w:bCs/>
          <w:color w:val="000000"/>
          <w:lang w:val="es-MX"/>
        </w:rPr>
        <w:t>pueden causar una subestimación del est</w:t>
      </w:r>
      <w:r w:rsidR="00FD7940">
        <w:rPr>
          <w:bCs/>
          <w:color w:val="000000"/>
          <w:lang w:val="es-MX"/>
        </w:rPr>
        <w:t>í</w:t>
      </w:r>
      <w:r w:rsidR="00A11FDB">
        <w:rPr>
          <w:bCs/>
          <w:color w:val="000000"/>
          <w:lang w:val="es-MX"/>
        </w:rPr>
        <w:t>mulo del crecimiento</w:t>
      </w:r>
      <w:r w:rsidR="00937363">
        <w:rPr>
          <w:bCs/>
          <w:color w:val="000000"/>
          <w:lang w:val="es-MX"/>
        </w:rPr>
        <w:t>. Por esa razón, se acorto el tiempo de cultiv</w:t>
      </w:r>
      <w:r w:rsidR="00D73334">
        <w:rPr>
          <w:bCs/>
          <w:color w:val="000000"/>
          <w:lang w:val="es-MX"/>
        </w:rPr>
        <w:t>o</w:t>
      </w:r>
      <w:r w:rsidR="00937363">
        <w:rPr>
          <w:bCs/>
          <w:color w:val="000000"/>
          <w:lang w:val="es-MX"/>
        </w:rPr>
        <w:t xml:space="preserve"> a medida que los experimentos revelaron un estímulo temprano del crecimiento</w:t>
      </w:r>
      <w:r w:rsidR="00D73334">
        <w:rPr>
          <w:bCs/>
          <w:color w:val="000000"/>
          <w:lang w:val="es-MX"/>
        </w:rPr>
        <w:t xml:space="preserve"> </w:t>
      </w:r>
      <w:r w:rsidR="00D73334">
        <w:rPr>
          <w:lang w:val="es-MX"/>
        </w:rPr>
        <w:t>(</w:t>
      </w:r>
      <w:r w:rsidR="005D04A4">
        <w:rPr>
          <w:lang w:val="es-MX"/>
        </w:rPr>
        <w:t>figura</w:t>
      </w:r>
      <w:r w:rsidR="00D73334">
        <w:rPr>
          <w:lang w:val="es-MX"/>
        </w:rPr>
        <w:t xml:space="preserve"> 3)</w:t>
      </w:r>
      <w:r w:rsidR="00937363">
        <w:rPr>
          <w:bCs/>
          <w:color w:val="000000"/>
          <w:lang w:val="es-MX"/>
        </w:rPr>
        <w:t xml:space="preserve">. </w:t>
      </w:r>
      <w:r w:rsidR="00995B94">
        <w:rPr>
          <w:lang w:val="es-MX"/>
        </w:rPr>
        <w:t xml:space="preserve">En </w:t>
      </w:r>
      <w:r w:rsidR="00D73334">
        <w:rPr>
          <w:lang w:val="es-MX"/>
        </w:rPr>
        <w:lastRenderedPageBreak/>
        <w:t>estos e</w:t>
      </w:r>
      <w:r w:rsidR="00995B94">
        <w:rPr>
          <w:lang w:val="es-MX"/>
        </w:rPr>
        <w:t>xperimentos</w:t>
      </w:r>
      <w:r w:rsidR="00D73334">
        <w:rPr>
          <w:lang w:val="es-MX"/>
        </w:rPr>
        <w:t>, las suspensiones aplicadas</w:t>
      </w:r>
      <w:r w:rsidR="00995B94">
        <w:rPr>
          <w:lang w:val="es-MX"/>
        </w:rPr>
        <w:t xml:space="preserve"> </w:t>
      </w:r>
      <w:r w:rsidR="00D73334">
        <w:rPr>
          <w:lang w:val="es-MX"/>
        </w:rPr>
        <w:t xml:space="preserve">tuvieron </w:t>
      </w:r>
      <w:r w:rsidR="00995B94">
        <w:rPr>
          <w:lang w:val="es-MX"/>
        </w:rPr>
        <w:t xml:space="preserve">una </w:t>
      </w:r>
      <w:r w:rsidR="00995B94" w:rsidRPr="00740C37">
        <w:rPr>
          <w:lang w:val="es-MX"/>
        </w:rPr>
        <w:t>concentración de 10</w:t>
      </w:r>
      <w:r w:rsidR="00995B94" w:rsidRPr="00740C37">
        <w:rPr>
          <w:vertAlign w:val="superscript"/>
          <w:lang w:val="es-MX"/>
        </w:rPr>
        <w:t>5</w:t>
      </w:r>
      <w:r w:rsidR="00995B94" w:rsidRPr="00740C37">
        <w:rPr>
          <w:lang w:val="es-MX"/>
        </w:rPr>
        <w:t xml:space="preserve"> conidias/m</w:t>
      </w:r>
      <w:r w:rsidR="00995B94">
        <w:rPr>
          <w:lang w:val="es-MX"/>
        </w:rPr>
        <w:t xml:space="preserve">l. </w:t>
      </w:r>
      <w:r w:rsidR="00913102">
        <w:rPr>
          <w:lang w:val="es-MX"/>
        </w:rPr>
        <w:t xml:space="preserve">El incremento longitudinal de las plántulas fue comparado </w:t>
      </w:r>
      <w:r w:rsidR="00913102" w:rsidRPr="00740C37">
        <w:rPr>
          <w:bCs/>
          <w:lang w:val="es-MX"/>
        </w:rPr>
        <w:t>luego de 8 días posteriores de la aplicación de suspensiones de concentraciones crecientes de</w:t>
      </w:r>
      <w:r w:rsidR="00D73334">
        <w:rPr>
          <w:bCs/>
          <w:lang w:val="es-MX"/>
        </w:rPr>
        <w:t xml:space="preserve"> conidias de </w:t>
      </w:r>
      <w:r w:rsidR="00913102" w:rsidRPr="00740C37">
        <w:rPr>
          <w:bCs/>
          <w:lang w:val="es-MX"/>
        </w:rPr>
        <w:t>T109</w:t>
      </w:r>
      <w:r w:rsidR="00A11FDB">
        <w:rPr>
          <w:bCs/>
          <w:lang w:val="es-MX"/>
        </w:rPr>
        <w:t xml:space="preserve"> (niveles</w:t>
      </w:r>
      <w:r w:rsidR="000353F1">
        <w:rPr>
          <w:bCs/>
          <w:lang w:val="es-MX"/>
        </w:rPr>
        <w:t xml:space="preserve">: </w:t>
      </w:r>
      <w:r w:rsidR="00A11FDB">
        <w:rPr>
          <w:bCs/>
          <w:lang w:val="es-MX"/>
        </w:rPr>
        <w:t xml:space="preserve">0, </w:t>
      </w:r>
      <w:r w:rsidR="00A11FDB" w:rsidRPr="00740C37">
        <w:rPr>
          <w:lang w:val="es-MX"/>
        </w:rPr>
        <w:t>10</w:t>
      </w:r>
      <w:r w:rsidR="00A11FDB" w:rsidRPr="00740C37">
        <w:rPr>
          <w:vertAlign w:val="superscript"/>
          <w:lang w:val="es-MX"/>
        </w:rPr>
        <w:t>4</w:t>
      </w:r>
      <w:r w:rsidR="00A11FDB" w:rsidRPr="00740C37">
        <w:rPr>
          <w:lang w:val="es-MX"/>
        </w:rPr>
        <w:t>, 10</w:t>
      </w:r>
      <w:r w:rsidR="00A11FDB">
        <w:rPr>
          <w:vertAlign w:val="superscript"/>
          <w:lang w:val="es-MX"/>
        </w:rPr>
        <w:t>5</w:t>
      </w:r>
      <w:r w:rsidR="00A11FDB" w:rsidRPr="00740C37">
        <w:rPr>
          <w:lang w:val="es-MX"/>
        </w:rPr>
        <w:t>, 10</w:t>
      </w:r>
      <w:r w:rsidR="00A11FDB">
        <w:rPr>
          <w:vertAlign w:val="superscript"/>
          <w:lang w:val="es-MX"/>
        </w:rPr>
        <w:t>6</w:t>
      </w:r>
      <w:r w:rsidR="00A11FDB" w:rsidRPr="00740C37">
        <w:rPr>
          <w:lang w:val="es-MX"/>
        </w:rPr>
        <w:t>, 10</w:t>
      </w:r>
      <w:r w:rsidR="00A11FDB" w:rsidRPr="00740C37">
        <w:rPr>
          <w:vertAlign w:val="superscript"/>
          <w:lang w:val="es-MX"/>
        </w:rPr>
        <w:t>7</w:t>
      </w:r>
      <w:r w:rsidR="00A11FDB" w:rsidRPr="00740C37">
        <w:rPr>
          <w:lang w:val="es-MX"/>
        </w:rPr>
        <w:t xml:space="preserve"> y 10</w:t>
      </w:r>
      <w:r w:rsidR="00A11FDB" w:rsidRPr="00740C37">
        <w:rPr>
          <w:vertAlign w:val="superscript"/>
          <w:lang w:val="es-MX"/>
        </w:rPr>
        <w:t>8</w:t>
      </w:r>
      <w:r w:rsidR="00A11FDB" w:rsidRPr="00740C37">
        <w:rPr>
          <w:lang w:val="es-MX"/>
        </w:rPr>
        <w:t xml:space="preserve"> conidias/ml.</w:t>
      </w:r>
      <w:r w:rsidR="00A11FDB">
        <w:rPr>
          <w:lang w:val="es-MX"/>
        </w:rPr>
        <w:t xml:space="preserve">) </w:t>
      </w:r>
      <w:r w:rsidR="00995B94" w:rsidRPr="00740C37">
        <w:rPr>
          <w:bCs/>
          <w:color w:val="000000"/>
          <w:lang w:val="es-MX"/>
        </w:rPr>
        <w:t xml:space="preserve">En todos los experimentos, </w:t>
      </w:r>
      <w:r w:rsidR="00995B94" w:rsidRPr="00740C37">
        <w:rPr>
          <w:lang w:val="es-MX"/>
        </w:rPr>
        <w:t>s</w:t>
      </w:r>
      <w:r w:rsidR="00995B94">
        <w:rPr>
          <w:lang w:val="es-MX"/>
        </w:rPr>
        <w:t>e</w:t>
      </w:r>
      <w:r w:rsidR="00995B94" w:rsidRPr="00740C37">
        <w:rPr>
          <w:lang w:val="es-MX"/>
        </w:rPr>
        <w:t xml:space="preserve"> dispus</w:t>
      </w:r>
      <w:r w:rsidR="00995B94">
        <w:rPr>
          <w:lang w:val="es-MX"/>
        </w:rPr>
        <w:t>o</w:t>
      </w:r>
      <w:r w:rsidR="00995B94" w:rsidRPr="00740C37">
        <w:rPr>
          <w:lang w:val="es-MX"/>
        </w:rPr>
        <w:t xml:space="preserve"> 10 plántulas embrionarias</w:t>
      </w:r>
      <w:r w:rsidR="00995B94">
        <w:rPr>
          <w:lang w:val="es-MX"/>
        </w:rPr>
        <w:t xml:space="preserve"> por tratamiento o nivel de tratamiento y </w:t>
      </w:r>
      <w:r w:rsidR="00995B94" w:rsidRPr="00740C37">
        <w:rPr>
          <w:bCs/>
          <w:color w:val="000000"/>
          <w:lang w:val="es-MX"/>
        </w:rPr>
        <w:t xml:space="preserve">se realizó una única aplicación de 10 ml de la </w:t>
      </w:r>
      <w:r w:rsidR="00D73334" w:rsidRPr="00740C37">
        <w:rPr>
          <w:bCs/>
          <w:color w:val="000000"/>
          <w:lang w:val="es-MX"/>
        </w:rPr>
        <w:t>suspensión</w:t>
      </w:r>
      <w:r w:rsidR="00995B94" w:rsidRPr="00740C37">
        <w:rPr>
          <w:bCs/>
          <w:color w:val="000000"/>
          <w:lang w:val="es-MX"/>
        </w:rPr>
        <w:t xml:space="preserve"> </w:t>
      </w:r>
      <w:r w:rsidR="00D73334">
        <w:rPr>
          <w:bCs/>
          <w:color w:val="000000"/>
          <w:lang w:val="es-MX"/>
        </w:rPr>
        <w:t xml:space="preserve">correspondiente </w:t>
      </w:r>
      <w:r w:rsidR="00995B94" w:rsidRPr="00740C37">
        <w:rPr>
          <w:bCs/>
          <w:color w:val="000000"/>
          <w:lang w:val="es-MX"/>
        </w:rPr>
        <w:t xml:space="preserve">o 10 ml de agua de red estéril como control </w:t>
      </w:r>
      <w:r w:rsidR="00995B94">
        <w:rPr>
          <w:bCs/>
          <w:color w:val="000000"/>
          <w:lang w:val="es-MX"/>
        </w:rPr>
        <w:t>cada p</w:t>
      </w:r>
      <w:r w:rsidR="00995B94" w:rsidRPr="00740C37">
        <w:rPr>
          <w:bCs/>
          <w:color w:val="000000"/>
          <w:lang w:val="es-MX"/>
        </w:rPr>
        <w:t>lántula</w:t>
      </w:r>
      <w:r w:rsidR="00995B94">
        <w:rPr>
          <w:bCs/>
          <w:color w:val="000000"/>
          <w:lang w:val="es-MX"/>
        </w:rPr>
        <w:t xml:space="preserve">. </w:t>
      </w:r>
    </w:p>
    <w:p w:rsidR="00801EE3" w:rsidRDefault="00801EE3" w:rsidP="00801EE3">
      <w:pPr>
        <w:pStyle w:val="Textoindependiente"/>
        <w:autoSpaceDE w:val="0"/>
        <w:spacing w:after="0"/>
        <w:jc w:val="both"/>
        <w:rPr>
          <w:b/>
          <w:lang w:val="es-MX"/>
        </w:rPr>
      </w:pPr>
    </w:p>
    <w:p w:rsidR="00801EE3" w:rsidRDefault="00801EE3" w:rsidP="00801EE3">
      <w:pPr>
        <w:pStyle w:val="Textoindependiente"/>
        <w:autoSpaceDE w:val="0"/>
        <w:spacing w:after="0"/>
        <w:jc w:val="both"/>
        <w:rPr>
          <w:b/>
          <w:lang w:val="es-MX"/>
        </w:rPr>
      </w:pPr>
      <w:r w:rsidRPr="00801EE3">
        <w:rPr>
          <w:b/>
          <w:lang w:val="es-MX"/>
        </w:rPr>
        <w:t>AQUÍ VA FIGURA 1</w:t>
      </w:r>
    </w:p>
    <w:p w:rsidR="00937363" w:rsidRDefault="00937363" w:rsidP="00937363">
      <w:pPr>
        <w:jc w:val="both"/>
        <w:rPr>
          <w:bCs/>
          <w:color w:val="000000"/>
          <w:lang w:val="es-MX"/>
        </w:rPr>
      </w:pPr>
    </w:p>
    <w:p w:rsidR="00B950E8" w:rsidRDefault="00995B94" w:rsidP="00937363">
      <w:pPr>
        <w:jc w:val="both"/>
        <w:rPr>
          <w:lang w:val="es-MX"/>
        </w:rPr>
      </w:pPr>
      <w:r w:rsidRPr="00466C54">
        <w:rPr>
          <w:bCs/>
          <w:color w:val="000000"/>
          <w:lang w:val="es-MX"/>
        </w:rPr>
        <w:t xml:space="preserve">La longitud del tallo y la raíz se midió desde el cuello hasta el extremo apical del último foliolo y </w:t>
      </w:r>
      <w:r w:rsidRPr="00466C54">
        <w:rPr>
          <w:lang w:val="es-MX"/>
        </w:rPr>
        <w:t>desde el cuello hasta el extremo de la raíz principal, respectivamente. Estas mediciones se realizaron inmediatament</w:t>
      </w:r>
      <w:r w:rsidRPr="00924F23">
        <w:rPr>
          <w:lang w:val="es-MX"/>
        </w:rPr>
        <w:t>e retiradas las plantas del sustrato, para evitar reducciones por deshidratación. El peso seco se determinó secando las plántulas</w:t>
      </w:r>
      <w:r w:rsidR="00064958">
        <w:rPr>
          <w:lang w:val="es-MX"/>
        </w:rPr>
        <w:t xml:space="preserve"> a</w:t>
      </w:r>
      <w:r w:rsidRPr="00924F23">
        <w:rPr>
          <w:lang w:val="es-MX"/>
        </w:rPr>
        <w:t xml:space="preserve"> 75ºC durante 48h, y pesándolas en grupos de 10 para calcular el promedio individual</w:t>
      </w:r>
      <w:r w:rsidR="00D73334">
        <w:rPr>
          <w:lang w:val="es-MX"/>
        </w:rPr>
        <w:t>.</w:t>
      </w:r>
    </w:p>
    <w:p w:rsidR="00AA08EA" w:rsidRDefault="00AA08EA" w:rsidP="00D73334">
      <w:pPr>
        <w:jc w:val="both"/>
        <w:rPr>
          <w:lang w:val="es-MX"/>
        </w:rPr>
      </w:pPr>
    </w:p>
    <w:p w:rsidR="00AA08EA" w:rsidRDefault="00AA08EA" w:rsidP="00AA08EA">
      <w:pPr>
        <w:autoSpaceDE w:val="0"/>
        <w:jc w:val="both"/>
        <w:rPr>
          <w:b/>
          <w:bCs/>
          <w:lang w:val="es-MX"/>
        </w:rPr>
      </w:pPr>
      <w:r w:rsidRPr="00740C37">
        <w:rPr>
          <w:b/>
          <w:bCs/>
          <w:lang w:val="es-MX"/>
        </w:rPr>
        <w:t xml:space="preserve">Análisis estadístico </w:t>
      </w:r>
    </w:p>
    <w:p w:rsidR="00AA08EA" w:rsidRDefault="00AA08EA" w:rsidP="00AA08EA">
      <w:pPr>
        <w:autoSpaceDE w:val="0"/>
        <w:jc w:val="both"/>
        <w:rPr>
          <w:lang w:val="es-MX"/>
        </w:rPr>
      </w:pPr>
    </w:p>
    <w:p w:rsidR="00AA08EA" w:rsidRDefault="00AA08EA" w:rsidP="00AA08EA">
      <w:pPr>
        <w:autoSpaceDE w:val="0"/>
        <w:jc w:val="both"/>
        <w:rPr>
          <w:lang w:val="es-MX"/>
        </w:rPr>
      </w:pPr>
      <w:r w:rsidRPr="00740C37">
        <w:rPr>
          <w:lang w:val="es-MX"/>
        </w:rPr>
        <w:t xml:space="preserve">Las medias registradas para los diferentes tratamientos, o niveles de tratamiento, se compararon utilizando un análisis de varianza de una vía seguido del ensayo de Dunnett. Los datos del experimento de los efectos de T109 </w:t>
      </w:r>
      <w:r w:rsidRPr="00924F23">
        <w:rPr>
          <w:lang w:val="es-MX"/>
        </w:rPr>
        <w:t xml:space="preserve">a lo largo del tiempo se analizaron utilizando un análisis de varianza de dos vías. No se utilizó el ensayo de medidas repetidas porque las plántulas fueron cosechadas cada 7 días para determinar el peso seco. Los supuestos de normalidad y homogeneidad de varianzas se evaluaron mediante los ensayos de Kolmogórov–Smirnov y Levene, respectivamente. En caso de no cumplir estos supuestos, la transformación de </w:t>
      </w:r>
      <w:r w:rsidRPr="001E40C5">
        <w:rPr>
          <w:color w:val="000000"/>
          <w:lang w:val="es-MX"/>
        </w:rPr>
        <w:t>Box-Cox</w:t>
      </w:r>
      <w:r w:rsidRPr="001E40C5">
        <w:rPr>
          <w:lang w:val="es-MX"/>
        </w:rPr>
        <w:t xml:space="preserve"> fue aplicada. Los ensayos realizados se analizaron utilizando el software para estadística de uso y código libre “R”, versión 2.11.1.</w:t>
      </w:r>
    </w:p>
    <w:p w:rsidR="00AA08EA" w:rsidRDefault="00AA08EA" w:rsidP="00AA08EA">
      <w:pPr>
        <w:autoSpaceDE w:val="0"/>
        <w:jc w:val="both"/>
        <w:rPr>
          <w:lang w:val="es-MX"/>
        </w:rPr>
      </w:pPr>
    </w:p>
    <w:p w:rsidR="00AA08EA" w:rsidRPr="005D04A4" w:rsidRDefault="005D04A4" w:rsidP="00AA08EA">
      <w:pPr>
        <w:jc w:val="both"/>
        <w:rPr>
          <w:b/>
          <w:bCs/>
          <w:lang w:val="es-AR"/>
        </w:rPr>
      </w:pPr>
      <w:r w:rsidRPr="005D04A4">
        <w:rPr>
          <w:b/>
          <w:bCs/>
          <w:lang w:val="es-AR"/>
        </w:rPr>
        <w:t xml:space="preserve">Resultados </w:t>
      </w:r>
    </w:p>
    <w:p w:rsidR="00AA08EA" w:rsidRDefault="00AA08EA" w:rsidP="00AA08EA">
      <w:pPr>
        <w:jc w:val="both"/>
        <w:rPr>
          <w:lang w:val="es-AR"/>
        </w:rPr>
      </w:pPr>
    </w:p>
    <w:p w:rsidR="00AA08EA" w:rsidRDefault="00AA08EA" w:rsidP="00AA08EA">
      <w:pPr>
        <w:pStyle w:val="Textoindependiente"/>
        <w:autoSpaceDE w:val="0"/>
        <w:spacing w:after="0"/>
        <w:jc w:val="both"/>
        <w:rPr>
          <w:lang w:val="es-MX"/>
        </w:rPr>
      </w:pPr>
      <w:r w:rsidRPr="00924F23">
        <w:rPr>
          <w:lang w:val="es-MX"/>
        </w:rPr>
        <w:t>De los aislamientos investigados, solo T109 causó un incremento significativo (</w:t>
      </w:r>
      <w:r w:rsidRPr="00924F23">
        <w:rPr>
          <w:i/>
          <w:lang w:val="es-MX"/>
        </w:rPr>
        <w:t xml:space="preserve">p </w:t>
      </w:r>
      <w:r w:rsidRPr="00924F23">
        <w:rPr>
          <w:lang w:val="es-MX"/>
        </w:rPr>
        <w:t xml:space="preserve">≤ 0,001) </w:t>
      </w:r>
      <w:r w:rsidRPr="001E40C5">
        <w:rPr>
          <w:bCs/>
          <w:lang w:val="es-MX"/>
        </w:rPr>
        <w:t>del crecimiento longitudinal de las plántulas</w:t>
      </w:r>
      <w:r w:rsidRPr="001E40C5">
        <w:rPr>
          <w:lang w:val="es-MX"/>
        </w:rPr>
        <w:t xml:space="preserve"> (</w:t>
      </w:r>
      <w:r w:rsidR="00A037AE">
        <w:rPr>
          <w:lang w:val="es-MX"/>
        </w:rPr>
        <w:t>f</w:t>
      </w:r>
      <w:r w:rsidR="00A037AE" w:rsidRPr="00A037AE">
        <w:rPr>
          <w:lang w:val="es-MX"/>
        </w:rPr>
        <w:t>ig</w:t>
      </w:r>
      <w:r w:rsidR="00A037AE">
        <w:rPr>
          <w:lang w:val="es-MX"/>
        </w:rPr>
        <w:t>ura</w:t>
      </w:r>
      <w:r w:rsidRPr="00A037AE">
        <w:rPr>
          <w:lang w:val="es-MX"/>
        </w:rPr>
        <w:t xml:space="preserve"> 1</w:t>
      </w:r>
      <w:r w:rsidRPr="00740C37">
        <w:rPr>
          <w:lang w:val="es-MX"/>
        </w:rPr>
        <w:t>). Desde la aplicación, las plántulas con T109 crecieron un 91% en promedio, mientras que las plántulas control crecieron solo un 53%. Las plántulas con T84 crecieron un 75% en promedio, pero este crecimiento no fue significativamente diferente</w:t>
      </w:r>
      <w:r>
        <w:rPr>
          <w:lang w:val="es-MX"/>
        </w:rPr>
        <w:t xml:space="preserve"> </w:t>
      </w:r>
      <w:r w:rsidRPr="00740C37">
        <w:rPr>
          <w:lang w:val="es-MX"/>
        </w:rPr>
        <w:t>(</w:t>
      </w:r>
      <w:r w:rsidRPr="00740C37">
        <w:rPr>
          <w:i/>
          <w:lang w:val="es-MX"/>
        </w:rPr>
        <w:t xml:space="preserve">p </w:t>
      </w:r>
      <w:r w:rsidRPr="00740C37">
        <w:rPr>
          <w:lang w:val="es-MX"/>
        </w:rPr>
        <w:t>≤ 0,05) al de las plántulas control. Los aislamientos T25 y T46 causaron una leve inhibición del crecimiento, porque las plántulas solo crecieron un 39 y un 44%, respectivamente. Pero esta inhibición tampoco fue significativa (</w:t>
      </w:r>
      <w:r w:rsidRPr="00740C37">
        <w:rPr>
          <w:i/>
          <w:lang w:val="es-MX"/>
        </w:rPr>
        <w:t xml:space="preserve">p </w:t>
      </w:r>
      <w:r w:rsidRPr="00740C37">
        <w:rPr>
          <w:lang w:val="es-MX"/>
        </w:rPr>
        <w:t>≤ 0,05) con respecto al 53% de crecimiento de las plántulas control (</w:t>
      </w:r>
      <w:r w:rsidR="00A037AE" w:rsidRPr="00A037AE">
        <w:rPr>
          <w:bCs/>
          <w:lang w:val="es-MX"/>
        </w:rPr>
        <w:t xml:space="preserve">figura </w:t>
      </w:r>
      <w:r w:rsidRPr="00A037AE">
        <w:rPr>
          <w:bCs/>
          <w:lang w:val="es-MX"/>
        </w:rPr>
        <w:t>1</w:t>
      </w:r>
      <w:r w:rsidRPr="00740C37">
        <w:rPr>
          <w:lang w:val="es-MX"/>
        </w:rPr>
        <w:t>).</w:t>
      </w:r>
    </w:p>
    <w:p w:rsidR="00AA08EA" w:rsidRDefault="00AA08EA" w:rsidP="00AA08EA">
      <w:pPr>
        <w:pStyle w:val="Textoindependiente"/>
        <w:autoSpaceDE w:val="0"/>
        <w:spacing w:after="0"/>
        <w:jc w:val="both"/>
        <w:rPr>
          <w:lang w:val="es-MX"/>
        </w:rPr>
      </w:pPr>
    </w:p>
    <w:p w:rsidR="00AA08EA" w:rsidRDefault="00AA08EA" w:rsidP="00AA08EA">
      <w:pPr>
        <w:pStyle w:val="Textoindependiente"/>
        <w:autoSpaceDE w:val="0"/>
        <w:spacing w:after="0"/>
        <w:jc w:val="both"/>
        <w:rPr>
          <w:lang w:val="es-MX"/>
        </w:rPr>
      </w:pPr>
      <w:r w:rsidRPr="00740C37">
        <w:rPr>
          <w:lang w:val="es-MX"/>
        </w:rPr>
        <w:t>Las raíces de las plantas con T109, crecieron longitudinalmente hasta alcanzar en promedio 4,3 cm luego de 21 días de la aplicación</w:t>
      </w:r>
      <w:r w:rsidRPr="00740C37">
        <w:rPr>
          <w:b/>
          <w:lang w:val="es-MX"/>
        </w:rPr>
        <w:t xml:space="preserve"> </w:t>
      </w:r>
      <w:r w:rsidRPr="00740C37">
        <w:rPr>
          <w:lang w:val="es-MX"/>
        </w:rPr>
        <w:t>(</w:t>
      </w:r>
      <w:r w:rsidR="00A037AE">
        <w:rPr>
          <w:lang w:val="es-MX"/>
        </w:rPr>
        <w:t>figura</w:t>
      </w:r>
      <w:r w:rsidRPr="00A037AE">
        <w:rPr>
          <w:lang w:val="es-MX"/>
        </w:rPr>
        <w:t xml:space="preserve"> 2</w:t>
      </w:r>
      <w:r w:rsidRPr="00740C37">
        <w:rPr>
          <w:lang w:val="es-MX"/>
        </w:rPr>
        <w:t>). En el mismo lapso de tiempo, las raíces de las plantas control crecieron hasta alcanzar en promedio 2,5 cm de largo (</w:t>
      </w:r>
      <w:r w:rsidR="00A037AE">
        <w:rPr>
          <w:lang w:val="es-MX"/>
        </w:rPr>
        <w:t>f</w:t>
      </w:r>
      <w:r w:rsidR="00A037AE" w:rsidRPr="00A037AE">
        <w:rPr>
          <w:lang w:val="es-MX"/>
        </w:rPr>
        <w:t>ig</w:t>
      </w:r>
      <w:r w:rsidR="00A037AE">
        <w:rPr>
          <w:lang w:val="es-MX"/>
        </w:rPr>
        <w:t>ura</w:t>
      </w:r>
      <w:r w:rsidR="00A037AE" w:rsidRPr="00A037AE">
        <w:rPr>
          <w:lang w:val="es-MX"/>
        </w:rPr>
        <w:t xml:space="preserve"> </w:t>
      </w:r>
      <w:r w:rsidRPr="00A037AE">
        <w:rPr>
          <w:lang w:val="es-MX"/>
        </w:rPr>
        <w:t>2</w:t>
      </w:r>
      <w:r w:rsidRPr="00740C37">
        <w:rPr>
          <w:lang w:val="es-MX"/>
        </w:rPr>
        <w:t>). Esta diferencia muestra que T109 causó un incremento significativo (</w:t>
      </w:r>
      <w:r w:rsidRPr="00740C37">
        <w:rPr>
          <w:i/>
          <w:lang w:val="es-MX"/>
        </w:rPr>
        <w:t xml:space="preserve">p </w:t>
      </w:r>
      <w:r w:rsidRPr="00740C37">
        <w:rPr>
          <w:lang w:val="es-MX"/>
        </w:rPr>
        <w:t xml:space="preserve">≤ 0,001) en </w:t>
      </w:r>
      <w:r>
        <w:rPr>
          <w:lang w:val="es-MX"/>
        </w:rPr>
        <w:t xml:space="preserve">el </w:t>
      </w:r>
      <w:r w:rsidRPr="00740C37">
        <w:rPr>
          <w:lang w:val="es-MX"/>
        </w:rPr>
        <w:t xml:space="preserve">crecimiento longitudinal de las raíces. Las raíces de las plántulas con la auxina sintética ácido naftalenacético (ANA) y con T46 crecieron hasta alcanzar en promedio 2,8 y 2,9 cm </w:t>
      </w:r>
      <w:r w:rsidRPr="00740C37">
        <w:rPr>
          <w:lang w:val="es-MX"/>
        </w:rPr>
        <w:lastRenderedPageBreak/>
        <w:t>de largo, respectivamente (</w:t>
      </w:r>
      <w:r w:rsidR="005D04A4">
        <w:rPr>
          <w:lang w:val="es-MX"/>
        </w:rPr>
        <w:t xml:space="preserve">figura </w:t>
      </w:r>
      <w:r w:rsidRPr="005D04A4">
        <w:rPr>
          <w:lang w:val="es-MX"/>
        </w:rPr>
        <w:t>2</w:t>
      </w:r>
      <w:r w:rsidRPr="00740C37">
        <w:rPr>
          <w:lang w:val="es-MX"/>
        </w:rPr>
        <w:t>). Estas raíces fueron más largas que las raíces de las plantas control, pero la diferencia no fue significativa (</w:t>
      </w:r>
      <w:r w:rsidRPr="00740C37">
        <w:rPr>
          <w:i/>
          <w:lang w:val="es-MX"/>
        </w:rPr>
        <w:t xml:space="preserve">p </w:t>
      </w:r>
      <w:r w:rsidRPr="00740C37">
        <w:rPr>
          <w:lang w:val="es-MX"/>
        </w:rPr>
        <w:t>≤ 0,05).</w:t>
      </w:r>
    </w:p>
    <w:p w:rsidR="00AA08EA" w:rsidRDefault="00AA08EA" w:rsidP="00AA08EA">
      <w:pPr>
        <w:pStyle w:val="Textoindependiente"/>
        <w:autoSpaceDE w:val="0"/>
        <w:spacing w:after="0"/>
        <w:jc w:val="both"/>
        <w:rPr>
          <w:lang w:val="es-MX"/>
        </w:rPr>
      </w:pPr>
    </w:p>
    <w:p w:rsidR="00801EE3" w:rsidRDefault="00801EE3" w:rsidP="00801EE3">
      <w:pPr>
        <w:pStyle w:val="Textoindependiente"/>
        <w:autoSpaceDE w:val="0"/>
        <w:spacing w:after="0"/>
        <w:jc w:val="both"/>
        <w:rPr>
          <w:b/>
          <w:lang w:val="es-MX"/>
        </w:rPr>
      </w:pPr>
      <w:r w:rsidRPr="00801EE3">
        <w:rPr>
          <w:b/>
          <w:lang w:val="es-MX"/>
        </w:rPr>
        <w:t xml:space="preserve">AQUÍ VA FIGURA </w:t>
      </w:r>
      <w:r>
        <w:rPr>
          <w:b/>
          <w:lang w:val="es-MX"/>
        </w:rPr>
        <w:t>2</w:t>
      </w:r>
    </w:p>
    <w:p w:rsidR="00801EE3" w:rsidRDefault="00801EE3" w:rsidP="00AA08EA">
      <w:pPr>
        <w:pStyle w:val="Textoindependiente"/>
        <w:autoSpaceDE w:val="0"/>
        <w:spacing w:after="0"/>
        <w:jc w:val="both"/>
        <w:rPr>
          <w:lang w:val="es-MX"/>
        </w:rPr>
      </w:pPr>
    </w:p>
    <w:p w:rsidR="00AA08EA" w:rsidRDefault="00AA08EA" w:rsidP="00AA08EA">
      <w:pPr>
        <w:pStyle w:val="Textoindependiente"/>
        <w:autoSpaceDE w:val="0"/>
        <w:spacing w:after="0"/>
        <w:jc w:val="both"/>
        <w:rPr>
          <w:lang w:val="es-MX"/>
        </w:rPr>
      </w:pPr>
      <w:r w:rsidRPr="00740C37">
        <w:rPr>
          <w:lang w:val="es-MX"/>
        </w:rPr>
        <w:t>El registro del incremento longitudinal de los tallos en el tiempo</w:t>
      </w:r>
      <w:r w:rsidR="00B97C50">
        <w:rPr>
          <w:lang w:val="es-MX"/>
        </w:rPr>
        <w:t xml:space="preserve">, </w:t>
      </w:r>
      <w:r w:rsidRPr="00740C37">
        <w:rPr>
          <w:lang w:val="es-MX"/>
        </w:rPr>
        <w:t xml:space="preserve"> permitió constatar que el efecto de T109 estuvo presente desde por lo menos la primera semana luego de la aplicación hasta el final del experimento, tres semanas luego de la aplicación (</w:t>
      </w:r>
      <w:r w:rsidR="005D04A4">
        <w:rPr>
          <w:bCs/>
          <w:lang w:val="es-MX"/>
        </w:rPr>
        <w:t>figura</w:t>
      </w:r>
      <w:r w:rsidRPr="005D04A4">
        <w:rPr>
          <w:bCs/>
          <w:lang w:val="es-MX"/>
        </w:rPr>
        <w:t xml:space="preserve"> 3A</w:t>
      </w:r>
      <w:r w:rsidRPr="00740C37">
        <w:rPr>
          <w:lang w:val="es-MX"/>
        </w:rPr>
        <w:t>). Una situación similar surge cuando se analiza el incremento del peso seco en el tiempo (</w:t>
      </w:r>
      <w:r w:rsidR="005D04A4">
        <w:rPr>
          <w:lang w:val="es-MX"/>
        </w:rPr>
        <w:t>figura</w:t>
      </w:r>
      <w:r w:rsidRPr="005D04A4">
        <w:rPr>
          <w:lang w:val="es-MX"/>
        </w:rPr>
        <w:t xml:space="preserve"> 3B</w:t>
      </w:r>
      <w:r w:rsidRPr="00740C37">
        <w:rPr>
          <w:lang w:val="es-MX"/>
        </w:rPr>
        <w:t>). T109 estimuló no s</w:t>
      </w:r>
      <w:r>
        <w:rPr>
          <w:lang w:val="es-MX"/>
        </w:rPr>
        <w:t>ó</w:t>
      </w:r>
      <w:r w:rsidRPr="00740C37">
        <w:rPr>
          <w:lang w:val="es-MX"/>
        </w:rPr>
        <w:t>lo el crecimiento longitudinal de las plántulas, sino también su peso seco.</w:t>
      </w:r>
    </w:p>
    <w:p w:rsidR="00AA08EA" w:rsidRDefault="00AA08EA" w:rsidP="00AA08EA">
      <w:pPr>
        <w:pStyle w:val="Textoindependiente"/>
        <w:autoSpaceDE w:val="0"/>
        <w:spacing w:after="0"/>
        <w:jc w:val="both"/>
        <w:rPr>
          <w:lang w:val="es-MX"/>
        </w:rPr>
      </w:pPr>
    </w:p>
    <w:p w:rsidR="00AA08EA" w:rsidRDefault="00AA08EA" w:rsidP="00AA08EA">
      <w:pPr>
        <w:pStyle w:val="Textoindependiente"/>
        <w:autoSpaceDE w:val="0"/>
        <w:spacing w:after="0"/>
        <w:jc w:val="both"/>
        <w:rPr>
          <w:lang w:val="es-MX"/>
        </w:rPr>
      </w:pPr>
      <w:r w:rsidRPr="00740C37">
        <w:rPr>
          <w:lang w:val="es-MX"/>
        </w:rPr>
        <w:t>El crecimiento de las plántulas de tomate respondió a la variación de la concentración de T109 a los 8 días luego de la aplicación (</w:t>
      </w:r>
      <w:r w:rsidR="005D04A4">
        <w:rPr>
          <w:lang w:val="es-MX"/>
        </w:rPr>
        <w:t>figura</w:t>
      </w:r>
      <w:r w:rsidRPr="005D04A4">
        <w:rPr>
          <w:lang w:val="es-MX"/>
        </w:rPr>
        <w:t xml:space="preserve"> 4</w:t>
      </w:r>
      <w:r w:rsidRPr="00740C37">
        <w:rPr>
          <w:lang w:val="es-MX"/>
        </w:rPr>
        <w:t xml:space="preserve">). Las plántulas control </w:t>
      </w:r>
      <w:r>
        <w:rPr>
          <w:lang w:val="es-MX"/>
        </w:rPr>
        <w:t>(</w:t>
      </w:r>
      <w:r w:rsidRPr="00740C37">
        <w:rPr>
          <w:lang w:val="es-MX"/>
        </w:rPr>
        <w:t>a las que se les aplicó 0 conidias/ml</w:t>
      </w:r>
      <w:r>
        <w:rPr>
          <w:lang w:val="es-MX"/>
        </w:rPr>
        <w:t>)</w:t>
      </w:r>
      <w:r w:rsidRPr="00740C37">
        <w:rPr>
          <w:lang w:val="es-MX"/>
        </w:rPr>
        <w:t>, crecieron un 14% y las plántulas a las que se les aplicaron 10</w:t>
      </w:r>
      <w:r w:rsidRPr="00740C37">
        <w:rPr>
          <w:vertAlign w:val="superscript"/>
          <w:lang w:val="es-MX"/>
        </w:rPr>
        <w:t>4</w:t>
      </w:r>
      <w:r w:rsidRPr="00740C37">
        <w:rPr>
          <w:lang w:val="es-MX"/>
        </w:rPr>
        <w:t xml:space="preserve"> conidias/ml crecieron un 25%. Las plántulas a las que se les aplicaron 10</w:t>
      </w:r>
      <w:r w:rsidRPr="00740C37">
        <w:rPr>
          <w:vertAlign w:val="superscript"/>
          <w:lang w:val="es-MX"/>
        </w:rPr>
        <w:t>5</w:t>
      </w:r>
      <w:r w:rsidRPr="00740C37">
        <w:rPr>
          <w:lang w:val="es-MX"/>
        </w:rPr>
        <w:t xml:space="preserve"> y 10</w:t>
      </w:r>
      <w:r w:rsidRPr="00740C37">
        <w:rPr>
          <w:vertAlign w:val="superscript"/>
          <w:lang w:val="es-MX"/>
        </w:rPr>
        <w:t>6</w:t>
      </w:r>
      <w:r w:rsidRPr="00740C37">
        <w:rPr>
          <w:lang w:val="es-MX"/>
        </w:rPr>
        <w:t xml:space="preserve"> conidias/ml crecieron un 40%. Las plántulas a las que se les aplicaron 10</w:t>
      </w:r>
      <w:r w:rsidRPr="00740C37">
        <w:rPr>
          <w:vertAlign w:val="superscript"/>
          <w:lang w:val="es-MX"/>
        </w:rPr>
        <w:t>7</w:t>
      </w:r>
      <w:r w:rsidRPr="00740C37">
        <w:rPr>
          <w:lang w:val="es-MX"/>
        </w:rPr>
        <w:t xml:space="preserve"> y 10</w:t>
      </w:r>
      <w:r w:rsidRPr="00740C37">
        <w:rPr>
          <w:vertAlign w:val="superscript"/>
          <w:lang w:val="es-MX"/>
        </w:rPr>
        <w:t>8</w:t>
      </w:r>
      <w:r w:rsidRPr="00740C37">
        <w:rPr>
          <w:lang w:val="es-MX"/>
        </w:rPr>
        <w:t xml:space="preserve"> conidias/ml solo crecieron un 25 y un 16%, respectivamente. El crecimiento porcentual de las plántulas control s</w:t>
      </w:r>
      <w:r>
        <w:rPr>
          <w:lang w:val="es-MX"/>
        </w:rPr>
        <w:t>ó</w:t>
      </w:r>
      <w:r w:rsidRPr="00740C37">
        <w:rPr>
          <w:lang w:val="es-MX"/>
        </w:rPr>
        <w:t>lo fue significativamente menor (</w:t>
      </w:r>
      <w:r w:rsidRPr="00740C37">
        <w:rPr>
          <w:i/>
          <w:lang w:val="es-MX"/>
        </w:rPr>
        <w:t xml:space="preserve">p </w:t>
      </w:r>
      <w:r w:rsidRPr="00740C37">
        <w:rPr>
          <w:lang w:val="es-MX"/>
        </w:rPr>
        <w:t>≤ 0,05) al crecimiento de las plántulas a las que se les aplicaron 10</w:t>
      </w:r>
      <w:r w:rsidRPr="00740C37">
        <w:rPr>
          <w:vertAlign w:val="superscript"/>
          <w:lang w:val="es-MX"/>
        </w:rPr>
        <w:t>5</w:t>
      </w:r>
      <w:r w:rsidRPr="00740C37">
        <w:rPr>
          <w:lang w:val="es-MX"/>
        </w:rPr>
        <w:t xml:space="preserve"> y 10</w:t>
      </w:r>
      <w:r w:rsidRPr="00740C37">
        <w:rPr>
          <w:vertAlign w:val="superscript"/>
          <w:lang w:val="es-MX"/>
        </w:rPr>
        <w:t>6</w:t>
      </w:r>
      <w:r w:rsidRPr="00740C37">
        <w:rPr>
          <w:lang w:val="es-MX"/>
        </w:rPr>
        <w:t xml:space="preserve"> conidias/ml (</w:t>
      </w:r>
      <w:r w:rsidR="005D04A4">
        <w:rPr>
          <w:lang w:val="es-MX"/>
        </w:rPr>
        <w:t>figura</w:t>
      </w:r>
      <w:r w:rsidRPr="005D04A4">
        <w:rPr>
          <w:lang w:val="es-MX"/>
        </w:rPr>
        <w:t xml:space="preserve"> 4</w:t>
      </w:r>
      <w:r w:rsidRPr="00740C37">
        <w:rPr>
          <w:lang w:val="es-MX"/>
        </w:rPr>
        <w:t>).</w:t>
      </w:r>
    </w:p>
    <w:p w:rsidR="00AA08EA" w:rsidRDefault="00AA08EA" w:rsidP="00AA08EA">
      <w:pPr>
        <w:pStyle w:val="Textoindependiente"/>
        <w:autoSpaceDE w:val="0"/>
        <w:spacing w:after="0"/>
        <w:jc w:val="both"/>
        <w:rPr>
          <w:lang w:val="es-MX"/>
        </w:rPr>
      </w:pPr>
    </w:p>
    <w:p w:rsidR="00801EE3" w:rsidRDefault="00801EE3" w:rsidP="00AA08EA">
      <w:pPr>
        <w:pStyle w:val="Textoindependiente"/>
        <w:autoSpaceDE w:val="0"/>
        <w:spacing w:after="0"/>
        <w:jc w:val="both"/>
        <w:rPr>
          <w:lang w:val="es-MX"/>
        </w:rPr>
      </w:pPr>
    </w:p>
    <w:p w:rsidR="00801EE3" w:rsidRDefault="00801EE3" w:rsidP="00801EE3">
      <w:pPr>
        <w:pStyle w:val="Textoindependiente"/>
        <w:autoSpaceDE w:val="0"/>
        <w:spacing w:after="0"/>
        <w:jc w:val="both"/>
        <w:rPr>
          <w:b/>
          <w:lang w:val="es-MX"/>
        </w:rPr>
      </w:pPr>
      <w:r w:rsidRPr="00801EE3">
        <w:rPr>
          <w:b/>
          <w:lang w:val="es-MX"/>
        </w:rPr>
        <w:t xml:space="preserve">AQUÍ VA FIGURA </w:t>
      </w:r>
      <w:r>
        <w:rPr>
          <w:b/>
          <w:lang w:val="es-MX"/>
        </w:rPr>
        <w:t>3A y b</w:t>
      </w:r>
    </w:p>
    <w:p w:rsidR="00801EE3" w:rsidRDefault="00801EE3" w:rsidP="00AA08EA">
      <w:pPr>
        <w:pStyle w:val="Textoindependiente"/>
        <w:autoSpaceDE w:val="0"/>
        <w:spacing w:after="0"/>
        <w:jc w:val="both"/>
        <w:rPr>
          <w:lang w:val="es-MX"/>
        </w:rPr>
      </w:pPr>
    </w:p>
    <w:p w:rsidR="00801EE3" w:rsidRDefault="00801EE3" w:rsidP="00AA08EA">
      <w:pPr>
        <w:pStyle w:val="Textoindependiente"/>
        <w:autoSpaceDE w:val="0"/>
        <w:spacing w:after="0"/>
        <w:jc w:val="both"/>
        <w:rPr>
          <w:lang w:val="es-MX"/>
        </w:rPr>
      </w:pPr>
    </w:p>
    <w:p w:rsidR="00801EE3" w:rsidRDefault="00801EE3" w:rsidP="00801EE3">
      <w:pPr>
        <w:pStyle w:val="Textoindependiente"/>
        <w:autoSpaceDE w:val="0"/>
        <w:spacing w:after="0"/>
        <w:jc w:val="both"/>
        <w:rPr>
          <w:b/>
          <w:lang w:val="es-MX"/>
        </w:rPr>
      </w:pPr>
      <w:r w:rsidRPr="00801EE3">
        <w:rPr>
          <w:b/>
          <w:lang w:val="es-MX"/>
        </w:rPr>
        <w:t xml:space="preserve">AQUÍ </w:t>
      </w:r>
      <w:r>
        <w:rPr>
          <w:b/>
          <w:lang w:val="es-MX"/>
        </w:rPr>
        <w:t>VA FIGURA 4</w:t>
      </w:r>
    </w:p>
    <w:p w:rsidR="00801EE3" w:rsidRDefault="00801EE3" w:rsidP="00AA08EA">
      <w:pPr>
        <w:pStyle w:val="Textoindependiente"/>
        <w:autoSpaceDE w:val="0"/>
        <w:spacing w:after="0"/>
        <w:jc w:val="both"/>
        <w:rPr>
          <w:lang w:val="es-MX"/>
        </w:rPr>
      </w:pPr>
    </w:p>
    <w:p w:rsidR="00AA08EA" w:rsidRDefault="005D04A4" w:rsidP="00AA08EA">
      <w:pPr>
        <w:jc w:val="both"/>
        <w:rPr>
          <w:lang w:val="es-AR"/>
        </w:rPr>
      </w:pPr>
      <w:r w:rsidRPr="005D04A4">
        <w:rPr>
          <w:b/>
          <w:lang w:val="es-AR"/>
        </w:rPr>
        <w:t>Discusión</w:t>
      </w:r>
      <w:r w:rsidRPr="00740C37">
        <w:rPr>
          <w:lang w:val="es-AR"/>
        </w:rPr>
        <w:t xml:space="preserve"> </w:t>
      </w:r>
    </w:p>
    <w:p w:rsidR="00AA08EA" w:rsidRDefault="00AA08EA" w:rsidP="00AA08EA">
      <w:pPr>
        <w:jc w:val="both"/>
        <w:rPr>
          <w:bCs/>
        </w:rPr>
      </w:pPr>
    </w:p>
    <w:p w:rsidR="00AA08EA" w:rsidRDefault="00AA08EA" w:rsidP="00AA08EA">
      <w:pPr>
        <w:jc w:val="both"/>
        <w:rPr>
          <w:b/>
        </w:rPr>
      </w:pPr>
      <w:r w:rsidRPr="00740C37">
        <w:rPr>
          <w:b/>
        </w:rPr>
        <w:t xml:space="preserve">Importancia de los aislamientos en el estímulo del crecimiento vegetal  </w:t>
      </w:r>
    </w:p>
    <w:p w:rsidR="00AA08EA" w:rsidRDefault="00AA08EA" w:rsidP="00AA08EA">
      <w:pPr>
        <w:jc w:val="both"/>
        <w:rPr>
          <w:bCs/>
        </w:rPr>
      </w:pPr>
    </w:p>
    <w:p w:rsidR="00AA08EA" w:rsidRDefault="00AA08EA" w:rsidP="00AA08EA">
      <w:pPr>
        <w:pStyle w:val="Textoindependiente"/>
        <w:autoSpaceDE w:val="0"/>
        <w:spacing w:after="0"/>
        <w:jc w:val="both"/>
        <w:rPr>
          <w:lang w:val="es-MX"/>
        </w:rPr>
      </w:pPr>
      <w:r w:rsidRPr="00740C37">
        <w:rPr>
          <w:lang w:val="es-MX"/>
        </w:rPr>
        <w:t>De los cuatro aislamientos ensayados, so</w:t>
      </w:r>
      <w:r>
        <w:rPr>
          <w:lang w:val="es-MX"/>
        </w:rPr>
        <w:t>lamente</w:t>
      </w:r>
      <w:r w:rsidRPr="00740C37">
        <w:rPr>
          <w:lang w:val="es-MX"/>
        </w:rPr>
        <w:t xml:space="preserve"> los aislamientos T84 y T109 causaron un incremento del crecimiento mayor al registrado en las plántulas control. Además, el incremento causado por T109 fue significativo (</w:t>
      </w:r>
      <w:r w:rsidRPr="00740C37">
        <w:rPr>
          <w:i/>
          <w:lang w:val="es-MX"/>
        </w:rPr>
        <w:t xml:space="preserve">p </w:t>
      </w:r>
      <w:r w:rsidRPr="00740C37">
        <w:rPr>
          <w:lang w:val="es-MX"/>
        </w:rPr>
        <w:t xml:space="preserve">≤ 0,001) con respecto al control. Trabajos previos muestran que la capacidad de estimular el crecimiento vegetal está presente en más de una especie del género </w:t>
      </w:r>
      <w:r w:rsidRPr="00740C37">
        <w:rPr>
          <w:rStyle w:val="apple-converted-space"/>
          <w:rFonts w:eastAsia="Arial Unicode MS"/>
          <w:i/>
          <w:iCs/>
          <w:shd w:val="clear" w:color="auto" w:fill="FFFFFF"/>
        </w:rPr>
        <w:t>Trichoderma</w:t>
      </w:r>
      <w:r w:rsidRPr="00740C37">
        <w:rPr>
          <w:lang w:val="es-MX"/>
        </w:rPr>
        <w:t xml:space="preserve"> (Ousley </w:t>
      </w:r>
      <w:r w:rsidRPr="00740C37">
        <w:rPr>
          <w:i/>
          <w:iCs/>
          <w:lang w:val="es-MX"/>
        </w:rPr>
        <w:t>et al.</w:t>
      </w:r>
      <w:r w:rsidRPr="00740C37">
        <w:rPr>
          <w:lang w:val="es-MX"/>
        </w:rPr>
        <w:t>, 1993</w:t>
      </w:r>
      <w:r>
        <w:rPr>
          <w:lang w:val="es-MX"/>
        </w:rPr>
        <w:t>,</w:t>
      </w:r>
      <w:r w:rsidRPr="00740C37">
        <w:rPr>
          <w:lang w:val="es-MX"/>
        </w:rPr>
        <w:t xml:space="preserve"> 1994b</w:t>
      </w:r>
      <w:r>
        <w:rPr>
          <w:lang w:val="es-MX"/>
        </w:rPr>
        <w:t>;</w:t>
      </w:r>
      <w:r w:rsidRPr="00740C37">
        <w:rPr>
          <w:lang w:val="es-MX"/>
        </w:rPr>
        <w:t xml:space="preserve"> Rabeendran </w:t>
      </w:r>
      <w:r w:rsidRPr="00740C37">
        <w:rPr>
          <w:i/>
          <w:iCs/>
          <w:lang w:val="es-MX"/>
        </w:rPr>
        <w:t>et al</w:t>
      </w:r>
      <w:r w:rsidRPr="00740C37">
        <w:rPr>
          <w:lang w:val="es-MX"/>
        </w:rPr>
        <w:t>., 2000). Los resultados del presente trabajo indican que dentro de una misma especie</w:t>
      </w:r>
      <w:r>
        <w:rPr>
          <w:lang w:val="es-MX"/>
        </w:rPr>
        <w:t>,</w:t>
      </w:r>
      <w:r w:rsidRPr="00740C37">
        <w:rPr>
          <w:lang w:val="es-MX"/>
        </w:rPr>
        <w:t xml:space="preserve"> como es </w:t>
      </w:r>
      <w:r w:rsidRPr="00740C37">
        <w:rPr>
          <w:i/>
          <w:iCs/>
          <w:lang w:val="es-MX"/>
        </w:rPr>
        <w:t xml:space="preserve">T. asperellum, </w:t>
      </w:r>
      <w:r w:rsidRPr="00740C37">
        <w:rPr>
          <w:lang w:val="es-MX"/>
        </w:rPr>
        <w:t>hay aislamientos que pueden estimular las plántulas de tomate y otros que no. Lo mismo se observó en los aislamientos que estimularon el crecimiento de las plántulas de frijol, los cuales pertenecían a varias especies (</w:t>
      </w:r>
      <w:r w:rsidRPr="00740C37">
        <w:rPr>
          <w:lang w:val="es-ES"/>
        </w:rPr>
        <w:t>Hoyos</w:t>
      </w:r>
      <w:r w:rsidRPr="00740C37">
        <w:rPr>
          <w:lang w:val="es-MX"/>
        </w:rPr>
        <w:t xml:space="preserve"> </w:t>
      </w:r>
      <w:r w:rsidRPr="00740C37">
        <w:rPr>
          <w:lang w:val="es-ES"/>
        </w:rPr>
        <w:t xml:space="preserve">-Carvajal </w:t>
      </w:r>
      <w:r w:rsidRPr="00740C37">
        <w:rPr>
          <w:i/>
          <w:iCs/>
          <w:lang w:val="es-ES"/>
        </w:rPr>
        <w:t>et al.,</w:t>
      </w:r>
      <w:r w:rsidRPr="00740C37">
        <w:rPr>
          <w:lang w:val="es-ES"/>
        </w:rPr>
        <w:t xml:space="preserve"> 2009b).</w:t>
      </w:r>
      <w:r w:rsidRPr="00740C37">
        <w:rPr>
          <w:lang w:val="es-MX"/>
        </w:rPr>
        <w:t xml:space="preserve"> Esto sugiere que la capacidad de estimular el crecimiento vegetal depende de aislamientos y no de especies.</w:t>
      </w:r>
    </w:p>
    <w:p w:rsidR="00AA08EA" w:rsidRDefault="00AA08EA" w:rsidP="00AA08EA">
      <w:pPr>
        <w:pStyle w:val="Textoindependiente"/>
        <w:autoSpaceDE w:val="0"/>
        <w:spacing w:after="0"/>
        <w:jc w:val="both"/>
        <w:rPr>
          <w:lang w:val="es-MX"/>
        </w:rPr>
      </w:pPr>
    </w:p>
    <w:p w:rsidR="00AA08EA" w:rsidRDefault="00AA08EA" w:rsidP="00AA08EA">
      <w:pPr>
        <w:pStyle w:val="Textoindependiente"/>
        <w:autoSpaceDE w:val="0"/>
        <w:spacing w:after="0"/>
        <w:jc w:val="both"/>
        <w:rPr>
          <w:lang w:val="es-MX"/>
        </w:rPr>
      </w:pPr>
      <w:r w:rsidRPr="00740C37">
        <w:rPr>
          <w:lang w:val="es-MX"/>
        </w:rPr>
        <w:t xml:space="preserve">Los aislamientos pueden tener diferentes propiedades con las que estimular el crecimiento vegetal. Todos los aislamientos investigados en el presente trabajo fueron previamente caracterizados por  su capacidad de </w:t>
      </w:r>
      <w:r w:rsidRPr="00740C37">
        <w:rPr>
          <w:lang w:val="es-AR"/>
        </w:rPr>
        <w:t>solubilizar</w:t>
      </w:r>
      <w:r w:rsidRPr="00740C37">
        <w:rPr>
          <w:lang w:val="es-MX"/>
        </w:rPr>
        <w:t xml:space="preserve"> fosfato mediante la reducción de pH por </w:t>
      </w:r>
      <w:r w:rsidRPr="00740C37">
        <w:rPr>
          <w:lang w:val="es-MX"/>
        </w:rPr>
        <w:lastRenderedPageBreak/>
        <w:t>producción de acidez (</w:t>
      </w:r>
      <w:r w:rsidRPr="00740C37">
        <w:rPr>
          <w:lang w:val="es-ES"/>
        </w:rPr>
        <w:t xml:space="preserve">Hoyos-Carvajal </w:t>
      </w:r>
      <w:r w:rsidRPr="00740C37">
        <w:rPr>
          <w:i/>
          <w:iCs/>
          <w:lang w:val="es-ES"/>
        </w:rPr>
        <w:t>et al.</w:t>
      </w:r>
      <w:r w:rsidRPr="00740C37">
        <w:rPr>
          <w:lang w:val="es-ES"/>
        </w:rPr>
        <w:t>, 2009b)</w:t>
      </w:r>
      <w:r w:rsidRPr="00740C37">
        <w:rPr>
          <w:lang w:val="es-MX"/>
        </w:rPr>
        <w:t>. Además, en los aislamientos T109 y T84, se detectó la capacidad de producir quelantes de hierro y auxinas (</w:t>
      </w:r>
      <w:r w:rsidRPr="00740C37">
        <w:rPr>
          <w:lang w:val="es-ES"/>
        </w:rPr>
        <w:t xml:space="preserve">Hoyos-Carvajal </w:t>
      </w:r>
      <w:r w:rsidRPr="00740C37">
        <w:rPr>
          <w:i/>
          <w:iCs/>
          <w:lang w:val="es-ES"/>
        </w:rPr>
        <w:t>et al.</w:t>
      </w:r>
      <w:r w:rsidRPr="00740C37">
        <w:rPr>
          <w:lang w:val="es-ES"/>
        </w:rPr>
        <w:t>, 2009b)</w:t>
      </w:r>
      <w:r w:rsidRPr="00740C37">
        <w:rPr>
          <w:lang w:val="es-MX"/>
        </w:rPr>
        <w:t>. Como en el presente trabajo, T109 y T84 estimularon el crecimiento de las plántulas de tomate (</w:t>
      </w:r>
      <w:r w:rsidR="005D04A4">
        <w:rPr>
          <w:lang w:val="es-MX"/>
        </w:rPr>
        <w:t>figura</w:t>
      </w:r>
      <w:r w:rsidRPr="00740C37">
        <w:rPr>
          <w:lang w:val="es-MX"/>
        </w:rPr>
        <w:t xml:space="preserve"> 1), se puede </w:t>
      </w:r>
      <w:r>
        <w:rPr>
          <w:lang w:val="es-MX"/>
        </w:rPr>
        <w:t>plantear la hipótesis de</w:t>
      </w:r>
      <w:r w:rsidRPr="00740C37">
        <w:rPr>
          <w:lang w:val="es-MX"/>
        </w:rPr>
        <w:t xml:space="preserve"> que el crecimiento de plántulas control estuvo limitado por la falta de hierro o auxinas. Sin embargo, la aplicación de la auxina sintética ácido naftalenacético (ANA) no incrementó la longitud de las raíces como lo hizo T109. Además, la aplicación de auxinas inhibió la elongación de las raíces de plántulas de tomate (Tyburski </w:t>
      </w:r>
      <w:r w:rsidRPr="00740C37">
        <w:rPr>
          <w:i/>
          <w:iCs/>
          <w:lang w:val="es-MX"/>
        </w:rPr>
        <w:t>et al.</w:t>
      </w:r>
      <w:r w:rsidRPr="00740C37">
        <w:rPr>
          <w:lang w:val="es-MX"/>
        </w:rPr>
        <w:t xml:space="preserve">, 2008). Esto indica que la capacidad de T109 de producir auxinas debe ser descartada para explicar sus efectos en el presente trabajo. Sin embargo, no se puede descartar la influencia de la capacidad de T109 de producir quelantes de hierro en el crecimiento de las plántulas de tomate. El aislamiento T-203 de </w:t>
      </w:r>
      <w:r w:rsidRPr="00740C37">
        <w:rPr>
          <w:i/>
          <w:iCs/>
          <w:lang w:val="es-MX"/>
        </w:rPr>
        <w:t xml:space="preserve">T. harzianum </w:t>
      </w:r>
      <w:r w:rsidRPr="00740C37">
        <w:rPr>
          <w:lang w:val="es-MX"/>
        </w:rPr>
        <w:t xml:space="preserve">estimuló el crecimiento longitudinal de plantas de pepino suministrando micronutrientes como hierro, el estímulo ocurrió desde la primera semana de la aplicación (Yedidia </w:t>
      </w:r>
      <w:r w:rsidRPr="00740C37">
        <w:rPr>
          <w:i/>
          <w:iCs/>
          <w:lang w:val="es-MX"/>
        </w:rPr>
        <w:t>et al</w:t>
      </w:r>
      <w:r w:rsidRPr="00740C37">
        <w:rPr>
          <w:lang w:val="es-MX"/>
        </w:rPr>
        <w:t>., 2001). En el presente trabajo, T109 también estimuló el crecimiento longitudinal desde la primera semana luego de la aplicación. La hipótesis de la influencia de los quelantes de hierro debe ser investigada en futuros trabajos.</w:t>
      </w:r>
    </w:p>
    <w:p w:rsidR="00AA08EA" w:rsidRDefault="00AA08EA" w:rsidP="00AA08EA">
      <w:pPr>
        <w:pStyle w:val="Textoindependiente"/>
        <w:autoSpaceDE w:val="0"/>
        <w:spacing w:after="0"/>
        <w:jc w:val="both"/>
        <w:rPr>
          <w:lang w:val="es-MX"/>
        </w:rPr>
      </w:pPr>
    </w:p>
    <w:p w:rsidR="00801EE3" w:rsidRPr="00801EE3" w:rsidRDefault="00801EE3" w:rsidP="00AA08EA">
      <w:pPr>
        <w:pStyle w:val="Textoindependiente"/>
        <w:autoSpaceDE w:val="0"/>
        <w:spacing w:after="0"/>
        <w:jc w:val="both"/>
        <w:rPr>
          <w:b/>
          <w:lang w:val="es-MX"/>
        </w:rPr>
      </w:pPr>
    </w:p>
    <w:p w:rsidR="00AA08EA" w:rsidRDefault="00AA08EA" w:rsidP="00AA08EA">
      <w:pPr>
        <w:pStyle w:val="Textoindependiente"/>
        <w:autoSpaceDE w:val="0"/>
        <w:spacing w:after="0"/>
        <w:jc w:val="both"/>
        <w:rPr>
          <w:lang w:val="es-MX"/>
        </w:rPr>
      </w:pPr>
      <w:r w:rsidRPr="00740C37">
        <w:rPr>
          <w:lang w:val="es-ES"/>
        </w:rPr>
        <w:t xml:space="preserve">El aislamiento T109 fue efectivo para estimular el crecimiento de plántulas de tomate, pero causó una leve inhibición en plántulas de frijol en un trabajo previo </w:t>
      </w:r>
      <w:r w:rsidRPr="00740C37">
        <w:rPr>
          <w:lang w:val="es-MX"/>
        </w:rPr>
        <w:t>(</w:t>
      </w:r>
      <w:r w:rsidRPr="00740C37">
        <w:rPr>
          <w:lang w:val="es-ES"/>
        </w:rPr>
        <w:t xml:space="preserve">Hoyos-Carvajal </w:t>
      </w:r>
      <w:r w:rsidRPr="00740C37">
        <w:rPr>
          <w:i/>
          <w:iCs/>
          <w:lang w:val="es-ES"/>
        </w:rPr>
        <w:t>et al</w:t>
      </w:r>
      <w:r w:rsidRPr="00740C37">
        <w:rPr>
          <w:lang w:val="es-ES"/>
        </w:rPr>
        <w:t>., 2009b). Contrariamente</w:t>
      </w:r>
      <w:r>
        <w:rPr>
          <w:lang w:val="es-ES"/>
        </w:rPr>
        <w:t>,</w:t>
      </w:r>
      <w:r w:rsidRPr="00740C37">
        <w:rPr>
          <w:lang w:val="es-ES"/>
        </w:rPr>
        <w:t xml:space="preserve"> </w:t>
      </w:r>
      <w:r w:rsidRPr="00740C37">
        <w:rPr>
          <w:iCs/>
          <w:lang w:val="es-MX"/>
        </w:rPr>
        <w:t xml:space="preserve">los aislamientos T25 y T46 estimularon el crecimiento del frijol </w:t>
      </w:r>
      <w:r w:rsidRPr="00740C37">
        <w:rPr>
          <w:lang w:val="es-MX"/>
        </w:rPr>
        <w:t>(</w:t>
      </w:r>
      <w:r w:rsidRPr="00740C37">
        <w:rPr>
          <w:lang w:val="es-ES"/>
        </w:rPr>
        <w:t xml:space="preserve">Hoyos-Carvajal </w:t>
      </w:r>
      <w:r w:rsidRPr="00740C37">
        <w:rPr>
          <w:i/>
          <w:iCs/>
          <w:lang w:val="es-ES"/>
        </w:rPr>
        <w:t>et al</w:t>
      </w:r>
      <w:r w:rsidRPr="00740C37">
        <w:rPr>
          <w:lang w:val="es-ES"/>
        </w:rPr>
        <w:t>., 2009b),</w:t>
      </w:r>
      <w:r w:rsidRPr="00740C37">
        <w:rPr>
          <w:lang w:val="es-MX"/>
        </w:rPr>
        <w:t xml:space="preserve"> pero </w:t>
      </w:r>
      <w:r w:rsidRPr="00740C37">
        <w:rPr>
          <w:iCs/>
          <w:lang w:val="es-MX"/>
        </w:rPr>
        <w:t>no estimularon el crecimiento de las plántulas de tomate</w:t>
      </w:r>
      <w:r w:rsidRPr="00740C37">
        <w:rPr>
          <w:lang w:val="es-MX"/>
        </w:rPr>
        <w:t>. Además, T46 estimuló el crecimiento longitudinal de las raíces en frijol (</w:t>
      </w:r>
      <w:r w:rsidRPr="00740C37">
        <w:rPr>
          <w:lang w:val="es-ES"/>
        </w:rPr>
        <w:t xml:space="preserve">Hoyos-Carvajal </w:t>
      </w:r>
      <w:r w:rsidRPr="00740C37">
        <w:rPr>
          <w:i/>
          <w:iCs/>
          <w:lang w:val="es-ES"/>
        </w:rPr>
        <w:t>et al</w:t>
      </w:r>
      <w:r w:rsidRPr="00740C37">
        <w:rPr>
          <w:lang w:val="es-ES"/>
        </w:rPr>
        <w:t xml:space="preserve">., 2009b), </w:t>
      </w:r>
      <w:r w:rsidRPr="00740C37">
        <w:rPr>
          <w:lang w:val="es-MX"/>
        </w:rPr>
        <w:t xml:space="preserve">pero no en las plántulas de tomate. Los efectos de los aislamientos del género </w:t>
      </w:r>
      <w:r w:rsidRPr="00740C37">
        <w:rPr>
          <w:i/>
          <w:iCs/>
          <w:lang w:val="es-MX"/>
        </w:rPr>
        <w:t>Trichoderma</w:t>
      </w:r>
      <w:r w:rsidRPr="00740C37">
        <w:rPr>
          <w:lang w:val="es-MX"/>
        </w:rPr>
        <w:t xml:space="preserve"> sobre el crecimiento parecen no ocurrir en todas las especies vegetales, e incluso pueden variar entre cepas de una misma especie. El aislamiento T-22 de la especie </w:t>
      </w:r>
      <w:r w:rsidRPr="00740C37">
        <w:rPr>
          <w:i/>
          <w:iCs/>
          <w:lang w:val="es-MX"/>
        </w:rPr>
        <w:t xml:space="preserve">Trichoderma asperellum </w:t>
      </w:r>
      <w:r w:rsidRPr="00740C37">
        <w:rPr>
          <w:lang w:val="es-MX"/>
        </w:rPr>
        <w:t xml:space="preserve">estimuló el crecimiento de una variedad de maíz, pero no de otras </w:t>
      </w:r>
      <w:r w:rsidRPr="00740C37">
        <w:rPr>
          <w:lang w:val="es-AR"/>
        </w:rPr>
        <w:t xml:space="preserve">(Harman </w:t>
      </w:r>
      <w:r w:rsidRPr="00740C37">
        <w:rPr>
          <w:i/>
          <w:iCs/>
          <w:lang w:val="es-AR"/>
        </w:rPr>
        <w:t>et al</w:t>
      </w:r>
      <w:r w:rsidRPr="00740C37">
        <w:rPr>
          <w:lang w:val="es-AR"/>
        </w:rPr>
        <w:t xml:space="preserve">. 2004b). En tomate, se estableció que </w:t>
      </w:r>
      <w:r w:rsidRPr="00740C37">
        <w:rPr>
          <w:color w:val="000000"/>
          <w:lang w:val="es-MX"/>
        </w:rPr>
        <w:t>e</w:t>
      </w:r>
      <w:r w:rsidRPr="00740C37">
        <w:rPr>
          <w:lang w:val="es-MX"/>
        </w:rPr>
        <w:t xml:space="preserve">l genotipo de la planta puede modular los efectos de los aislamientos aplicados </w:t>
      </w:r>
      <w:r w:rsidRPr="00740C37">
        <w:rPr>
          <w:lang w:val="es-AR"/>
        </w:rPr>
        <w:t>(</w:t>
      </w:r>
      <w:r w:rsidRPr="00740C37">
        <w:rPr>
          <w:color w:val="000000"/>
          <w:lang w:val="es-MX"/>
        </w:rPr>
        <w:t xml:space="preserve">Tucci </w:t>
      </w:r>
      <w:r w:rsidRPr="00740C37">
        <w:rPr>
          <w:i/>
          <w:iCs/>
          <w:color w:val="000000"/>
          <w:lang w:val="es-MX"/>
        </w:rPr>
        <w:t>et al.,</w:t>
      </w:r>
      <w:r w:rsidRPr="00740C37">
        <w:rPr>
          <w:color w:val="000000"/>
          <w:lang w:val="es-MX"/>
        </w:rPr>
        <w:t xml:space="preserve"> 2011). </w:t>
      </w:r>
      <w:r w:rsidRPr="00740C37">
        <w:rPr>
          <w:lang w:val="es-MX"/>
        </w:rPr>
        <w:t>Esto sugiere que el aislamiento aplicado debe compensar la falta de nutrientes o metabolitos que limitan el crecimiento, y estas limitaciones pueden depender del fenotipo de la planta pero también del ambiente en que se encuentra la misma.</w:t>
      </w:r>
    </w:p>
    <w:p w:rsidR="00AA08EA" w:rsidRDefault="00AA08EA" w:rsidP="00AA08EA">
      <w:pPr>
        <w:pStyle w:val="Textoindependiente"/>
        <w:autoSpaceDE w:val="0"/>
        <w:spacing w:after="0"/>
        <w:jc w:val="both"/>
        <w:rPr>
          <w:lang w:val="es-MX"/>
        </w:rPr>
      </w:pPr>
    </w:p>
    <w:p w:rsidR="00AA08EA" w:rsidRDefault="00AA08EA" w:rsidP="00AA08EA">
      <w:pPr>
        <w:pStyle w:val="Textoindependiente"/>
        <w:autoSpaceDE w:val="0"/>
        <w:spacing w:after="0"/>
        <w:jc w:val="both"/>
        <w:rPr>
          <w:b/>
          <w:bCs/>
          <w:lang w:val="es-MX"/>
        </w:rPr>
      </w:pPr>
      <w:r w:rsidRPr="00740C37">
        <w:rPr>
          <w:b/>
          <w:bCs/>
          <w:lang w:val="es-MX"/>
        </w:rPr>
        <w:t xml:space="preserve">Importancia del rango de concentración de conidias aplicado </w:t>
      </w:r>
    </w:p>
    <w:p w:rsidR="00AA08EA" w:rsidRDefault="00AA08EA" w:rsidP="00AA08EA">
      <w:pPr>
        <w:pStyle w:val="Textoindependiente"/>
        <w:autoSpaceDE w:val="0"/>
        <w:spacing w:after="0"/>
        <w:jc w:val="both"/>
        <w:rPr>
          <w:lang w:val="es-MX"/>
        </w:rPr>
      </w:pPr>
    </w:p>
    <w:p w:rsidR="00AA08EA" w:rsidRDefault="00AA08EA" w:rsidP="00AA08EA">
      <w:pPr>
        <w:pStyle w:val="Textoindependiente"/>
        <w:autoSpaceDE w:val="0"/>
        <w:spacing w:after="0"/>
        <w:jc w:val="both"/>
        <w:rPr>
          <w:lang w:val="es-MX"/>
        </w:rPr>
      </w:pPr>
      <w:r w:rsidRPr="00740C37">
        <w:rPr>
          <w:lang w:val="es-MX"/>
        </w:rPr>
        <w:t>El estímulo del crecimiento también depende del rango concentraciones de conidias  aplicado. En el presente trabajo</w:t>
      </w:r>
      <w:r>
        <w:rPr>
          <w:lang w:val="es-MX"/>
        </w:rPr>
        <w:t xml:space="preserve">, </w:t>
      </w:r>
      <w:r w:rsidRPr="00740C37">
        <w:rPr>
          <w:lang w:val="es-MX"/>
        </w:rPr>
        <w:t>la aplicación de 10</w:t>
      </w:r>
      <w:r w:rsidRPr="00740C37">
        <w:rPr>
          <w:vertAlign w:val="superscript"/>
          <w:lang w:val="es-MX"/>
        </w:rPr>
        <w:t>5</w:t>
      </w:r>
      <w:r w:rsidRPr="00740C37">
        <w:rPr>
          <w:lang w:val="es-MX"/>
        </w:rPr>
        <w:t xml:space="preserve"> y 10</w:t>
      </w:r>
      <w:r w:rsidRPr="00740C37">
        <w:rPr>
          <w:vertAlign w:val="superscript"/>
          <w:lang w:val="es-MX"/>
        </w:rPr>
        <w:t>6</w:t>
      </w:r>
      <w:r w:rsidRPr="00740C37">
        <w:rPr>
          <w:lang w:val="es-MX"/>
        </w:rPr>
        <w:t xml:space="preserve"> conidias/ml del aislamiento T109 incrementó significativamente el crecimiento (</w:t>
      </w:r>
      <w:r w:rsidRPr="00740C37">
        <w:rPr>
          <w:i/>
          <w:lang w:val="es-MX"/>
        </w:rPr>
        <w:t xml:space="preserve">p </w:t>
      </w:r>
      <w:r w:rsidRPr="00740C37">
        <w:rPr>
          <w:lang w:val="es-MX"/>
        </w:rPr>
        <w:t>≤ 0.05), pero este incremento no ocurrió cuando se aplicaron 10</w:t>
      </w:r>
      <w:r w:rsidRPr="00740C37">
        <w:rPr>
          <w:vertAlign w:val="superscript"/>
          <w:lang w:val="es-MX"/>
        </w:rPr>
        <w:t>4</w:t>
      </w:r>
      <w:r w:rsidRPr="00740C37">
        <w:rPr>
          <w:lang w:val="es-MX"/>
        </w:rPr>
        <w:t>, 10</w:t>
      </w:r>
      <w:r w:rsidRPr="00740C37">
        <w:rPr>
          <w:vertAlign w:val="superscript"/>
          <w:lang w:val="es-MX"/>
        </w:rPr>
        <w:t>7</w:t>
      </w:r>
      <w:r w:rsidRPr="00740C37">
        <w:rPr>
          <w:lang w:val="es-MX"/>
        </w:rPr>
        <w:t xml:space="preserve"> y 10</w:t>
      </w:r>
      <w:r w:rsidRPr="00740C37">
        <w:rPr>
          <w:vertAlign w:val="superscript"/>
          <w:lang w:val="es-MX"/>
        </w:rPr>
        <w:t>8</w:t>
      </w:r>
      <w:r w:rsidRPr="00740C37">
        <w:rPr>
          <w:lang w:val="es-MX"/>
        </w:rPr>
        <w:t xml:space="preserve"> conidias/ml. El crecimiento se incrementó en un rango específico de concentraciones de conidias. En forma similar, lo reportado en Ousley </w:t>
      </w:r>
      <w:r w:rsidRPr="00740C37">
        <w:rPr>
          <w:i/>
          <w:iCs/>
          <w:lang w:val="es-MX"/>
        </w:rPr>
        <w:t>et al</w:t>
      </w:r>
      <w:r w:rsidRPr="00740C37">
        <w:rPr>
          <w:lang w:val="es-MX"/>
        </w:rPr>
        <w:t>. (1993) coincide con lo reportado en el presente trabajo</w:t>
      </w:r>
      <w:r>
        <w:rPr>
          <w:lang w:val="es-MX"/>
        </w:rPr>
        <w:t>, en donde el</w:t>
      </w:r>
      <w:r w:rsidR="00B97C50">
        <w:rPr>
          <w:lang w:val="es-MX"/>
        </w:rPr>
        <w:t xml:space="preserve"> </w:t>
      </w:r>
      <w:r w:rsidRPr="00740C37">
        <w:rPr>
          <w:lang w:val="es-MX"/>
        </w:rPr>
        <w:t xml:space="preserve">aislamiento WT estimuló el crecimiento de la lechuga </w:t>
      </w:r>
      <w:r w:rsidRPr="00740C37">
        <w:rPr>
          <w:i/>
          <w:iCs/>
          <w:lang w:val="es-MX"/>
        </w:rPr>
        <w:t>Latuca sativa</w:t>
      </w:r>
      <w:r w:rsidRPr="00740C37">
        <w:rPr>
          <w:lang w:val="es-MX"/>
        </w:rPr>
        <w:t xml:space="preserve"> L. cuando se lo cultivó durante 24 días, pero no estimuló el crecimiento cuando se lo cultivó 6 ó 48 días. Con el tiempo, días de cultivo, aumenta la concentración del hongo. El estímulo de crecimiento puede restringirse por una baja concentración </w:t>
      </w:r>
      <w:r>
        <w:rPr>
          <w:lang w:val="es-MX"/>
        </w:rPr>
        <w:t xml:space="preserve">de </w:t>
      </w:r>
      <w:r w:rsidRPr="00740C37">
        <w:rPr>
          <w:lang w:val="es-MX"/>
        </w:rPr>
        <w:t xml:space="preserve">conidias, pero también por un exceso en la concentración de </w:t>
      </w:r>
      <w:r>
        <w:rPr>
          <w:lang w:val="es-MX"/>
        </w:rPr>
        <w:t>ellas</w:t>
      </w:r>
      <w:r w:rsidRPr="00740C37">
        <w:rPr>
          <w:lang w:val="es-MX"/>
        </w:rPr>
        <w:t xml:space="preserve">. </w:t>
      </w:r>
    </w:p>
    <w:p w:rsidR="00AA08EA" w:rsidRDefault="00AA08EA" w:rsidP="00AA08EA">
      <w:pPr>
        <w:pStyle w:val="Textoindependiente"/>
        <w:autoSpaceDE w:val="0"/>
        <w:spacing w:after="0"/>
        <w:jc w:val="both"/>
        <w:rPr>
          <w:lang w:val="es-MX"/>
        </w:rPr>
      </w:pPr>
    </w:p>
    <w:p w:rsidR="00AA08EA" w:rsidRDefault="00AA08EA" w:rsidP="00AA08EA">
      <w:pPr>
        <w:pStyle w:val="Textoindependiente"/>
        <w:autoSpaceDE w:val="0"/>
        <w:spacing w:after="0"/>
        <w:jc w:val="both"/>
        <w:rPr>
          <w:lang w:val="es-MX"/>
        </w:rPr>
      </w:pPr>
      <w:r w:rsidRPr="00740C37">
        <w:rPr>
          <w:lang w:val="es-MX"/>
        </w:rPr>
        <w:t xml:space="preserve">La ausencia de estímulo por una baja concentración de conidias puede explicarse porque la </w:t>
      </w:r>
      <w:r>
        <w:rPr>
          <w:lang w:val="es-MX"/>
        </w:rPr>
        <w:t xml:space="preserve">cantidad de </w:t>
      </w:r>
      <w:r w:rsidRPr="00740C37">
        <w:rPr>
          <w:lang w:val="es-MX"/>
        </w:rPr>
        <w:t xml:space="preserve">conidias aplicadas no </w:t>
      </w:r>
      <w:r>
        <w:rPr>
          <w:lang w:val="es-MX"/>
        </w:rPr>
        <w:t>es</w:t>
      </w:r>
      <w:r w:rsidRPr="00740C37">
        <w:rPr>
          <w:lang w:val="es-MX"/>
        </w:rPr>
        <w:t xml:space="preserve"> suficiente para compensar las necesidades que limitan el crecimiento de la planta. Por el contrario, la ausencia de estímulo por exceso se puede explicar </w:t>
      </w:r>
      <w:r>
        <w:rPr>
          <w:lang w:val="es-MX"/>
        </w:rPr>
        <w:t>debido a</w:t>
      </w:r>
      <w:r w:rsidRPr="00740C37">
        <w:rPr>
          <w:lang w:val="es-MX"/>
        </w:rPr>
        <w:t xml:space="preserve"> una competencia por recursos entre la planta y el hongo. También el estímulo del crecimiento puede inhibirse por un exceso del metabolito o nutriente que el hongo suministra a la planta. Aislamientos de </w:t>
      </w:r>
      <w:r w:rsidRPr="00740C37">
        <w:rPr>
          <w:bCs/>
          <w:i/>
          <w:iCs/>
          <w:lang w:val="es-AR"/>
        </w:rPr>
        <w:t xml:space="preserve">Trichoderma virens </w:t>
      </w:r>
      <w:r w:rsidRPr="00740C37">
        <w:rPr>
          <w:bCs/>
          <w:lang w:val="es-AR"/>
        </w:rPr>
        <w:t>productores de auxinas</w:t>
      </w:r>
      <w:r w:rsidRPr="00740C37">
        <w:rPr>
          <w:bCs/>
          <w:i/>
          <w:iCs/>
          <w:lang w:val="es-AR"/>
        </w:rPr>
        <w:t xml:space="preserve"> </w:t>
      </w:r>
      <w:r w:rsidRPr="00740C37">
        <w:rPr>
          <w:bCs/>
          <w:lang w:val="es-AR"/>
        </w:rPr>
        <w:t xml:space="preserve">inhibieron el crecimiento lateral de las raíces de plántulas de </w:t>
      </w:r>
      <w:r w:rsidRPr="00740C37">
        <w:rPr>
          <w:bCs/>
          <w:i/>
          <w:iCs/>
          <w:lang w:val="es-AR"/>
        </w:rPr>
        <w:t>Arabidopsis thaliana</w:t>
      </w:r>
      <w:r w:rsidRPr="00740C37">
        <w:rPr>
          <w:bCs/>
          <w:lang w:val="es-AR"/>
        </w:rPr>
        <w:t xml:space="preserve">, pero aislamientos productores de menores concentraciones de auxina fueron capaces de estimularlo (Contreras-Cornejo </w:t>
      </w:r>
      <w:r w:rsidRPr="00740C37">
        <w:rPr>
          <w:bCs/>
          <w:i/>
          <w:iCs/>
          <w:lang w:val="es-AR"/>
        </w:rPr>
        <w:t>et al.</w:t>
      </w:r>
      <w:r w:rsidRPr="00740C37">
        <w:rPr>
          <w:bCs/>
          <w:lang w:val="es-AR"/>
        </w:rPr>
        <w:t xml:space="preserve">, 2009). El estímulo del crecimiento de las raíces de </w:t>
      </w:r>
      <w:r w:rsidRPr="00740C37">
        <w:rPr>
          <w:bCs/>
          <w:i/>
          <w:iCs/>
          <w:lang w:val="es-AR"/>
        </w:rPr>
        <w:t xml:space="preserve">A. thaliana </w:t>
      </w:r>
      <w:r w:rsidRPr="00740C37">
        <w:rPr>
          <w:bCs/>
          <w:lang w:val="es-AR"/>
        </w:rPr>
        <w:t>respondió a un rango de concentraciones como lo hizo el tomate en el presente trabajo. Una explicación para esta observación seria el efecto de la concentración del hongo aplicado en la composición proteica de las plantas. L</w:t>
      </w:r>
      <w:r w:rsidRPr="00740C37">
        <w:rPr>
          <w:lang w:val="es-MX"/>
        </w:rPr>
        <w:t>as proteínas presentes en las hojas embrionarias del pepino</w:t>
      </w:r>
      <w:r w:rsidRPr="00740C37">
        <w:rPr>
          <w:bCs/>
          <w:lang w:val="es-AR"/>
        </w:rPr>
        <w:t xml:space="preserve"> variaron con la concentración aplicada </w:t>
      </w:r>
      <w:r w:rsidRPr="00740C37">
        <w:rPr>
          <w:lang w:val="es-MX"/>
        </w:rPr>
        <w:t xml:space="preserve">del aislamiento T34 de </w:t>
      </w:r>
      <w:r w:rsidRPr="00740C37">
        <w:rPr>
          <w:i/>
          <w:iCs/>
          <w:lang w:val="es-MX"/>
        </w:rPr>
        <w:t xml:space="preserve">T. asperellum </w:t>
      </w:r>
      <w:r w:rsidRPr="00740C37">
        <w:rPr>
          <w:lang w:val="es-MX"/>
        </w:rPr>
        <w:t>(</w:t>
      </w:r>
      <w:r w:rsidRPr="00740C37">
        <w:rPr>
          <w:lang w:val="es-AR"/>
        </w:rPr>
        <w:t xml:space="preserve">Segarra </w:t>
      </w:r>
      <w:r w:rsidRPr="00740C37">
        <w:rPr>
          <w:i/>
          <w:iCs/>
          <w:lang w:val="es-AR"/>
        </w:rPr>
        <w:t>et al</w:t>
      </w:r>
      <w:r w:rsidRPr="00740C37">
        <w:rPr>
          <w:lang w:val="es-AR"/>
        </w:rPr>
        <w:t>., 2007).</w:t>
      </w:r>
      <w:r w:rsidRPr="00740C37">
        <w:rPr>
          <w:lang w:val="es-MX"/>
        </w:rPr>
        <w:t xml:space="preserve"> Cuando se aplicaron bajas concentración del aislamiento, las proteínas encontradas fueron diferentes a las encontradas cuando no se aplicó o cuando se aplicaron altas concentraciones del aislamiento (</w:t>
      </w:r>
      <w:r w:rsidRPr="00740C37">
        <w:rPr>
          <w:lang w:val="es-AR"/>
        </w:rPr>
        <w:t xml:space="preserve">Segarra </w:t>
      </w:r>
      <w:r w:rsidRPr="00740C37">
        <w:rPr>
          <w:i/>
          <w:iCs/>
          <w:lang w:val="es-AR"/>
        </w:rPr>
        <w:t>et al</w:t>
      </w:r>
      <w:r w:rsidRPr="00740C37">
        <w:rPr>
          <w:lang w:val="es-AR"/>
        </w:rPr>
        <w:t>., 2007).</w:t>
      </w:r>
      <w:r w:rsidRPr="00740C37">
        <w:rPr>
          <w:lang w:val="es-MX"/>
        </w:rPr>
        <w:t xml:space="preserve"> Esto indica claramente</w:t>
      </w:r>
      <w:r>
        <w:rPr>
          <w:lang w:val="es-MX"/>
        </w:rPr>
        <w:t xml:space="preserve"> que</w:t>
      </w:r>
      <w:r w:rsidRPr="00740C37">
        <w:rPr>
          <w:lang w:val="es-MX"/>
        </w:rPr>
        <w:t xml:space="preserve"> el efecto de los asilamientos aplicados</w:t>
      </w:r>
      <w:r>
        <w:rPr>
          <w:lang w:val="es-MX"/>
        </w:rPr>
        <w:t xml:space="preserve"> est</w:t>
      </w:r>
      <w:r w:rsidR="004B65B3">
        <w:rPr>
          <w:lang w:val="es-MX"/>
        </w:rPr>
        <w:t>á</w:t>
      </w:r>
      <w:r>
        <w:rPr>
          <w:lang w:val="es-MX"/>
        </w:rPr>
        <w:t xml:space="preserve"> influenciado por el</w:t>
      </w:r>
      <w:r w:rsidRPr="00740C37">
        <w:rPr>
          <w:lang w:val="es-MX"/>
        </w:rPr>
        <w:t xml:space="preserve"> rango de concentración </w:t>
      </w:r>
      <w:r>
        <w:rPr>
          <w:lang w:val="es-MX"/>
        </w:rPr>
        <w:t>de los mismos.</w:t>
      </w:r>
      <w:r w:rsidRPr="00740C37">
        <w:rPr>
          <w:lang w:val="es-MX"/>
        </w:rPr>
        <w:t xml:space="preserve"> </w:t>
      </w:r>
    </w:p>
    <w:p w:rsidR="00AA08EA" w:rsidRDefault="00AA08EA" w:rsidP="00AA08EA">
      <w:pPr>
        <w:pStyle w:val="Textoindependiente"/>
        <w:autoSpaceDE w:val="0"/>
        <w:spacing w:after="0"/>
        <w:jc w:val="both"/>
        <w:rPr>
          <w:lang w:val="es-MX"/>
        </w:rPr>
      </w:pPr>
    </w:p>
    <w:p w:rsidR="00AA08EA" w:rsidRPr="005D04A4" w:rsidRDefault="005D04A4" w:rsidP="00AA08EA">
      <w:pPr>
        <w:jc w:val="both"/>
        <w:rPr>
          <w:b/>
          <w:lang w:val="es-MX"/>
        </w:rPr>
      </w:pPr>
      <w:r w:rsidRPr="005D04A4">
        <w:rPr>
          <w:b/>
          <w:lang w:val="es-MX"/>
        </w:rPr>
        <w:t>Conclusión</w:t>
      </w:r>
      <w:r w:rsidR="00AA08EA" w:rsidRPr="005D04A4">
        <w:rPr>
          <w:b/>
          <w:lang w:val="es-MX"/>
        </w:rPr>
        <w:t xml:space="preserve"> </w:t>
      </w:r>
    </w:p>
    <w:p w:rsidR="00AA08EA" w:rsidRDefault="00AA08EA" w:rsidP="00AA08EA">
      <w:pPr>
        <w:pStyle w:val="Textoindependiente"/>
        <w:autoSpaceDE w:val="0"/>
        <w:spacing w:after="0"/>
        <w:jc w:val="both"/>
        <w:rPr>
          <w:lang w:val="es-MX"/>
        </w:rPr>
      </w:pPr>
    </w:p>
    <w:p w:rsidR="00AA08EA" w:rsidRDefault="00AA08EA" w:rsidP="00AA08EA">
      <w:pPr>
        <w:pStyle w:val="Textoindependiente"/>
        <w:autoSpaceDE w:val="0"/>
        <w:spacing w:after="0"/>
        <w:jc w:val="both"/>
        <w:rPr>
          <w:lang w:val="es-MX"/>
        </w:rPr>
      </w:pPr>
      <w:r w:rsidRPr="00740C37">
        <w:rPr>
          <w:lang w:val="es-MX"/>
        </w:rPr>
        <w:t xml:space="preserve">El estímulo del crecimiento causado por </w:t>
      </w:r>
      <w:r w:rsidRPr="00740C37">
        <w:rPr>
          <w:i/>
          <w:lang w:val="es-MX"/>
        </w:rPr>
        <w:t>T. asperellum</w:t>
      </w:r>
      <w:r w:rsidRPr="00740C37" w:rsidDel="002E0A17">
        <w:rPr>
          <w:lang w:val="es-MX"/>
        </w:rPr>
        <w:t xml:space="preserve"> </w:t>
      </w:r>
      <w:r w:rsidRPr="00740C37">
        <w:rPr>
          <w:lang w:val="es-MX"/>
        </w:rPr>
        <w:t xml:space="preserve">en plántulas de tomate, </w:t>
      </w:r>
      <w:r w:rsidR="005D04A4" w:rsidRPr="00740C37">
        <w:rPr>
          <w:lang w:val="es-MX"/>
        </w:rPr>
        <w:t>s</w:t>
      </w:r>
      <w:r w:rsidR="005D04A4">
        <w:rPr>
          <w:lang w:val="es-MX"/>
        </w:rPr>
        <w:t>ó</w:t>
      </w:r>
      <w:r w:rsidR="005D04A4" w:rsidRPr="00740C37">
        <w:rPr>
          <w:lang w:val="es-MX"/>
        </w:rPr>
        <w:t xml:space="preserve">lo </w:t>
      </w:r>
      <w:r w:rsidRPr="00740C37">
        <w:rPr>
          <w:lang w:val="es-MX"/>
        </w:rPr>
        <w:t>ocurre con aislamientos y rangos de concentración de conidias específicos.</w:t>
      </w:r>
      <w:r w:rsidRPr="00740C37">
        <w:rPr>
          <w:bCs/>
          <w:iCs/>
          <w:lang w:val="es-MX"/>
        </w:rPr>
        <w:t xml:space="preserve"> La complementariedad que el hongo debe tener con la planta para compensar las necesidades que limitan su crecimiento, parece estar influenciada cualitativa y </w:t>
      </w:r>
      <w:r w:rsidRPr="00740C37">
        <w:rPr>
          <w:lang w:val="es-MX"/>
        </w:rPr>
        <w:t>cuantitativa por el aislamiento y el rango de concentración aplicados, respectivamente.</w:t>
      </w:r>
    </w:p>
    <w:p w:rsidR="00AA08EA" w:rsidRDefault="00AA08EA" w:rsidP="00AA08EA">
      <w:pPr>
        <w:pStyle w:val="Textoindependiente"/>
        <w:autoSpaceDE w:val="0"/>
        <w:spacing w:after="0"/>
        <w:jc w:val="both"/>
        <w:rPr>
          <w:bCs/>
          <w:lang w:val="es-MX"/>
        </w:rPr>
      </w:pPr>
    </w:p>
    <w:p w:rsidR="00AA08EA" w:rsidRPr="005D04A4" w:rsidRDefault="005D04A4" w:rsidP="00AA08EA">
      <w:pPr>
        <w:jc w:val="both"/>
        <w:rPr>
          <w:b/>
          <w:bCs/>
          <w:lang w:val="es-ES"/>
        </w:rPr>
      </w:pPr>
      <w:r w:rsidRPr="005D04A4">
        <w:rPr>
          <w:b/>
          <w:bCs/>
          <w:lang w:val="es-ES"/>
        </w:rPr>
        <w:t>Agradecimientos</w:t>
      </w:r>
    </w:p>
    <w:p w:rsidR="00AA08EA" w:rsidRDefault="00AA08EA" w:rsidP="00AA08EA">
      <w:pPr>
        <w:jc w:val="both"/>
        <w:rPr>
          <w:lang w:val="es-ES"/>
        </w:rPr>
      </w:pPr>
    </w:p>
    <w:p w:rsidR="00AA08EA" w:rsidRDefault="00AA08EA" w:rsidP="00AA08EA">
      <w:pPr>
        <w:jc w:val="both"/>
        <w:rPr>
          <w:lang w:val="es-AR"/>
        </w:rPr>
      </w:pPr>
      <w:r w:rsidRPr="00740C37">
        <w:rPr>
          <w:lang w:val="es-ES"/>
        </w:rPr>
        <w:t xml:space="preserve">Este trabajo fue parte del programa de investigación sobre el uso de </w:t>
      </w:r>
      <w:r w:rsidRPr="00740C37">
        <w:rPr>
          <w:i/>
          <w:iCs/>
          <w:lang w:val="es-ES"/>
        </w:rPr>
        <w:t>T. asperellum</w:t>
      </w:r>
      <w:r w:rsidRPr="00740C37">
        <w:rPr>
          <w:lang w:val="es-ES"/>
        </w:rPr>
        <w:t xml:space="preserve"> para el control biológico de la sarna polvosa de la papa, el cual fue parcialmente financiado por el Ministerio de Agricultura y Desarrollo Rural, Colciencias y </w:t>
      </w:r>
      <w:r w:rsidRPr="00740C37">
        <w:rPr>
          <w:lang w:val="es-AR"/>
        </w:rPr>
        <w:t>la UNAL (DIME, QUIPU: 20201007168).</w:t>
      </w:r>
    </w:p>
    <w:p w:rsidR="00AA08EA" w:rsidRDefault="00AA08EA" w:rsidP="00AA08EA">
      <w:pPr>
        <w:jc w:val="both"/>
        <w:rPr>
          <w:bCs/>
          <w:sz w:val="22"/>
          <w:szCs w:val="22"/>
          <w:lang w:val="es-ES"/>
        </w:rPr>
      </w:pPr>
    </w:p>
    <w:p w:rsidR="00AA08EA" w:rsidRPr="005D04A4" w:rsidRDefault="005D04A4" w:rsidP="00AA08EA">
      <w:pPr>
        <w:jc w:val="both"/>
        <w:rPr>
          <w:b/>
          <w:bCs/>
          <w:lang w:val="es-AR"/>
        </w:rPr>
      </w:pPr>
      <w:r w:rsidRPr="005D04A4">
        <w:rPr>
          <w:b/>
          <w:bCs/>
          <w:lang w:val="es-AR"/>
        </w:rPr>
        <w:t>Referencias</w:t>
      </w:r>
      <w:r w:rsidR="00F717D0">
        <w:rPr>
          <w:b/>
          <w:bCs/>
          <w:lang w:val="es-AR"/>
        </w:rPr>
        <w:t xml:space="preserve"> bibliográficas</w:t>
      </w:r>
    </w:p>
    <w:p w:rsidR="00AA08EA" w:rsidRDefault="00AA08EA" w:rsidP="00AA08EA">
      <w:pPr>
        <w:jc w:val="both"/>
        <w:rPr>
          <w:bCs/>
          <w:lang w:val="es-AR"/>
        </w:rPr>
      </w:pPr>
    </w:p>
    <w:p w:rsidR="00AA08EA" w:rsidRPr="00AA08EA" w:rsidRDefault="00AA08EA" w:rsidP="00AA08EA">
      <w:pPr>
        <w:autoSpaceDE w:val="0"/>
        <w:jc w:val="both"/>
        <w:rPr>
          <w:bCs/>
          <w:lang w:val="en-US"/>
        </w:rPr>
      </w:pPr>
      <w:r w:rsidRPr="00740C37">
        <w:rPr>
          <w:bCs/>
          <w:lang w:val="es-AR"/>
        </w:rPr>
        <w:t xml:space="preserve">Contreras-Cornejo H.A., Macías-Rodríguez L., Cortés-Penagos C., López-Bucio J. 2009. </w:t>
      </w:r>
      <w:r w:rsidRPr="00AB0CBF">
        <w:rPr>
          <w:bCs/>
          <w:i/>
          <w:iCs/>
          <w:lang w:val="en-US"/>
        </w:rPr>
        <w:t>Trichoderma virens</w:t>
      </w:r>
      <w:r w:rsidRPr="00AB0CBF">
        <w:rPr>
          <w:bCs/>
          <w:lang w:val="en-US"/>
        </w:rPr>
        <w:t xml:space="preserve">, a plant beneficial fungus, enhances biomass production and promotes lateral root growth through an auxin-dependent mechanism in </w:t>
      </w:r>
      <w:r w:rsidRPr="00AB0CBF">
        <w:rPr>
          <w:bCs/>
          <w:i/>
          <w:iCs/>
          <w:lang w:val="en-US"/>
        </w:rPr>
        <w:t>Arabidopsis</w:t>
      </w:r>
      <w:r w:rsidRPr="00AB0CBF">
        <w:rPr>
          <w:bCs/>
          <w:lang w:val="en-US"/>
        </w:rPr>
        <w:t xml:space="preserve">. </w:t>
      </w:r>
      <w:proofErr w:type="gramStart"/>
      <w:r w:rsidR="00547850" w:rsidRPr="00547850">
        <w:rPr>
          <w:bCs/>
          <w:i/>
          <w:iCs/>
          <w:lang w:val="en-US"/>
        </w:rPr>
        <w:t>Plant Physiology</w:t>
      </w:r>
      <w:r w:rsidRPr="00AA08EA">
        <w:rPr>
          <w:bCs/>
          <w:i/>
          <w:iCs/>
          <w:lang w:val="en-US"/>
        </w:rPr>
        <w:t>.</w:t>
      </w:r>
      <w:proofErr w:type="gramEnd"/>
      <w:r w:rsidRPr="00AA08EA">
        <w:rPr>
          <w:bCs/>
          <w:lang w:val="en-US"/>
        </w:rPr>
        <w:t xml:space="preserve"> 149(3): 1579-1592. </w:t>
      </w:r>
      <w:proofErr w:type="gramStart"/>
      <w:r>
        <w:rPr>
          <w:bCs/>
          <w:lang w:val="en-US"/>
        </w:rPr>
        <w:t>d</w:t>
      </w:r>
      <w:r w:rsidRPr="00AA08EA">
        <w:rPr>
          <w:bCs/>
          <w:lang w:val="en-US"/>
        </w:rPr>
        <w:t>oi</w:t>
      </w:r>
      <w:proofErr w:type="gramEnd"/>
      <w:r w:rsidRPr="00AA08EA">
        <w:rPr>
          <w:bCs/>
          <w:lang w:val="en-US"/>
        </w:rPr>
        <w:t>: 10.1104/pp.108.130369</w:t>
      </w:r>
      <w:r w:rsidR="005953B4">
        <w:rPr>
          <w:bCs/>
          <w:lang w:val="en-US"/>
        </w:rPr>
        <w:t>.</w:t>
      </w:r>
    </w:p>
    <w:p w:rsidR="00AA08EA" w:rsidRPr="00AA08EA" w:rsidRDefault="00AA08EA" w:rsidP="00AA08EA">
      <w:pPr>
        <w:autoSpaceDE w:val="0"/>
        <w:jc w:val="both"/>
        <w:rPr>
          <w:lang w:val="en-US"/>
        </w:rPr>
      </w:pPr>
    </w:p>
    <w:p w:rsidR="00AA08EA" w:rsidRPr="00B97C50" w:rsidRDefault="00AA08EA" w:rsidP="00AA08EA">
      <w:pPr>
        <w:autoSpaceDE w:val="0"/>
        <w:jc w:val="both"/>
        <w:rPr>
          <w:lang w:val="es-AR"/>
        </w:rPr>
      </w:pPr>
      <w:r w:rsidRPr="00AA08EA">
        <w:rPr>
          <w:lang w:val="en-US"/>
        </w:rPr>
        <w:t xml:space="preserve">Gilchrist E., Jaramillo S., Reynaldi S. 2009. </w:t>
      </w:r>
      <w:r w:rsidRPr="00740C37">
        <w:rPr>
          <w:lang w:val="es-AR"/>
        </w:rPr>
        <w:t xml:space="preserve">Efecto sobre la sarna polvosa de cuatro aislamientos del hongo </w:t>
      </w:r>
      <w:r w:rsidRPr="00740C37">
        <w:rPr>
          <w:i/>
          <w:iCs/>
          <w:lang w:val="es-AR"/>
        </w:rPr>
        <w:t xml:space="preserve">Trichoderma asperellum </w:t>
      </w:r>
      <w:r w:rsidRPr="00740C37">
        <w:rPr>
          <w:lang w:val="es-AR"/>
        </w:rPr>
        <w:t xml:space="preserve">en tres tipos de suelo. </w:t>
      </w:r>
      <w:r w:rsidR="00547850" w:rsidRPr="00547850">
        <w:rPr>
          <w:i/>
          <w:iCs/>
          <w:lang w:val="es-AR"/>
        </w:rPr>
        <w:t>Revista Faculta</w:t>
      </w:r>
      <w:r w:rsidR="00EA6D0F">
        <w:rPr>
          <w:i/>
          <w:iCs/>
          <w:lang w:val="es-AR"/>
        </w:rPr>
        <w:t>d Nacional de Agronomía Medellín</w:t>
      </w:r>
      <w:r w:rsidRPr="00B97C50">
        <w:rPr>
          <w:i/>
          <w:iCs/>
          <w:lang w:val="es-AR"/>
        </w:rPr>
        <w:t>.</w:t>
      </w:r>
      <w:r w:rsidRPr="00B97C50">
        <w:rPr>
          <w:lang w:val="es-AR"/>
        </w:rPr>
        <w:t xml:space="preserve"> 62(1): 4783-4792.</w:t>
      </w:r>
    </w:p>
    <w:p w:rsidR="00AA08EA" w:rsidRPr="00B97C50" w:rsidRDefault="00AA08EA" w:rsidP="00AA08EA">
      <w:pPr>
        <w:jc w:val="both"/>
        <w:rPr>
          <w:lang w:val="es-AR"/>
        </w:rPr>
      </w:pPr>
    </w:p>
    <w:p w:rsidR="00AA08EA" w:rsidRDefault="00AA08EA" w:rsidP="00AA08EA">
      <w:pPr>
        <w:jc w:val="both"/>
        <w:rPr>
          <w:lang w:val="en-GB"/>
        </w:rPr>
      </w:pPr>
      <w:r w:rsidRPr="003E609D">
        <w:rPr>
          <w:lang w:val="de-DE"/>
        </w:rPr>
        <w:lastRenderedPageBreak/>
        <w:t xml:space="preserve">Gilchrist E., Soler J., Merz U., Reynaldi S. 2011. </w:t>
      </w:r>
      <w:proofErr w:type="gramStart"/>
      <w:r w:rsidRPr="00740C37">
        <w:rPr>
          <w:lang w:val="en-GB"/>
        </w:rPr>
        <w:t xml:space="preserve">Powdery scab effect on the potato </w:t>
      </w:r>
      <w:r w:rsidRPr="00740C37">
        <w:rPr>
          <w:i/>
          <w:iCs/>
          <w:lang w:val="en-GB"/>
        </w:rPr>
        <w:t>Solanum tuberosum</w:t>
      </w:r>
      <w:r w:rsidRPr="00740C37">
        <w:rPr>
          <w:lang w:val="en-GB"/>
        </w:rPr>
        <w:t xml:space="preserve"> ssp. andigena growth and yield.</w:t>
      </w:r>
      <w:proofErr w:type="gramEnd"/>
      <w:r w:rsidRPr="00740C37">
        <w:rPr>
          <w:lang w:val="en-GB"/>
        </w:rPr>
        <w:t xml:space="preserve"> </w:t>
      </w:r>
      <w:r w:rsidRPr="00AA08EA">
        <w:rPr>
          <w:lang w:val="en-US"/>
        </w:rPr>
        <w:t xml:space="preserve"> </w:t>
      </w:r>
      <w:proofErr w:type="gramStart"/>
      <w:r w:rsidR="00547850" w:rsidRPr="00547850">
        <w:rPr>
          <w:i/>
          <w:lang w:val="en-US"/>
        </w:rPr>
        <w:t>Tropical Plant Pathology</w:t>
      </w:r>
      <w:r w:rsidRPr="00740C37">
        <w:rPr>
          <w:i/>
          <w:iCs/>
          <w:lang w:val="en-GB"/>
        </w:rPr>
        <w:t>.</w:t>
      </w:r>
      <w:proofErr w:type="gramEnd"/>
      <w:r w:rsidRPr="00740C37">
        <w:rPr>
          <w:lang w:val="en-GB"/>
        </w:rPr>
        <w:t xml:space="preserve"> 36(6): 350-355. </w:t>
      </w:r>
      <w:proofErr w:type="gramStart"/>
      <w:r w:rsidR="001B371F" w:rsidRPr="001B371F">
        <w:rPr>
          <w:lang w:val="en-GB"/>
        </w:rPr>
        <w:t>doi:</w:t>
      </w:r>
      <w:proofErr w:type="gramEnd"/>
      <w:r w:rsidR="001B371F" w:rsidRPr="001B371F">
        <w:rPr>
          <w:lang w:val="en-GB"/>
        </w:rPr>
        <w:t>10.1590/S1982-56762011000600002</w:t>
      </w:r>
      <w:r w:rsidR="005953B4">
        <w:rPr>
          <w:lang w:val="en-GB"/>
        </w:rPr>
        <w:t>.</w:t>
      </w:r>
    </w:p>
    <w:p w:rsidR="00AA08EA" w:rsidRPr="00AA08EA" w:rsidRDefault="00AA08EA" w:rsidP="00AA08EA">
      <w:pPr>
        <w:autoSpaceDE w:val="0"/>
        <w:jc w:val="both"/>
        <w:rPr>
          <w:bCs/>
          <w:color w:val="000000"/>
          <w:lang w:val="en-US"/>
        </w:rPr>
      </w:pPr>
    </w:p>
    <w:p w:rsidR="00AA08EA" w:rsidRDefault="00AA08EA" w:rsidP="00AA08EA">
      <w:pPr>
        <w:autoSpaceDE w:val="0"/>
        <w:jc w:val="both"/>
        <w:rPr>
          <w:bCs/>
          <w:color w:val="000000"/>
          <w:lang w:val="fr-FR"/>
        </w:rPr>
      </w:pPr>
      <w:r w:rsidRPr="00AA08EA">
        <w:rPr>
          <w:bCs/>
          <w:color w:val="000000"/>
          <w:lang w:val="en-US"/>
        </w:rPr>
        <w:t>Harman G.E., Howell C.R., Viterbo A., Chet I., Lorito M. 2004</w:t>
      </w:r>
      <w:r>
        <w:rPr>
          <w:bCs/>
          <w:color w:val="000000"/>
          <w:lang w:val="en-US"/>
        </w:rPr>
        <w:t>a</w:t>
      </w:r>
      <w:r w:rsidRPr="00AA08EA">
        <w:rPr>
          <w:bCs/>
          <w:color w:val="000000"/>
          <w:lang w:val="en-US"/>
        </w:rPr>
        <w:t xml:space="preserve">. </w:t>
      </w:r>
      <w:proofErr w:type="gramStart"/>
      <w:r w:rsidRPr="00AA08EA">
        <w:rPr>
          <w:bCs/>
          <w:i/>
          <w:iCs/>
          <w:color w:val="000000"/>
          <w:lang w:val="en-US"/>
        </w:rPr>
        <w:t>Trichoderma</w:t>
      </w:r>
      <w:r w:rsidRPr="00AA08EA">
        <w:rPr>
          <w:bCs/>
          <w:color w:val="000000"/>
          <w:lang w:val="en-US"/>
        </w:rPr>
        <w:t xml:space="preserve"> species-opportunistic, avirulent plant symbionts.</w:t>
      </w:r>
      <w:proofErr w:type="gramEnd"/>
      <w:r w:rsidRPr="00AA08EA">
        <w:rPr>
          <w:bCs/>
          <w:color w:val="000000"/>
          <w:lang w:val="en-US"/>
        </w:rPr>
        <w:t xml:space="preserve"> </w:t>
      </w:r>
      <w:proofErr w:type="gramStart"/>
      <w:r w:rsidR="00547850" w:rsidRPr="00547850">
        <w:rPr>
          <w:bCs/>
          <w:i/>
          <w:color w:val="000000"/>
          <w:lang w:val="en-US"/>
        </w:rPr>
        <w:t>Nature Reviews Microbiology</w:t>
      </w:r>
      <w:r w:rsidR="00547850">
        <w:rPr>
          <w:bCs/>
          <w:color w:val="000000"/>
          <w:lang w:val="en-US"/>
        </w:rPr>
        <w:t>.</w:t>
      </w:r>
      <w:proofErr w:type="gramEnd"/>
      <w:r w:rsidR="00547850">
        <w:rPr>
          <w:bCs/>
          <w:color w:val="000000"/>
          <w:lang w:val="en-US"/>
        </w:rPr>
        <w:t xml:space="preserve"> </w:t>
      </w:r>
      <w:r w:rsidRPr="00466C54">
        <w:rPr>
          <w:bCs/>
          <w:color w:val="000000"/>
          <w:lang w:val="fr-FR"/>
        </w:rPr>
        <w:t>2:</w:t>
      </w:r>
      <w:r w:rsidR="00547850">
        <w:rPr>
          <w:bCs/>
          <w:color w:val="000000"/>
          <w:lang w:val="fr-FR"/>
        </w:rPr>
        <w:t xml:space="preserve"> </w:t>
      </w:r>
      <w:r w:rsidRPr="00924F23">
        <w:rPr>
          <w:bCs/>
          <w:color w:val="000000"/>
          <w:lang w:val="fr-FR"/>
        </w:rPr>
        <w:t xml:space="preserve">43-56. </w:t>
      </w:r>
      <w:proofErr w:type="gramStart"/>
      <w:r w:rsidRPr="00924F23">
        <w:rPr>
          <w:bCs/>
          <w:color w:val="000000"/>
          <w:lang w:val="fr-FR"/>
        </w:rPr>
        <w:t>doi:</w:t>
      </w:r>
      <w:proofErr w:type="gramEnd"/>
      <w:r w:rsidRPr="001E40C5">
        <w:rPr>
          <w:bCs/>
          <w:color w:val="000000"/>
          <w:lang w:val="fr-FR"/>
        </w:rPr>
        <w:t>10.1038/nrmicro797</w:t>
      </w:r>
      <w:r w:rsidR="005953B4">
        <w:rPr>
          <w:bCs/>
          <w:color w:val="000000"/>
          <w:lang w:val="fr-FR"/>
        </w:rPr>
        <w:t>.</w:t>
      </w:r>
    </w:p>
    <w:p w:rsidR="00AA08EA" w:rsidRDefault="00AA08EA" w:rsidP="00AA08EA">
      <w:pPr>
        <w:pStyle w:val="Default"/>
        <w:jc w:val="both"/>
        <w:rPr>
          <w:lang w:val="fr-FR"/>
        </w:rPr>
      </w:pPr>
    </w:p>
    <w:p w:rsidR="00AA08EA" w:rsidRPr="00773FDE" w:rsidRDefault="00AA08EA" w:rsidP="00AA08EA">
      <w:pPr>
        <w:jc w:val="both"/>
      </w:pPr>
      <w:r w:rsidRPr="00740C37">
        <w:rPr>
          <w:lang w:val="fr-FR"/>
        </w:rPr>
        <w:t xml:space="preserve">Harman G.E., Petzoldt R., Comis A., Chen J. 2004b. </w:t>
      </w:r>
      <w:r w:rsidRPr="00AA08EA">
        <w:rPr>
          <w:lang w:val="en-US"/>
        </w:rPr>
        <w:t xml:space="preserve">Interactions between </w:t>
      </w:r>
      <w:r w:rsidRPr="00AA08EA">
        <w:rPr>
          <w:i/>
          <w:iCs/>
          <w:lang w:val="en-US"/>
        </w:rPr>
        <w:t>Trichoderma harzianum</w:t>
      </w:r>
      <w:r w:rsidRPr="00AA08EA">
        <w:rPr>
          <w:lang w:val="en-US"/>
        </w:rPr>
        <w:t xml:space="preserve"> strain T22 and maize inbred line Mo17 and effects of these interactions on diseases caused by </w:t>
      </w:r>
      <w:r w:rsidRPr="00AA08EA">
        <w:rPr>
          <w:i/>
          <w:iCs/>
          <w:lang w:val="en-US"/>
        </w:rPr>
        <w:t>Pythium ultimum</w:t>
      </w:r>
      <w:r w:rsidRPr="00AA08EA">
        <w:rPr>
          <w:lang w:val="en-US"/>
        </w:rPr>
        <w:t xml:space="preserve"> and </w:t>
      </w:r>
      <w:r w:rsidRPr="00AA08EA">
        <w:rPr>
          <w:i/>
          <w:iCs/>
          <w:lang w:val="en-US"/>
        </w:rPr>
        <w:t>Colletotrichum graminicola</w:t>
      </w:r>
      <w:r w:rsidRPr="00AA08EA">
        <w:rPr>
          <w:lang w:val="en-US"/>
        </w:rPr>
        <w:t xml:space="preserve">. </w:t>
      </w:r>
      <w:r w:rsidRPr="003E609D">
        <w:rPr>
          <w:i/>
          <w:iCs/>
          <w:lang w:val="es-AR"/>
        </w:rPr>
        <w:t>Phytopathology</w:t>
      </w:r>
      <w:r w:rsidRPr="003E609D">
        <w:rPr>
          <w:lang w:val="es-AR"/>
        </w:rPr>
        <w:t xml:space="preserve">. </w:t>
      </w:r>
      <w:r w:rsidRPr="00773FDE">
        <w:rPr>
          <w:i/>
          <w:iCs/>
        </w:rPr>
        <w:t>94</w:t>
      </w:r>
      <w:r w:rsidRPr="00773FDE">
        <w:t xml:space="preserve">(2): 147-153. </w:t>
      </w:r>
      <w:proofErr w:type="gramStart"/>
      <w:r w:rsidRPr="00773FDE">
        <w:t>doi</w:t>
      </w:r>
      <w:proofErr w:type="gramEnd"/>
      <w:r w:rsidRPr="00773FDE">
        <w:t>: 10.1094/PHYTO.2004.94.2.147</w:t>
      </w:r>
      <w:r w:rsidR="005953B4">
        <w:t>.</w:t>
      </w:r>
    </w:p>
    <w:p w:rsidR="00AA08EA" w:rsidRPr="00773FDE" w:rsidRDefault="00AA08EA" w:rsidP="00AA08EA">
      <w:pPr>
        <w:pStyle w:val="Default"/>
        <w:jc w:val="both"/>
        <w:rPr>
          <w:lang w:val="es-CO"/>
        </w:rPr>
      </w:pPr>
    </w:p>
    <w:p w:rsidR="00AA08EA" w:rsidRPr="00B97C50" w:rsidRDefault="00AA08EA" w:rsidP="00AA08EA">
      <w:pPr>
        <w:jc w:val="both"/>
        <w:rPr>
          <w:lang w:val="en-US"/>
        </w:rPr>
      </w:pPr>
      <w:r w:rsidRPr="00773FDE">
        <w:t xml:space="preserve">Hoyos-Carvajal L.M., Jaramillo S., Orduz S. 2008. </w:t>
      </w:r>
      <w:r w:rsidRPr="003E609D">
        <w:rPr>
          <w:lang w:val="es-AR"/>
        </w:rPr>
        <w:t xml:space="preserve">Evaluación de </w:t>
      </w:r>
      <w:r w:rsidRPr="003E609D">
        <w:rPr>
          <w:i/>
          <w:iCs/>
          <w:lang w:val="es-AR"/>
        </w:rPr>
        <w:t>Trichoderma asperellum</w:t>
      </w:r>
      <w:r w:rsidRPr="003E609D">
        <w:rPr>
          <w:lang w:val="es-AR"/>
        </w:rPr>
        <w:t xml:space="preserve"> como biorregulador de </w:t>
      </w:r>
      <w:r w:rsidRPr="003E609D">
        <w:rPr>
          <w:i/>
          <w:lang w:val="es-AR"/>
        </w:rPr>
        <w:t>Spongospora subterranea</w:t>
      </w:r>
      <w:r w:rsidRPr="003E609D">
        <w:rPr>
          <w:lang w:val="es-AR"/>
        </w:rPr>
        <w:t xml:space="preserve"> f. sp. </w:t>
      </w:r>
      <w:proofErr w:type="gramStart"/>
      <w:r w:rsidRPr="003E609D">
        <w:rPr>
          <w:lang w:val="es-AR"/>
        </w:rPr>
        <w:t>subterranea</w:t>
      </w:r>
      <w:proofErr w:type="gramEnd"/>
      <w:r w:rsidRPr="003E609D">
        <w:rPr>
          <w:lang w:val="es-AR"/>
        </w:rPr>
        <w:t xml:space="preserve">. </w:t>
      </w:r>
      <w:r w:rsidR="00EA6D0F" w:rsidRPr="00547850">
        <w:rPr>
          <w:i/>
          <w:iCs/>
          <w:lang w:val="es-AR"/>
        </w:rPr>
        <w:t>Revista Facultad Nacional de Agronomía Medellín</w:t>
      </w:r>
      <w:r w:rsidRPr="00B97C50">
        <w:rPr>
          <w:i/>
          <w:iCs/>
          <w:lang w:val="en-US"/>
        </w:rPr>
        <w:t>.</w:t>
      </w:r>
      <w:r w:rsidRPr="00B97C50">
        <w:rPr>
          <w:lang w:val="en-US"/>
        </w:rPr>
        <w:t xml:space="preserve"> 61(2): 4496-4502.</w:t>
      </w:r>
    </w:p>
    <w:p w:rsidR="00AA08EA" w:rsidRPr="00B97C50" w:rsidRDefault="00AA08EA" w:rsidP="00AA08EA">
      <w:pPr>
        <w:jc w:val="both"/>
        <w:rPr>
          <w:lang w:val="en-US"/>
        </w:rPr>
      </w:pPr>
    </w:p>
    <w:p w:rsidR="00AA08EA" w:rsidRDefault="00AA08EA" w:rsidP="00AA08EA">
      <w:pPr>
        <w:pStyle w:val="Default"/>
        <w:jc w:val="both"/>
        <w:rPr>
          <w:lang w:val="en-US"/>
        </w:rPr>
      </w:pPr>
      <w:r w:rsidRPr="003E609D">
        <w:rPr>
          <w:lang w:val="es-AR"/>
        </w:rPr>
        <w:t xml:space="preserve">Hoyos-Carvajal L., Orduz S., Bissett J. </w:t>
      </w:r>
      <w:r w:rsidRPr="003E609D">
        <w:rPr>
          <w:bCs/>
          <w:lang w:val="es-AR"/>
        </w:rPr>
        <w:t>2009a</w:t>
      </w:r>
      <w:r w:rsidRPr="003E609D">
        <w:rPr>
          <w:lang w:val="es-AR"/>
        </w:rPr>
        <w:t xml:space="preserve">. </w:t>
      </w:r>
      <w:r w:rsidRPr="00740C37">
        <w:rPr>
          <w:lang w:val="en-US"/>
        </w:rPr>
        <w:t xml:space="preserve">Genetic and metabolic biodiversity of </w:t>
      </w:r>
      <w:r w:rsidRPr="00740C37">
        <w:rPr>
          <w:i/>
          <w:iCs/>
          <w:lang w:val="en-US"/>
        </w:rPr>
        <w:t>Trichoderma</w:t>
      </w:r>
      <w:r w:rsidRPr="00740C37">
        <w:rPr>
          <w:iCs/>
          <w:lang w:val="en-US"/>
        </w:rPr>
        <w:t xml:space="preserve"> </w:t>
      </w:r>
      <w:r w:rsidRPr="00740C37">
        <w:rPr>
          <w:lang w:val="en-US"/>
        </w:rPr>
        <w:t xml:space="preserve">from Colombia and adjacent neotropic regions. </w:t>
      </w:r>
      <w:proofErr w:type="gramStart"/>
      <w:r w:rsidR="00EA6D0F" w:rsidRPr="00EA6D0F">
        <w:rPr>
          <w:i/>
          <w:lang w:val="en-US"/>
        </w:rPr>
        <w:t>Fungal Genetics and Biology</w:t>
      </w:r>
      <w:r w:rsidRPr="00740C37">
        <w:rPr>
          <w:lang w:val="en-US"/>
        </w:rPr>
        <w:t>.</w:t>
      </w:r>
      <w:proofErr w:type="gramEnd"/>
      <w:r w:rsidRPr="00740C37">
        <w:rPr>
          <w:lang w:val="en-US"/>
        </w:rPr>
        <w:t xml:space="preserve"> </w:t>
      </w:r>
      <w:r w:rsidRPr="00740C37">
        <w:rPr>
          <w:iCs/>
          <w:lang w:val="en-US"/>
        </w:rPr>
        <w:t>46(9)</w:t>
      </w:r>
      <w:r w:rsidRPr="00740C37">
        <w:rPr>
          <w:lang w:val="en-US"/>
        </w:rPr>
        <w:t xml:space="preserve">: 615-631. </w:t>
      </w:r>
      <w:proofErr w:type="gramStart"/>
      <w:r w:rsidR="001B371F" w:rsidRPr="001B371F">
        <w:rPr>
          <w:lang w:val="en-US"/>
        </w:rPr>
        <w:t>doi</w:t>
      </w:r>
      <w:proofErr w:type="gramEnd"/>
      <w:r w:rsidR="001B371F" w:rsidRPr="001B371F">
        <w:rPr>
          <w:lang w:val="en-US"/>
        </w:rPr>
        <w:t xml:space="preserve">: </w:t>
      </w:r>
      <w:r w:rsidR="001B371F" w:rsidRPr="001B371F" w:rsidDel="000A0415">
        <w:rPr>
          <w:lang w:val="en-US"/>
        </w:rPr>
        <w:t xml:space="preserve"> </w:t>
      </w:r>
      <w:r w:rsidR="001B371F" w:rsidRPr="001B371F">
        <w:rPr>
          <w:lang w:val="en-US"/>
        </w:rPr>
        <w:t>10.1016/j.fgb.2009.04.006</w:t>
      </w:r>
      <w:r w:rsidR="005953B4">
        <w:rPr>
          <w:lang w:val="en-US"/>
        </w:rPr>
        <w:t>.</w:t>
      </w:r>
    </w:p>
    <w:p w:rsidR="00AA08EA" w:rsidRDefault="00AA08EA" w:rsidP="00AA08EA">
      <w:pPr>
        <w:pStyle w:val="Default"/>
        <w:jc w:val="both"/>
        <w:rPr>
          <w:lang w:val="en-US"/>
        </w:rPr>
      </w:pPr>
    </w:p>
    <w:p w:rsidR="00AA08EA" w:rsidRPr="00AA08EA" w:rsidRDefault="00AA08EA" w:rsidP="00AA08EA">
      <w:pPr>
        <w:pStyle w:val="Prrafodelista1"/>
        <w:ind w:left="0"/>
        <w:jc w:val="both"/>
        <w:rPr>
          <w:lang w:val="en-US"/>
        </w:rPr>
      </w:pPr>
      <w:proofErr w:type="gramStart"/>
      <w:r w:rsidRPr="00B97C50">
        <w:rPr>
          <w:lang w:val="en-GB"/>
        </w:rPr>
        <w:t>Hoyos-Carvajal L., Orduz S., Bissett J. 2009b.</w:t>
      </w:r>
      <w:proofErr w:type="gramEnd"/>
      <w:r w:rsidRPr="00B97C50">
        <w:rPr>
          <w:lang w:val="en-GB"/>
        </w:rPr>
        <w:t xml:space="preserve"> </w:t>
      </w:r>
      <w:proofErr w:type="gramStart"/>
      <w:r w:rsidRPr="00AA08EA">
        <w:rPr>
          <w:lang w:val="en-US"/>
        </w:rPr>
        <w:t>Growth stimulation in bean (</w:t>
      </w:r>
      <w:r w:rsidRPr="00AA08EA">
        <w:rPr>
          <w:i/>
          <w:lang w:val="en-US"/>
        </w:rPr>
        <w:t xml:space="preserve">Phaseolus vulgaris </w:t>
      </w:r>
      <w:r w:rsidRPr="00AA08EA">
        <w:rPr>
          <w:lang w:val="en-US"/>
        </w:rPr>
        <w:t>L.)</w:t>
      </w:r>
      <w:r>
        <w:rPr>
          <w:lang w:val="en-US"/>
        </w:rPr>
        <w:t xml:space="preserve"> </w:t>
      </w:r>
      <w:r w:rsidRPr="00AA08EA">
        <w:rPr>
          <w:lang w:val="en-US"/>
        </w:rPr>
        <w:t xml:space="preserve">by </w:t>
      </w:r>
      <w:r w:rsidRPr="00AA08EA">
        <w:rPr>
          <w:i/>
          <w:lang w:val="en-US"/>
        </w:rPr>
        <w:t>Trichoderma</w:t>
      </w:r>
      <w:r w:rsidRPr="00AA08EA">
        <w:rPr>
          <w:lang w:val="en-US"/>
        </w:rPr>
        <w:t>.</w:t>
      </w:r>
      <w:proofErr w:type="gramEnd"/>
      <w:r w:rsidRPr="00AA08EA">
        <w:rPr>
          <w:lang w:val="en-US"/>
        </w:rPr>
        <w:t xml:space="preserve"> </w:t>
      </w:r>
      <w:proofErr w:type="gramStart"/>
      <w:r w:rsidR="00F717D0" w:rsidRPr="00F717D0">
        <w:rPr>
          <w:i/>
          <w:lang w:val="en-US"/>
        </w:rPr>
        <w:t>Biological control</w:t>
      </w:r>
      <w:r w:rsidRPr="00AA08EA">
        <w:rPr>
          <w:i/>
          <w:lang w:val="en-US"/>
        </w:rPr>
        <w:t>.</w:t>
      </w:r>
      <w:proofErr w:type="gramEnd"/>
      <w:r w:rsidRPr="00AA08EA">
        <w:rPr>
          <w:lang w:val="en-US"/>
        </w:rPr>
        <w:t xml:space="preserve"> 51(3): 409-416. </w:t>
      </w:r>
      <w:proofErr w:type="gramStart"/>
      <w:r w:rsidR="001B371F" w:rsidRPr="001B371F">
        <w:rPr>
          <w:lang w:val="en-US"/>
        </w:rPr>
        <w:t>doi</w:t>
      </w:r>
      <w:proofErr w:type="gramEnd"/>
      <w:r w:rsidR="001B371F" w:rsidRPr="001B371F">
        <w:rPr>
          <w:lang w:val="en-US"/>
        </w:rPr>
        <w:t>: 10.1016/j.biocontrol.2009.07.018</w:t>
      </w:r>
      <w:r w:rsidR="005953B4">
        <w:rPr>
          <w:lang w:val="en-US"/>
        </w:rPr>
        <w:t>.</w:t>
      </w:r>
    </w:p>
    <w:p w:rsidR="00AA08EA" w:rsidRPr="00AA08EA" w:rsidRDefault="00AA08EA" w:rsidP="00AA08EA">
      <w:pPr>
        <w:autoSpaceDE w:val="0"/>
        <w:jc w:val="both"/>
        <w:rPr>
          <w:lang w:val="en-US"/>
        </w:rPr>
      </w:pPr>
    </w:p>
    <w:p w:rsidR="00AA08EA" w:rsidRDefault="00AA08EA" w:rsidP="00AA08EA">
      <w:pPr>
        <w:autoSpaceDE w:val="0"/>
        <w:jc w:val="both"/>
      </w:pPr>
      <w:r w:rsidRPr="00AA08EA">
        <w:rPr>
          <w:lang w:val="en-US"/>
        </w:rPr>
        <w:t xml:space="preserve">Lindsey D.L, Baker R. 1967. </w:t>
      </w:r>
      <w:proofErr w:type="gramStart"/>
      <w:r w:rsidRPr="00AA08EA">
        <w:rPr>
          <w:lang w:val="en-US"/>
        </w:rPr>
        <w:t>Effect of certain fungi on dwarf tomatoes grown under gnotobiotic conditions.</w:t>
      </w:r>
      <w:proofErr w:type="gramEnd"/>
      <w:r w:rsidRPr="00AA08EA">
        <w:rPr>
          <w:lang w:val="en-US"/>
        </w:rPr>
        <w:t xml:space="preserve"> </w:t>
      </w:r>
      <w:r w:rsidRPr="00466C54">
        <w:rPr>
          <w:i/>
          <w:lang w:val="es-AR"/>
        </w:rPr>
        <w:t>Phytopathology</w:t>
      </w:r>
      <w:r w:rsidRPr="00466C54">
        <w:rPr>
          <w:lang w:val="es-AR"/>
        </w:rPr>
        <w:t>. 57(1):2</w:t>
      </w:r>
      <w:r w:rsidRPr="00466C54">
        <w:t>62-263.</w:t>
      </w:r>
    </w:p>
    <w:p w:rsidR="00AA08EA" w:rsidRDefault="00AA08EA" w:rsidP="00AA08EA">
      <w:pPr>
        <w:jc w:val="both"/>
      </w:pPr>
    </w:p>
    <w:p w:rsidR="00AA08EA" w:rsidRPr="00B97C50" w:rsidRDefault="00AA08EA" w:rsidP="00AA08EA">
      <w:pPr>
        <w:jc w:val="both"/>
        <w:rPr>
          <w:lang w:val="es-AR"/>
        </w:rPr>
      </w:pPr>
      <w:r w:rsidRPr="001E40C5">
        <w:rPr>
          <w:lang w:val="es-AR"/>
        </w:rPr>
        <w:t xml:space="preserve">Meier U. 2001. Estadios de las plantas mono-y dicotiledóneas. BBCH Monografía. Centro Federal de Investigaciones Biológicas para Agricultura y Silvicultura. </w:t>
      </w:r>
      <w:r w:rsidRPr="00B97C50">
        <w:rPr>
          <w:lang w:val="es-AR"/>
        </w:rPr>
        <w:t>2a. Edición. 149 p.</w:t>
      </w:r>
    </w:p>
    <w:p w:rsidR="00AA08EA" w:rsidRPr="00B97C50" w:rsidRDefault="00AA08EA" w:rsidP="00AA08EA">
      <w:pPr>
        <w:jc w:val="both"/>
        <w:rPr>
          <w:lang w:val="es-AR"/>
        </w:rPr>
      </w:pPr>
    </w:p>
    <w:p w:rsidR="00AA08EA" w:rsidRPr="00AA08EA" w:rsidRDefault="00AA08EA" w:rsidP="00AA08EA">
      <w:pPr>
        <w:jc w:val="both"/>
        <w:rPr>
          <w:lang w:val="en-US"/>
        </w:rPr>
      </w:pPr>
      <w:r w:rsidRPr="00B97C50">
        <w:rPr>
          <w:lang w:val="es-AR"/>
        </w:rPr>
        <w:t xml:space="preserve">Ousley M.A., Lynch J.M., Whipps J.M. 1993. </w:t>
      </w:r>
      <w:r w:rsidRPr="00AA08EA">
        <w:rPr>
          <w:lang w:val="en-US"/>
        </w:rPr>
        <w:t xml:space="preserve">Effect of </w:t>
      </w:r>
      <w:r w:rsidRPr="00AA08EA">
        <w:rPr>
          <w:i/>
          <w:lang w:val="en-US"/>
        </w:rPr>
        <w:t>Trichoderma</w:t>
      </w:r>
      <w:r w:rsidRPr="00AA08EA">
        <w:rPr>
          <w:lang w:val="en-US"/>
        </w:rPr>
        <w:t xml:space="preserve"> on plant growth: a balance between inhibition and growth promotion. </w:t>
      </w:r>
      <w:proofErr w:type="gramStart"/>
      <w:r w:rsidR="00DB557A" w:rsidRPr="00DB557A">
        <w:rPr>
          <w:i/>
          <w:lang w:val="en-US"/>
        </w:rPr>
        <w:t>Microbial Ecology</w:t>
      </w:r>
      <w:r w:rsidRPr="00AA08EA">
        <w:rPr>
          <w:lang w:val="en-US"/>
        </w:rPr>
        <w:t>.</w:t>
      </w:r>
      <w:proofErr w:type="gramEnd"/>
      <w:r w:rsidRPr="00AA08EA">
        <w:rPr>
          <w:lang w:val="en-US"/>
        </w:rPr>
        <w:t xml:space="preserve"> 26(3): 277-285. </w:t>
      </w:r>
      <w:proofErr w:type="gramStart"/>
      <w:r>
        <w:rPr>
          <w:lang w:val="en-US"/>
        </w:rPr>
        <w:t>d</w:t>
      </w:r>
      <w:r w:rsidRPr="00AA08EA">
        <w:rPr>
          <w:lang w:val="en-US"/>
        </w:rPr>
        <w:t>oi:</w:t>
      </w:r>
      <w:proofErr w:type="gramEnd"/>
      <w:r w:rsidRPr="00AA08EA">
        <w:rPr>
          <w:lang w:val="en-US"/>
        </w:rPr>
        <w:t>10.1007/BF00176959</w:t>
      </w:r>
      <w:r w:rsidR="005953B4">
        <w:rPr>
          <w:lang w:val="en-US"/>
        </w:rPr>
        <w:t>.</w:t>
      </w:r>
    </w:p>
    <w:p w:rsidR="00AA08EA" w:rsidRPr="00AA08EA" w:rsidRDefault="00AA08EA" w:rsidP="00AA08EA">
      <w:pPr>
        <w:jc w:val="both"/>
        <w:rPr>
          <w:lang w:val="en-US"/>
        </w:rPr>
      </w:pPr>
    </w:p>
    <w:p w:rsidR="00AA08EA" w:rsidRPr="00AA08EA" w:rsidRDefault="00AA08EA" w:rsidP="00AA08EA">
      <w:pPr>
        <w:autoSpaceDE w:val="0"/>
        <w:jc w:val="both"/>
        <w:rPr>
          <w:lang w:val="en-US"/>
        </w:rPr>
      </w:pPr>
      <w:r w:rsidRPr="00AA08EA">
        <w:rPr>
          <w:lang w:val="en-US"/>
        </w:rPr>
        <w:t>Ousley M.A., Lynch J.M., Whipps, J.M. 1994</w:t>
      </w:r>
      <w:r>
        <w:rPr>
          <w:lang w:val="en-US"/>
        </w:rPr>
        <w:t>a</w:t>
      </w:r>
      <w:r w:rsidRPr="00AA08EA">
        <w:rPr>
          <w:lang w:val="en-US"/>
        </w:rPr>
        <w:t xml:space="preserve">. </w:t>
      </w:r>
      <w:proofErr w:type="gramStart"/>
      <w:r w:rsidRPr="00AA08EA">
        <w:rPr>
          <w:lang w:val="en-US"/>
        </w:rPr>
        <w:t xml:space="preserve">Potential of </w:t>
      </w:r>
      <w:r w:rsidRPr="00AA08EA">
        <w:rPr>
          <w:i/>
          <w:iCs/>
          <w:lang w:val="en-US"/>
        </w:rPr>
        <w:t xml:space="preserve">Trichoderma </w:t>
      </w:r>
      <w:r w:rsidRPr="00AA08EA">
        <w:rPr>
          <w:lang w:val="en-US"/>
        </w:rPr>
        <w:t>spp. as consistent plant growth stimulators.</w:t>
      </w:r>
      <w:proofErr w:type="gramEnd"/>
      <w:r w:rsidRPr="00AA08EA">
        <w:rPr>
          <w:lang w:val="en-US"/>
        </w:rPr>
        <w:t xml:space="preserve"> </w:t>
      </w:r>
      <w:proofErr w:type="gramStart"/>
      <w:r w:rsidR="004F2E5A" w:rsidRPr="004F2E5A">
        <w:rPr>
          <w:i/>
          <w:lang w:val="en-US"/>
        </w:rPr>
        <w:t>Biology and Fertility of Soils</w:t>
      </w:r>
      <w:r w:rsidRPr="00AA08EA">
        <w:rPr>
          <w:lang w:val="en-US"/>
        </w:rPr>
        <w:t>.</w:t>
      </w:r>
      <w:proofErr w:type="gramEnd"/>
      <w:r w:rsidRPr="00AA08EA">
        <w:rPr>
          <w:i/>
          <w:iCs/>
          <w:lang w:val="en-US"/>
        </w:rPr>
        <w:t xml:space="preserve"> </w:t>
      </w:r>
      <w:r w:rsidRPr="00AA08EA">
        <w:rPr>
          <w:lang w:val="en-US"/>
        </w:rPr>
        <w:t xml:space="preserve">17(2): 85-90. </w:t>
      </w:r>
      <w:proofErr w:type="gramStart"/>
      <w:r w:rsidRPr="00AA08EA">
        <w:rPr>
          <w:lang w:val="en-US"/>
        </w:rPr>
        <w:t>doi</w:t>
      </w:r>
      <w:proofErr w:type="gramEnd"/>
      <w:r w:rsidRPr="00AA08EA">
        <w:rPr>
          <w:lang w:val="en-US"/>
        </w:rPr>
        <w:t>: 10.1007/BF00337738</w:t>
      </w:r>
      <w:r w:rsidR="005953B4">
        <w:rPr>
          <w:lang w:val="en-US"/>
        </w:rPr>
        <w:t>.</w:t>
      </w:r>
    </w:p>
    <w:p w:rsidR="00AA08EA" w:rsidRPr="00AA08EA" w:rsidRDefault="00AA08EA" w:rsidP="00AA08EA">
      <w:pPr>
        <w:autoSpaceDE w:val="0"/>
        <w:jc w:val="both"/>
        <w:rPr>
          <w:lang w:val="en-US"/>
        </w:rPr>
      </w:pPr>
    </w:p>
    <w:p w:rsidR="00AA08EA" w:rsidRDefault="00AA08EA" w:rsidP="00AA08EA">
      <w:pPr>
        <w:autoSpaceDE w:val="0"/>
        <w:jc w:val="both"/>
        <w:rPr>
          <w:bCs/>
          <w:lang w:val="en-GB"/>
        </w:rPr>
      </w:pPr>
      <w:r w:rsidRPr="00AA08EA">
        <w:rPr>
          <w:bCs/>
          <w:lang w:val="en-US"/>
        </w:rPr>
        <w:t xml:space="preserve">Ousley M.A., Lynch J.M., Whipps J.M. 1994b. </w:t>
      </w:r>
      <w:proofErr w:type="gramStart"/>
      <w:r w:rsidRPr="00AA08EA">
        <w:rPr>
          <w:bCs/>
          <w:lang w:val="en-US"/>
        </w:rPr>
        <w:t xml:space="preserve">The effects of addition of </w:t>
      </w:r>
      <w:r w:rsidRPr="00AA08EA">
        <w:rPr>
          <w:bCs/>
          <w:i/>
          <w:iCs/>
          <w:lang w:val="en-US"/>
        </w:rPr>
        <w:t xml:space="preserve">Trichoderma </w:t>
      </w:r>
      <w:r w:rsidRPr="00AA08EA">
        <w:rPr>
          <w:bCs/>
          <w:lang w:val="en-US"/>
        </w:rPr>
        <w:t>inocula on flowering and shoot growth of bedding plants.</w:t>
      </w:r>
      <w:proofErr w:type="gramEnd"/>
      <w:r w:rsidRPr="00AA08EA">
        <w:rPr>
          <w:bCs/>
          <w:lang w:val="en-US"/>
        </w:rPr>
        <w:t xml:space="preserve"> </w:t>
      </w:r>
      <w:r w:rsidR="004F2E5A" w:rsidRPr="004F2E5A">
        <w:rPr>
          <w:bCs/>
          <w:i/>
          <w:lang w:val="en-US"/>
        </w:rPr>
        <w:t>Scientia Horticulturae</w:t>
      </w:r>
      <w:r w:rsidRPr="00AA08EA">
        <w:rPr>
          <w:bCs/>
          <w:i/>
          <w:iCs/>
          <w:lang w:val="en-US"/>
        </w:rPr>
        <w:t>.</w:t>
      </w:r>
      <w:r w:rsidRPr="00AA08EA">
        <w:rPr>
          <w:bCs/>
          <w:lang w:val="en-US"/>
        </w:rPr>
        <w:t xml:space="preserve"> 59(2): 147-155. </w:t>
      </w:r>
      <w:proofErr w:type="gramStart"/>
      <w:r w:rsidR="001B371F" w:rsidRPr="001B371F">
        <w:rPr>
          <w:lang w:val="en-US"/>
        </w:rPr>
        <w:t>doi</w:t>
      </w:r>
      <w:proofErr w:type="gramEnd"/>
      <w:r w:rsidR="001B371F" w:rsidRPr="001B371F">
        <w:rPr>
          <w:lang w:val="en-US"/>
        </w:rPr>
        <w:t>: 10.1016/0304-4238(94)90081-7</w:t>
      </w:r>
      <w:r w:rsidR="005953B4">
        <w:rPr>
          <w:lang w:val="en-US"/>
        </w:rPr>
        <w:t>.</w:t>
      </w:r>
    </w:p>
    <w:p w:rsidR="00AA08EA" w:rsidRDefault="00AA08EA" w:rsidP="00AA08EA">
      <w:pPr>
        <w:autoSpaceDE w:val="0"/>
        <w:jc w:val="both"/>
        <w:rPr>
          <w:bCs/>
          <w:lang w:val="en-GB"/>
        </w:rPr>
      </w:pPr>
    </w:p>
    <w:p w:rsidR="00AA08EA" w:rsidRDefault="00AA08EA" w:rsidP="00AA08EA">
      <w:pPr>
        <w:autoSpaceDE w:val="0"/>
        <w:jc w:val="both"/>
        <w:rPr>
          <w:bCs/>
          <w:lang w:val="pt-BR"/>
        </w:rPr>
      </w:pPr>
      <w:r w:rsidRPr="00740C37">
        <w:rPr>
          <w:bCs/>
          <w:lang w:val="en-GB"/>
        </w:rPr>
        <w:t xml:space="preserve">Schuster A., Schmoll M. 2010. </w:t>
      </w:r>
      <w:proofErr w:type="gramStart"/>
      <w:r w:rsidRPr="00AA08EA">
        <w:rPr>
          <w:bCs/>
          <w:lang w:val="en-US"/>
        </w:rPr>
        <w:t xml:space="preserve">Biology and biotechnology of </w:t>
      </w:r>
      <w:r w:rsidRPr="00AA08EA">
        <w:rPr>
          <w:bCs/>
          <w:i/>
          <w:iCs/>
          <w:lang w:val="en-US"/>
        </w:rPr>
        <w:t>Trichoderma.</w:t>
      </w:r>
      <w:proofErr w:type="gramEnd"/>
      <w:r w:rsidRPr="00466C54">
        <w:rPr>
          <w:bCs/>
          <w:i/>
          <w:lang w:val="en-GB"/>
        </w:rPr>
        <w:t xml:space="preserve"> </w:t>
      </w:r>
      <w:proofErr w:type="gramStart"/>
      <w:r w:rsidR="004F2E5A" w:rsidRPr="004F2E5A">
        <w:rPr>
          <w:bCs/>
          <w:i/>
          <w:lang w:val="en-GB"/>
        </w:rPr>
        <w:t>Applied Microbiology and Biotechnology</w:t>
      </w:r>
      <w:r w:rsidRPr="00466C54">
        <w:rPr>
          <w:bCs/>
          <w:lang w:val="pt-BR"/>
        </w:rPr>
        <w:t>.</w:t>
      </w:r>
      <w:proofErr w:type="gramEnd"/>
      <w:r w:rsidRPr="00466C54">
        <w:rPr>
          <w:bCs/>
          <w:lang w:val="pt-BR"/>
        </w:rPr>
        <w:t xml:space="preserve"> 87</w:t>
      </w:r>
      <w:r w:rsidRPr="00924F23">
        <w:rPr>
          <w:bCs/>
          <w:lang w:val="pt-BR"/>
        </w:rPr>
        <w:t xml:space="preserve">(3): 787-799. </w:t>
      </w:r>
      <w:proofErr w:type="gramStart"/>
      <w:r>
        <w:rPr>
          <w:bCs/>
          <w:lang w:val="pt-BR"/>
        </w:rPr>
        <w:t>d</w:t>
      </w:r>
      <w:r w:rsidRPr="00924F23">
        <w:rPr>
          <w:bCs/>
          <w:lang w:val="pt-BR"/>
        </w:rPr>
        <w:t>oi</w:t>
      </w:r>
      <w:proofErr w:type="gramEnd"/>
      <w:r w:rsidRPr="00924F23">
        <w:rPr>
          <w:bCs/>
          <w:lang w:val="pt-BR"/>
        </w:rPr>
        <w:t>: 10.1007/s00253-010-2632-1</w:t>
      </w:r>
      <w:r w:rsidR="005953B4">
        <w:rPr>
          <w:bCs/>
          <w:lang w:val="pt-BR"/>
        </w:rPr>
        <w:t>.</w:t>
      </w:r>
    </w:p>
    <w:p w:rsidR="00AA08EA" w:rsidRDefault="00AA08EA" w:rsidP="00AA08EA">
      <w:pPr>
        <w:jc w:val="both"/>
        <w:rPr>
          <w:lang w:val="pt-BR"/>
        </w:rPr>
      </w:pPr>
    </w:p>
    <w:p w:rsidR="00AA08EA" w:rsidRPr="00AA08EA" w:rsidRDefault="00AA08EA" w:rsidP="00AA08EA">
      <w:pPr>
        <w:autoSpaceDE w:val="0"/>
        <w:jc w:val="both"/>
        <w:rPr>
          <w:lang w:val="en-US"/>
        </w:rPr>
      </w:pPr>
      <w:r w:rsidRPr="00740C37">
        <w:rPr>
          <w:lang w:val="pt-BR"/>
        </w:rPr>
        <w:lastRenderedPageBreak/>
        <w:t>Segarra G., Casanova E</w:t>
      </w:r>
      <w:proofErr w:type="gramStart"/>
      <w:r w:rsidRPr="00740C37">
        <w:rPr>
          <w:lang w:val="pt-BR"/>
        </w:rPr>
        <w:t>.,</w:t>
      </w:r>
      <w:proofErr w:type="gramEnd"/>
      <w:r w:rsidRPr="00740C37">
        <w:rPr>
          <w:lang w:val="pt-BR"/>
        </w:rPr>
        <w:t xml:space="preserve"> Bellido D., Odena M.A., Oliveira E., Trillas I. 2007. </w:t>
      </w:r>
      <w:r w:rsidRPr="00AA08EA">
        <w:rPr>
          <w:lang w:val="en-US"/>
        </w:rPr>
        <w:t xml:space="preserve">Proteome, salicylic acid and jasmonic acid changes in cucumber plants inoculated with </w:t>
      </w:r>
      <w:r w:rsidRPr="00AA08EA">
        <w:rPr>
          <w:i/>
          <w:iCs/>
          <w:lang w:val="en-US"/>
        </w:rPr>
        <w:t>Trichoderma asperellum</w:t>
      </w:r>
      <w:r w:rsidRPr="00AA08EA">
        <w:rPr>
          <w:lang w:val="en-US"/>
        </w:rPr>
        <w:t xml:space="preserve"> T34. </w:t>
      </w:r>
      <w:proofErr w:type="gramStart"/>
      <w:r w:rsidRPr="00AA08EA">
        <w:rPr>
          <w:i/>
          <w:iCs/>
          <w:lang w:val="en-US"/>
        </w:rPr>
        <w:t>Proteomics</w:t>
      </w:r>
      <w:r w:rsidRPr="00AA08EA">
        <w:rPr>
          <w:lang w:val="en-US"/>
        </w:rPr>
        <w:t>.</w:t>
      </w:r>
      <w:proofErr w:type="gramEnd"/>
      <w:r w:rsidRPr="00AA08EA">
        <w:rPr>
          <w:lang w:val="en-US"/>
        </w:rPr>
        <w:t xml:space="preserve"> 7(21): 3943-3952. </w:t>
      </w:r>
      <w:proofErr w:type="gramStart"/>
      <w:r>
        <w:rPr>
          <w:lang w:val="en-US"/>
        </w:rPr>
        <w:t>d</w:t>
      </w:r>
      <w:r w:rsidRPr="00AA08EA">
        <w:rPr>
          <w:lang w:val="en-US"/>
        </w:rPr>
        <w:t>oi</w:t>
      </w:r>
      <w:proofErr w:type="gramEnd"/>
      <w:r w:rsidRPr="00AA08EA">
        <w:rPr>
          <w:lang w:val="en-US"/>
        </w:rPr>
        <w:t>: 10.1002/pmic.200700173</w:t>
      </w:r>
      <w:r w:rsidR="005953B4">
        <w:rPr>
          <w:lang w:val="en-US"/>
        </w:rPr>
        <w:t>.</w:t>
      </w:r>
    </w:p>
    <w:p w:rsidR="00AA08EA" w:rsidRPr="00AA08EA" w:rsidRDefault="00AA08EA" w:rsidP="00AA08EA">
      <w:pPr>
        <w:jc w:val="both"/>
        <w:rPr>
          <w:lang w:val="en-US"/>
        </w:rPr>
      </w:pPr>
    </w:p>
    <w:p w:rsidR="00AA08EA" w:rsidRPr="00B97C50" w:rsidRDefault="00AA08EA" w:rsidP="00AA08EA">
      <w:pPr>
        <w:suppressAutoHyphens w:val="0"/>
        <w:autoSpaceDE w:val="0"/>
        <w:autoSpaceDN w:val="0"/>
        <w:adjustRightInd w:val="0"/>
        <w:rPr>
          <w:rFonts w:eastAsia="TimesNewRomanPSMT"/>
          <w:lang w:val="en-GB" w:eastAsia="de-DE"/>
        </w:rPr>
      </w:pPr>
      <w:r w:rsidRPr="00AA08EA">
        <w:rPr>
          <w:lang w:val="en-US"/>
        </w:rPr>
        <w:t xml:space="preserve">Rabeendran N., Moot D.J., Jones E.E., Stewart A. 2000. Inconsistent growth promotion of cabbage and lettuce from </w:t>
      </w:r>
      <w:r w:rsidRPr="00AA08EA">
        <w:rPr>
          <w:i/>
          <w:lang w:val="en-US"/>
        </w:rPr>
        <w:t>Trichoderma</w:t>
      </w:r>
      <w:r w:rsidRPr="00AA08EA">
        <w:rPr>
          <w:lang w:val="en-US"/>
        </w:rPr>
        <w:t xml:space="preserve"> isolates. </w:t>
      </w:r>
      <w:proofErr w:type="gramStart"/>
      <w:r w:rsidR="004F2E5A" w:rsidRPr="006C2633">
        <w:rPr>
          <w:i/>
          <w:lang w:val="en-US"/>
        </w:rPr>
        <w:t>New Zealand Plant Protection</w:t>
      </w:r>
      <w:r w:rsidRPr="00B97C50">
        <w:rPr>
          <w:lang w:val="en-GB"/>
        </w:rPr>
        <w:t>.</w:t>
      </w:r>
      <w:proofErr w:type="gramEnd"/>
      <w:r w:rsidRPr="00B97C50">
        <w:rPr>
          <w:rFonts w:eastAsia="TimesNewRomanPSMT"/>
          <w:lang w:val="en-GB" w:eastAsia="de-DE"/>
        </w:rPr>
        <w:t xml:space="preserve"> 53:143-146.</w:t>
      </w:r>
    </w:p>
    <w:p w:rsidR="00AA08EA" w:rsidRPr="00B97C50" w:rsidRDefault="00AA08EA" w:rsidP="00AA08EA">
      <w:pPr>
        <w:suppressAutoHyphens w:val="0"/>
        <w:autoSpaceDE w:val="0"/>
        <w:autoSpaceDN w:val="0"/>
        <w:adjustRightInd w:val="0"/>
        <w:rPr>
          <w:rFonts w:eastAsia="TimesNewRomanPSMT"/>
          <w:sz w:val="20"/>
          <w:szCs w:val="20"/>
          <w:lang w:val="en-GB" w:eastAsia="de-DE"/>
        </w:rPr>
      </w:pPr>
    </w:p>
    <w:p w:rsidR="00AA08EA" w:rsidRPr="00AA08EA" w:rsidRDefault="00AA08EA" w:rsidP="00AA08EA">
      <w:pPr>
        <w:autoSpaceDE w:val="0"/>
        <w:jc w:val="both"/>
        <w:rPr>
          <w:bCs/>
          <w:color w:val="000000"/>
          <w:lang w:val="en-US"/>
        </w:rPr>
      </w:pPr>
      <w:r w:rsidRPr="003E609D">
        <w:rPr>
          <w:bCs/>
          <w:color w:val="000000"/>
          <w:lang w:val="es-AR"/>
        </w:rPr>
        <w:t xml:space="preserve">Tucci M., Ruocco M., De Masi L., De Palma M., Lorito M. 2011. </w:t>
      </w:r>
      <w:r w:rsidRPr="00AA08EA">
        <w:rPr>
          <w:bCs/>
          <w:color w:val="000000"/>
          <w:lang w:val="en-US"/>
        </w:rPr>
        <w:t xml:space="preserve">The beneficial effect of Trichoderma spp. on tomato is modulated by the plant genotype. </w:t>
      </w:r>
      <w:proofErr w:type="gramStart"/>
      <w:r w:rsidR="006C2633" w:rsidRPr="006C2633">
        <w:rPr>
          <w:bCs/>
          <w:i/>
          <w:color w:val="000000"/>
          <w:lang w:val="en-US"/>
        </w:rPr>
        <w:t>Molecular Plant Pathology</w:t>
      </w:r>
      <w:r w:rsidRPr="00AA08EA">
        <w:rPr>
          <w:bCs/>
          <w:color w:val="000000"/>
          <w:lang w:val="en-US"/>
        </w:rPr>
        <w:t>.</w:t>
      </w:r>
      <w:proofErr w:type="gramEnd"/>
      <w:r w:rsidRPr="00AA08EA">
        <w:rPr>
          <w:bCs/>
          <w:color w:val="000000"/>
          <w:lang w:val="en-US"/>
        </w:rPr>
        <w:t xml:space="preserve"> 12(4): 341</w:t>
      </w:r>
      <w:r w:rsidRPr="00E47EC9">
        <w:rPr>
          <w:bCs/>
          <w:color w:val="000000"/>
          <w:lang w:val="en-US"/>
        </w:rPr>
        <w:t>–</w:t>
      </w:r>
      <w:r w:rsidRPr="00AA08EA">
        <w:rPr>
          <w:bCs/>
          <w:color w:val="000000"/>
          <w:lang w:val="en-US"/>
        </w:rPr>
        <w:t>354.</w:t>
      </w:r>
      <w:r w:rsidRPr="00AA08EA">
        <w:rPr>
          <w:lang w:val="en-US"/>
        </w:rPr>
        <w:t xml:space="preserve"> </w:t>
      </w:r>
      <w:proofErr w:type="gramStart"/>
      <w:r>
        <w:rPr>
          <w:bCs/>
          <w:color w:val="000000"/>
          <w:lang w:val="en-US"/>
        </w:rPr>
        <w:t>d</w:t>
      </w:r>
      <w:r w:rsidRPr="00AA08EA">
        <w:rPr>
          <w:bCs/>
          <w:color w:val="000000"/>
          <w:lang w:val="en-US"/>
        </w:rPr>
        <w:t>oi</w:t>
      </w:r>
      <w:proofErr w:type="gramEnd"/>
      <w:r w:rsidRPr="00AA08EA">
        <w:rPr>
          <w:bCs/>
          <w:color w:val="000000"/>
          <w:lang w:val="en-US"/>
        </w:rPr>
        <w:t>: 10.1111/j.1364-3703.2010.00674.x</w:t>
      </w:r>
      <w:r w:rsidR="005953B4">
        <w:rPr>
          <w:bCs/>
          <w:color w:val="000000"/>
          <w:lang w:val="en-US"/>
        </w:rPr>
        <w:t>.</w:t>
      </w:r>
    </w:p>
    <w:p w:rsidR="00AA08EA" w:rsidRPr="00AA08EA" w:rsidRDefault="00AA08EA" w:rsidP="00AA08EA">
      <w:pPr>
        <w:jc w:val="both"/>
        <w:rPr>
          <w:lang w:val="en-US"/>
        </w:rPr>
      </w:pPr>
    </w:p>
    <w:p w:rsidR="00AA08EA" w:rsidRPr="00AA08EA" w:rsidRDefault="00AA08EA" w:rsidP="00AA08EA">
      <w:pPr>
        <w:jc w:val="both"/>
        <w:rPr>
          <w:lang w:val="en-US"/>
        </w:rPr>
      </w:pPr>
      <w:r w:rsidRPr="00AA08EA">
        <w:rPr>
          <w:lang w:val="en-US"/>
        </w:rPr>
        <w:t xml:space="preserve">Tyburski J., Krzemiński L., Tretyn A. 2008. Exogenous auxin affects ascorbate metabolism in roots of tomato seedlings. </w:t>
      </w:r>
      <w:proofErr w:type="gramStart"/>
      <w:r w:rsidR="00BA46FB" w:rsidRPr="00BA46FB">
        <w:rPr>
          <w:i/>
          <w:lang w:val="en-US"/>
        </w:rPr>
        <w:t>Plant Growth Regulation</w:t>
      </w:r>
      <w:r w:rsidRPr="00AA08EA">
        <w:rPr>
          <w:lang w:val="en-US"/>
        </w:rPr>
        <w:t>.</w:t>
      </w:r>
      <w:proofErr w:type="gramEnd"/>
      <w:r w:rsidRPr="00AA08EA">
        <w:rPr>
          <w:lang w:val="en-US"/>
        </w:rPr>
        <w:t xml:space="preserve"> 54(3): 203</w:t>
      </w:r>
      <w:r w:rsidRPr="00E47EC9">
        <w:rPr>
          <w:lang w:val="en-US"/>
        </w:rPr>
        <w:t>–</w:t>
      </w:r>
      <w:r w:rsidRPr="00AA08EA">
        <w:rPr>
          <w:lang w:val="en-US"/>
        </w:rPr>
        <w:t xml:space="preserve">215. </w:t>
      </w:r>
      <w:proofErr w:type="gramStart"/>
      <w:r>
        <w:rPr>
          <w:lang w:val="en-US"/>
        </w:rPr>
        <w:t>d</w:t>
      </w:r>
      <w:r w:rsidRPr="00AA08EA">
        <w:rPr>
          <w:lang w:val="en-US"/>
        </w:rPr>
        <w:t>oi</w:t>
      </w:r>
      <w:proofErr w:type="gramEnd"/>
      <w:r w:rsidRPr="00AA08EA">
        <w:rPr>
          <w:lang w:val="en-US"/>
        </w:rPr>
        <w:t>: 10.1007/s10725-007-9241-8</w:t>
      </w:r>
      <w:r w:rsidR="005953B4">
        <w:rPr>
          <w:lang w:val="en-US"/>
        </w:rPr>
        <w:t>.</w:t>
      </w:r>
    </w:p>
    <w:p w:rsidR="00AA08EA" w:rsidRPr="00AA08EA" w:rsidRDefault="00AA08EA" w:rsidP="00AA08EA">
      <w:pPr>
        <w:rPr>
          <w:lang w:val="en-US"/>
        </w:rPr>
      </w:pPr>
    </w:p>
    <w:p w:rsidR="00AA08EA" w:rsidRPr="00AA08EA" w:rsidRDefault="00AA08EA" w:rsidP="00AA08EA">
      <w:pPr>
        <w:rPr>
          <w:lang w:val="en-US"/>
        </w:rPr>
      </w:pPr>
      <w:r w:rsidRPr="00AA08EA">
        <w:rPr>
          <w:lang w:val="en-US"/>
        </w:rPr>
        <w:t xml:space="preserve">Woo S.L., Scala F., Ruocco M., Lorito M. 2006. </w:t>
      </w:r>
      <w:proofErr w:type="gramStart"/>
      <w:r w:rsidRPr="00AA08EA">
        <w:rPr>
          <w:lang w:val="en-US"/>
        </w:rPr>
        <w:t xml:space="preserve">The molecular biology of the interactions between </w:t>
      </w:r>
      <w:r w:rsidRPr="00AA08EA">
        <w:rPr>
          <w:i/>
          <w:iCs/>
          <w:lang w:val="en-US"/>
        </w:rPr>
        <w:t>Trichoderma</w:t>
      </w:r>
      <w:r w:rsidRPr="00AA08EA">
        <w:rPr>
          <w:lang w:val="en-US"/>
        </w:rPr>
        <w:t xml:space="preserve"> spp., phytopathogenic fungi, and plants.</w:t>
      </w:r>
      <w:proofErr w:type="gramEnd"/>
      <w:r w:rsidRPr="00AA08EA">
        <w:rPr>
          <w:lang w:val="en-US"/>
        </w:rPr>
        <w:t xml:space="preserve"> </w:t>
      </w:r>
      <w:proofErr w:type="gramStart"/>
      <w:r w:rsidRPr="00AA08EA">
        <w:rPr>
          <w:i/>
          <w:iCs/>
          <w:lang w:val="en-US"/>
        </w:rPr>
        <w:t>Phytopathology</w:t>
      </w:r>
      <w:r w:rsidRPr="00AA08EA">
        <w:rPr>
          <w:lang w:val="en-US"/>
        </w:rPr>
        <w:t>.</w:t>
      </w:r>
      <w:proofErr w:type="gramEnd"/>
      <w:r w:rsidRPr="00AA08EA">
        <w:rPr>
          <w:lang w:val="en-US"/>
        </w:rPr>
        <w:t xml:space="preserve"> 96(2): 181-185. </w:t>
      </w:r>
      <w:proofErr w:type="gramStart"/>
      <w:r w:rsidRPr="00AA08EA">
        <w:rPr>
          <w:lang w:val="en-US"/>
        </w:rPr>
        <w:t>doi</w:t>
      </w:r>
      <w:proofErr w:type="gramEnd"/>
      <w:r w:rsidRPr="00AA08EA">
        <w:rPr>
          <w:lang w:val="en-US"/>
        </w:rPr>
        <w:t>: 10.1094/PHYTO-96-0181.</w:t>
      </w:r>
    </w:p>
    <w:p w:rsidR="00AA08EA" w:rsidRPr="00AA08EA" w:rsidRDefault="00AA08EA" w:rsidP="00AA08EA">
      <w:pPr>
        <w:rPr>
          <w:lang w:val="en-US"/>
        </w:rPr>
      </w:pPr>
    </w:p>
    <w:p w:rsidR="00AA08EA" w:rsidRPr="00AA08EA" w:rsidRDefault="00AA08EA" w:rsidP="00AA08EA">
      <w:pPr>
        <w:autoSpaceDE w:val="0"/>
        <w:jc w:val="both"/>
        <w:rPr>
          <w:lang w:val="es-AR"/>
        </w:rPr>
      </w:pPr>
      <w:proofErr w:type="gramStart"/>
      <w:r w:rsidRPr="00B97C50">
        <w:rPr>
          <w:lang w:val="en-US"/>
        </w:rPr>
        <w:t>Yedidia I., Srivastva A. K., Kapulnik Y., Chet I. 2001.</w:t>
      </w:r>
      <w:proofErr w:type="gramEnd"/>
      <w:r w:rsidRPr="00B97C50">
        <w:rPr>
          <w:lang w:val="en-US"/>
        </w:rPr>
        <w:t xml:space="preserve"> </w:t>
      </w:r>
      <w:proofErr w:type="gramStart"/>
      <w:r w:rsidRPr="00AA08EA">
        <w:rPr>
          <w:lang w:val="en-GB"/>
        </w:rPr>
        <w:t xml:space="preserve">Effect of </w:t>
      </w:r>
      <w:r w:rsidRPr="00AA08EA">
        <w:rPr>
          <w:i/>
          <w:iCs/>
          <w:lang w:val="en-GB"/>
        </w:rPr>
        <w:t xml:space="preserve">Trichoderma harzianum </w:t>
      </w:r>
      <w:r w:rsidRPr="00AA08EA">
        <w:rPr>
          <w:lang w:val="en-GB"/>
        </w:rPr>
        <w:t>on microelement concentrations and increased growth of cucumber plants.</w:t>
      </w:r>
      <w:proofErr w:type="gramEnd"/>
      <w:r w:rsidRPr="00AA08EA">
        <w:rPr>
          <w:lang w:val="en-GB"/>
        </w:rPr>
        <w:t xml:space="preserve"> </w:t>
      </w:r>
      <w:proofErr w:type="gramStart"/>
      <w:r w:rsidR="00BA46FB" w:rsidRPr="00BA46FB">
        <w:rPr>
          <w:i/>
          <w:lang w:val="en-GB"/>
        </w:rPr>
        <w:t>Plant and Soil</w:t>
      </w:r>
      <w:r w:rsidRPr="00AA08EA">
        <w:t>.</w:t>
      </w:r>
      <w:proofErr w:type="gramEnd"/>
      <w:r w:rsidRPr="00AA08EA">
        <w:t xml:space="preserve"> 235(2): 235</w:t>
      </w:r>
      <w:r w:rsidRPr="00AA08EA">
        <w:rPr>
          <w:lang w:val="es-AR"/>
        </w:rPr>
        <w:t xml:space="preserve">-242. </w:t>
      </w:r>
      <w:proofErr w:type="gramStart"/>
      <w:r>
        <w:rPr>
          <w:lang w:val="es-AR"/>
        </w:rPr>
        <w:t>d</w:t>
      </w:r>
      <w:r w:rsidRPr="00AA08EA">
        <w:rPr>
          <w:lang w:val="es-AR"/>
        </w:rPr>
        <w:t>oi:</w:t>
      </w:r>
      <w:proofErr w:type="gramEnd"/>
      <w:r w:rsidRPr="00AA08EA">
        <w:rPr>
          <w:lang w:val="es-AR"/>
        </w:rPr>
        <w:t>10.1023/A:1011990013955</w:t>
      </w:r>
      <w:r w:rsidR="005953B4">
        <w:rPr>
          <w:lang w:val="es-AR"/>
        </w:rPr>
        <w:t>.</w:t>
      </w:r>
    </w:p>
    <w:p w:rsidR="00AA08EA" w:rsidRDefault="00AA08EA" w:rsidP="00AA08EA">
      <w:pPr>
        <w:jc w:val="both"/>
        <w:rPr>
          <w:bCs/>
          <w:lang w:val="es-MX"/>
        </w:rPr>
      </w:pPr>
    </w:p>
    <w:p w:rsidR="005953B4" w:rsidRDefault="005953B4">
      <w:pPr>
        <w:suppressAutoHyphens w:val="0"/>
        <w:rPr>
          <w:bCs/>
          <w:lang w:val="es-MX"/>
        </w:rPr>
      </w:pPr>
      <w:r>
        <w:rPr>
          <w:bCs/>
          <w:lang w:val="es-MX"/>
        </w:rPr>
        <w:br w:type="page"/>
      </w:r>
    </w:p>
    <w:p w:rsidR="00AA08EA" w:rsidRDefault="00AA08EA" w:rsidP="00AA08EA">
      <w:pPr>
        <w:jc w:val="both"/>
        <w:rPr>
          <w:bCs/>
          <w:lang w:val="es-MX"/>
        </w:rPr>
      </w:pPr>
      <w:r w:rsidRPr="00740C37">
        <w:rPr>
          <w:bCs/>
          <w:lang w:val="es-MX"/>
        </w:rPr>
        <w:lastRenderedPageBreak/>
        <w:t xml:space="preserve">Leyenda de las figuras </w:t>
      </w:r>
    </w:p>
    <w:p w:rsidR="00AA08EA" w:rsidRDefault="002F2206" w:rsidP="00AA08EA">
      <w:pPr>
        <w:jc w:val="both"/>
        <w:rPr>
          <w:bCs/>
          <w:lang w:val="es-MX"/>
        </w:rPr>
      </w:pPr>
      <w:r>
        <w:rPr>
          <w:noProof/>
          <w:lang w:val="en-US" w:eastAsia="en-US"/>
        </w:rPr>
        <w:drawing>
          <wp:inline distT="0" distB="0" distL="0" distR="0">
            <wp:extent cx="5438775" cy="3402965"/>
            <wp:effectExtent l="1905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cstate="print"/>
                    <a:srcRect t="5467"/>
                    <a:stretch>
                      <a:fillRect/>
                    </a:stretch>
                  </pic:blipFill>
                  <pic:spPr bwMode="auto">
                    <a:xfrm>
                      <a:off x="0" y="0"/>
                      <a:ext cx="5438775" cy="3402965"/>
                    </a:xfrm>
                    <a:prstGeom prst="rect">
                      <a:avLst/>
                    </a:prstGeom>
                    <a:solidFill>
                      <a:srgbClr val="FFFFFF"/>
                    </a:solidFill>
                    <a:ln w="9525">
                      <a:noFill/>
                      <a:miter lim="800000"/>
                      <a:headEnd/>
                      <a:tailEnd/>
                    </a:ln>
                  </pic:spPr>
                </pic:pic>
              </a:graphicData>
            </a:graphic>
          </wp:inline>
        </w:drawing>
      </w:r>
    </w:p>
    <w:p w:rsidR="00AA08EA" w:rsidRDefault="00AA08EA" w:rsidP="00AA08EA">
      <w:pPr>
        <w:jc w:val="both"/>
        <w:rPr>
          <w:lang w:val="es-ES"/>
        </w:rPr>
      </w:pPr>
      <w:r w:rsidRPr="00466C54">
        <w:rPr>
          <w:b/>
          <w:bCs/>
          <w:lang w:val="es-MX"/>
        </w:rPr>
        <w:t>Figura 1</w:t>
      </w:r>
      <w:r w:rsidRPr="00466C54">
        <w:rPr>
          <w:bCs/>
          <w:lang w:val="es-MX"/>
        </w:rPr>
        <w:t xml:space="preserve">. Incremento (%) de crecimiento de plántulas de tomate luego de 28 días posteriores de la aplicación de los aislamientos de </w:t>
      </w:r>
      <w:r w:rsidRPr="00466C54">
        <w:rPr>
          <w:bCs/>
          <w:i/>
          <w:lang w:val="es-MX"/>
        </w:rPr>
        <w:t>T. asperellum.</w:t>
      </w:r>
      <w:r w:rsidRPr="00924F23">
        <w:rPr>
          <w:bCs/>
          <w:lang w:val="es-MX"/>
        </w:rPr>
        <w:t xml:space="preserve"> </w:t>
      </w:r>
      <w:r w:rsidRPr="00924F23">
        <w:rPr>
          <w:lang w:val="es-ES"/>
        </w:rPr>
        <w:t xml:space="preserve">La altura de las barras indica el valor promedio y las barras de error indican intervalos de </w:t>
      </w:r>
      <w:r w:rsidRPr="001E40C5">
        <w:rPr>
          <w:lang w:val="es-ES"/>
        </w:rPr>
        <w:t>confianza de 95%. *** indican diferencias significativas (</w:t>
      </w:r>
      <w:r w:rsidRPr="00740C37">
        <w:rPr>
          <w:i/>
          <w:lang w:val="es-ES"/>
        </w:rPr>
        <w:t>p</w:t>
      </w:r>
      <w:r w:rsidRPr="00740C37">
        <w:rPr>
          <w:lang w:val="es-ES"/>
        </w:rPr>
        <w:t xml:space="preserve"> ≤ 0,001) respecto del control.</w:t>
      </w:r>
    </w:p>
    <w:p w:rsidR="00AA08EA" w:rsidRDefault="00AA08EA" w:rsidP="00AA08EA">
      <w:pPr>
        <w:jc w:val="both"/>
        <w:rPr>
          <w:b/>
          <w:bCs/>
          <w:lang w:val="es-MX"/>
        </w:rPr>
      </w:pPr>
    </w:p>
    <w:p w:rsidR="001E2CDB" w:rsidRDefault="002F2206" w:rsidP="00AA08EA">
      <w:pPr>
        <w:jc w:val="both"/>
        <w:rPr>
          <w:b/>
          <w:bCs/>
          <w:lang w:val="es-MX"/>
        </w:rPr>
      </w:pPr>
      <w:r>
        <w:rPr>
          <w:b/>
          <w:noProof/>
          <w:lang w:val="en-US" w:eastAsia="en-US"/>
        </w:rPr>
        <w:drawing>
          <wp:inline distT="0" distB="0" distL="0" distR="0">
            <wp:extent cx="5176520" cy="3355340"/>
            <wp:effectExtent l="19050" t="0" r="508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9" cstate="print"/>
                    <a:srcRect b="10582"/>
                    <a:stretch>
                      <a:fillRect/>
                    </a:stretch>
                  </pic:blipFill>
                  <pic:spPr bwMode="auto">
                    <a:xfrm>
                      <a:off x="0" y="0"/>
                      <a:ext cx="5176520" cy="3355340"/>
                    </a:xfrm>
                    <a:prstGeom prst="rect">
                      <a:avLst/>
                    </a:prstGeom>
                    <a:noFill/>
                    <a:ln w="9525">
                      <a:noFill/>
                      <a:miter lim="800000"/>
                      <a:headEnd/>
                      <a:tailEnd/>
                    </a:ln>
                  </pic:spPr>
                </pic:pic>
              </a:graphicData>
            </a:graphic>
          </wp:inline>
        </w:drawing>
      </w:r>
    </w:p>
    <w:p w:rsidR="00AA08EA" w:rsidRDefault="00AA08EA" w:rsidP="00AA08EA">
      <w:pPr>
        <w:jc w:val="both"/>
        <w:rPr>
          <w:lang w:val="es-ES"/>
        </w:rPr>
      </w:pPr>
      <w:r w:rsidRPr="00740C37">
        <w:rPr>
          <w:b/>
          <w:bCs/>
          <w:lang w:val="es-MX"/>
        </w:rPr>
        <w:t>Figura 2</w:t>
      </w:r>
      <w:r w:rsidRPr="00740C37">
        <w:rPr>
          <w:bCs/>
          <w:lang w:val="es-MX"/>
        </w:rPr>
        <w:t xml:space="preserve">. Longitud de las raíces de las plántulas de tomate luego de 21 días de la aplicación de suspensiones de T46, T109 y de la auxina sintética </w:t>
      </w:r>
      <w:r w:rsidRPr="00740C37">
        <w:rPr>
          <w:lang w:val="es-MX"/>
        </w:rPr>
        <w:t>ácido naftalenacético (ANA)</w:t>
      </w:r>
      <w:r w:rsidRPr="00740C37">
        <w:rPr>
          <w:bCs/>
          <w:lang w:val="es-MX"/>
        </w:rPr>
        <w:t xml:space="preserve">. </w:t>
      </w:r>
      <w:r w:rsidRPr="00740C37">
        <w:rPr>
          <w:lang w:val="es-ES"/>
        </w:rPr>
        <w:t xml:space="preserve">La </w:t>
      </w:r>
      <w:r w:rsidRPr="00740C37">
        <w:rPr>
          <w:lang w:val="es-ES"/>
        </w:rPr>
        <w:lastRenderedPageBreak/>
        <w:t xml:space="preserve">altura de las barras indica el valor promedio y </w:t>
      </w:r>
      <w:r w:rsidRPr="00740C37">
        <w:rPr>
          <w:bCs/>
          <w:lang w:val="es-MX"/>
        </w:rPr>
        <w:t>las</w:t>
      </w:r>
      <w:r w:rsidRPr="00740C37">
        <w:rPr>
          <w:lang w:val="es-ES"/>
        </w:rPr>
        <w:t xml:space="preserve"> barras de error indican intervalos de confianza de 95%. *** indican diferencias significativas (</w:t>
      </w:r>
      <w:r w:rsidRPr="00740C37">
        <w:rPr>
          <w:i/>
          <w:lang w:val="es-ES"/>
        </w:rPr>
        <w:t>p</w:t>
      </w:r>
      <w:r w:rsidRPr="00740C37">
        <w:rPr>
          <w:lang w:val="es-ES"/>
        </w:rPr>
        <w:t xml:space="preserve"> ≤ 0,001) respecto del control.</w:t>
      </w:r>
    </w:p>
    <w:p w:rsidR="00AA08EA" w:rsidRDefault="00AA08EA" w:rsidP="00AA08EA">
      <w:pPr>
        <w:jc w:val="both"/>
        <w:rPr>
          <w:lang w:val="es-ES"/>
        </w:rPr>
      </w:pPr>
    </w:p>
    <w:p w:rsidR="001E2CDB" w:rsidRDefault="002F2206" w:rsidP="00AA08EA">
      <w:pPr>
        <w:jc w:val="both"/>
        <w:rPr>
          <w:lang w:val="es-ES"/>
        </w:rPr>
      </w:pPr>
      <w:r>
        <w:rPr>
          <w:noProof/>
          <w:lang w:val="en-US" w:eastAsia="en-US"/>
        </w:rPr>
        <w:lastRenderedPageBreak/>
        <w:drawing>
          <wp:inline distT="0" distB="0" distL="0" distR="0">
            <wp:extent cx="4993640" cy="7807960"/>
            <wp:effectExtent l="1905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0" cstate="print"/>
                    <a:srcRect/>
                    <a:stretch>
                      <a:fillRect/>
                    </a:stretch>
                  </pic:blipFill>
                  <pic:spPr bwMode="auto">
                    <a:xfrm>
                      <a:off x="0" y="0"/>
                      <a:ext cx="4993640" cy="7807960"/>
                    </a:xfrm>
                    <a:prstGeom prst="rect">
                      <a:avLst/>
                    </a:prstGeom>
                    <a:solidFill>
                      <a:srgbClr val="FFFFFF"/>
                    </a:solidFill>
                    <a:ln w="9525">
                      <a:noFill/>
                      <a:miter lim="800000"/>
                      <a:headEnd/>
                      <a:tailEnd/>
                    </a:ln>
                  </pic:spPr>
                </pic:pic>
              </a:graphicData>
            </a:graphic>
          </wp:inline>
        </w:drawing>
      </w:r>
    </w:p>
    <w:p w:rsidR="00AA08EA" w:rsidRDefault="00AA08EA" w:rsidP="00AA08EA">
      <w:pPr>
        <w:jc w:val="both"/>
        <w:rPr>
          <w:lang w:val="es-ES"/>
        </w:rPr>
      </w:pPr>
      <w:r w:rsidRPr="00740C37">
        <w:rPr>
          <w:b/>
          <w:bCs/>
          <w:lang w:val="es-MX"/>
        </w:rPr>
        <w:t>Figura 3</w:t>
      </w:r>
      <w:r w:rsidRPr="00740C37">
        <w:rPr>
          <w:bCs/>
          <w:lang w:val="es-MX"/>
        </w:rPr>
        <w:t xml:space="preserve">. Incremento de la longitud (A) y el peso seco (B) de las plántulas en el tiempo. Los círculos oscuros indican el crecimiento promedio de las plántulas control y los círculos </w:t>
      </w:r>
      <w:r w:rsidRPr="00740C37">
        <w:rPr>
          <w:bCs/>
          <w:lang w:val="es-MX"/>
        </w:rPr>
        <w:lastRenderedPageBreak/>
        <w:t>claros indican el crecimiento promedio de las plántulas a las que se les aplicó  T109. L</w:t>
      </w:r>
      <w:r w:rsidRPr="00740C37">
        <w:rPr>
          <w:lang w:val="es-ES"/>
        </w:rPr>
        <w:t>as barras de error indican intervalos de confianza de 95%. * indica diferencias significativas (</w:t>
      </w:r>
      <w:r w:rsidRPr="00740C37">
        <w:rPr>
          <w:i/>
          <w:lang w:val="es-ES"/>
        </w:rPr>
        <w:t>p</w:t>
      </w:r>
      <w:r w:rsidRPr="00740C37">
        <w:rPr>
          <w:lang w:val="es-ES"/>
        </w:rPr>
        <w:t xml:space="preserve"> ≤ 0,05) respecto del control.</w:t>
      </w:r>
    </w:p>
    <w:p w:rsidR="00AA08EA" w:rsidRDefault="00AA08EA" w:rsidP="00AA08EA">
      <w:pPr>
        <w:jc w:val="both"/>
        <w:rPr>
          <w:lang w:val="es-ES"/>
        </w:rPr>
      </w:pPr>
    </w:p>
    <w:p w:rsidR="001E2CDB" w:rsidRDefault="002F2206" w:rsidP="00AA08EA">
      <w:pPr>
        <w:jc w:val="both"/>
        <w:rPr>
          <w:b/>
          <w:bCs/>
          <w:lang w:val="es-MX"/>
        </w:rPr>
      </w:pPr>
      <w:r>
        <w:rPr>
          <w:b/>
          <w:noProof/>
          <w:lang w:val="en-US" w:eastAsia="en-US"/>
        </w:rPr>
        <w:drawing>
          <wp:inline distT="0" distB="0" distL="0" distR="0">
            <wp:extent cx="5613400" cy="3848735"/>
            <wp:effectExtent l="19050" t="0" r="635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1" cstate="print"/>
                    <a:srcRect b="9789"/>
                    <a:stretch>
                      <a:fillRect/>
                    </a:stretch>
                  </pic:blipFill>
                  <pic:spPr bwMode="auto">
                    <a:xfrm>
                      <a:off x="0" y="0"/>
                      <a:ext cx="5613400" cy="3848735"/>
                    </a:xfrm>
                    <a:prstGeom prst="rect">
                      <a:avLst/>
                    </a:prstGeom>
                    <a:solidFill>
                      <a:srgbClr val="FFFFFF"/>
                    </a:solidFill>
                    <a:ln w="9525">
                      <a:noFill/>
                      <a:miter lim="800000"/>
                      <a:headEnd/>
                      <a:tailEnd/>
                    </a:ln>
                  </pic:spPr>
                </pic:pic>
              </a:graphicData>
            </a:graphic>
          </wp:inline>
        </w:drawing>
      </w:r>
    </w:p>
    <w:p w:rsidR="00AA08EA" w:rsidRDefault="00AA08EA" w:rsidP="00AA08EA">
      <w:pPr>
        <w:jc w:val="both"/>
        <w:rPr>
          <w:lang w:val="es-ES"/>
        </w:rPr>
      </w:pPr>
      <w:r w:rsidRPr="00740C37">
        <w:rPr>
          <w:b/>
          <w:bCs/>
          <w:lang w:val="es-MX"/>
        </w:rPr>
        <w:t>Figura 4</w:t>
      </w:r>
      <w:r w:rsidRPr="00740C37">
        <w:rPr>
          <w:bCs/>
          <w:lang w:val="es-MX"/>
        </w:rPr>
        <w:t xml:space="preserve">. Incremento (%) del crecimiento de plántulas de tomate luego de 8 días posteriores de la aplicación de suspensiones de concentraciones crecientes del aislamiento T109. </w:t>
      </w:r>
      <w:r w:rsidRPr="00740C37">
        <w:rPr>
          <w:lang w:val="es-ES"/>
        </w:rPr>
        <w:t>La altura de las barras indica el valor promedio y las barras de error indican  intervalos de confianza de 95%. * indica diferencias significativas (</w:t>
      </w:r>
      <w:r w:rsidRPr="00740C37">
        <w:rPr>
          <w:i/>
          <w:lang w:val="es-ES"/>
        </w:rPr>
        <w:t>p</w:t>
      </w:r>
      <w:r w:rsidRPr="00740C37">
        <w:rPr>
          <w:lang w:val="es-ES"/>
        </w:rPr>
        <w:t xml:space="preserve"> ≤ 0,05) respecto del control.</w:t>
      </w:r>
    </w:p>
    <w:p w:rsidR="00AA08EA" w:rsidRDefault="00AA08EA" w:rsidP="00A475A4">
      <w:pPr>
        <w:jc w:val="both"/>
      </w:pPr>
    </w:p>
    <w:sectPr w:rsidR="00AA08EA" w:rsidSect="002D6A2E">
      <w:footerReference w:type="default" r:id="rId12"/>
      <w:pgSz w:w="12240" w:h="15840"/>
      <w:pgMar w:top="1418" w:right="1701" w:bottom="1560" w:left="1701" w:header="720" w:footer="34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307C" w:rsidRDefault="0068307C">
      <w:r>
        <w:separator/>
      </w:r>
    </w:p>
  </w:endnote>
  <w:endnote w:type="continuationSeparator" w:id="0">
    <w:p w:rsidR="0068307C" w:rsidRDefault="006830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charset w:val="00"/>
    <w:family w:val="swiss"/>
    <w:pitch w:val="variable"/>
    <w:sig w:usb0="A00002EF" w:usb1="4000207B" w:usb2="00000000" w:usb3="00000000" w:csb0="000001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Microsoft YaHei">
    <w:charset w:val="86"/>
    <w:family w:val="swiss"/>
    <w:pitch w:val="variable"/>
    <w:sig w:usb0="80000287" w:usb1="280F3C52" w:usb2="00000016" w:usb3="00000000" w:csb0="0004001F" w:csb1="00000000"/>
  </w:font>
  <w:font w:name="Mangal">
    <w:panose1 w:val="00000400000000000000"/>
    <w:charset w:val="00"/>
    <w:family w:val="auto"/>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8EA" w:rsidRPr="004019CC" w:rsidRDefault="00AA08EA" w:rsidP="00FD1CDB">
    <w:pPr>
      <w:pStyle w:val="Piedepgina"/>
      <w:jc w:val="right"/>
      <w:rPr>
        <w:rFonts w:ascii="Times New Roman" w:hAnsi="Times New Roman" w:cs="Times New Roman"/>
        <w:sz w:val="18"/>
        <w:szCs w:val="18"/>
      </w:rPr>
    </w:pPr>
    <w:r w:rsidRPr="004019CC">
      <w:rPr>
        <w:rFonts w:ascii="Times New Roman" w:hAnsi="Times New Roman" w:cs="Times New Roman"/>
        <w:sz w:val="18"/>
        <w:szCs w:val="18"/>
      </w:rPr>
      <w:t xml:space="preserve">Página </w:t>
    </w:r>
    <w:r w:rsidRPr="004019CC">
      <w:rPr>
        <w:rFonts w:ascii="Times New Roman" w:hAnsi="Times New Roman" w:cs="Times New Roman"/>
        <w:sz w:val="18"/>
        <w:szCs w:val="18"/>
      </w:rPr>
      <w:fldChar w:fldCharType="begin"/>
    </w:r>
    <w:r w:rsidRPr="004019CC">
      <w:rPr>
        <w:rFonts w:ascii="Times New Roman" w:hAnsi="Times New Roman" w:cs="Times New Roman"/>
        <w:sz w:val="18"/>
        <w:szCs w:val="18"/>
      </w:rPr>
      <w:instrText xml:space="preserve"> PAGE </w:instrText>
    </w:r>
    <w:r w:rsidRPr="004019CC">
      <w:rPr>
        <w:rFonts w:ascii="Times New Roman" w:hAnsi="Times New Roman" w:cs="Times New Roman"/>
        <w:sz w:val="18"/>
        <w:szCs w:val="18"/>
      </w:rPr>
      <w:fldChar w:fldCharType="separate"/>
    </w:r>
    <w:r w:rsidR="002D6A2E">
      <w:rPr>
        <w:rFonts w:ascii="Times New Roman" w:hAnsi="Times New Roman" w:cs="Times New Roman"/>
        <w:noProof/>
        <w:sz w:val="18"/>
        <w:szCs w:val="18"/>
      </w:rPr>
      <w:t>8</w:t>
    </w:r>
    <w:r w:rsidRPr="004019CC">
      <w:rPr>
        <w:rFonts w:ascii="Times New Roman" w:hAnsi="Times New Roman" w:cs="Times New Roman"/>
        <w:sz w:val="18"/>
        <w:szCs w:val="18"/>
      </w:rPr>
      <w:fldChar w:fldCharType="end"/>
    </w:r>
    <w:r w:rsidRPr="004019CC">
      <w:rPr>
        <w:rFonts w:ascii="Times New Roman" w:hAnsi="Times New Roman" w:cs="Times New Roman"/>
        <w:sz w:val="18"/>
        <w:szCs w:val="18"/>
      </w:rPr>
      <w:t xml:space="preserve"> de </w:t>
    </w:r>
    <w:r w:rsidR="003E609D">
      <w:rPr>
        <w:rFonts w:ascii="Times New Roman" w:hAnsi="Times New Roman" w:cs="Times New Roman"/>
        <w:sz w:val="18"/>
        <w:szCs w:val="18"/>
      </w:rPr>
      <w:t>13</w:t>
    </w:r>
  </w:p>
  <w:p w:rsidR="00AA08EA" w:rsidRDefault="00AA08EA">
    <w:pPr>
      <w:pStyle w:val="Piedepgina"/>
      <w:rPr>
        <w:rFonts w:ascii="Times New Roman" w:hAnsi="Times New Roman" w:cs="Times New Roman"/>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307C" w:rsidRDefault="0068307C">
      <w:r>
        <w:separator/>
      </w:r>
    </w:p>
  </w:footnote>
  <w:footnote w:type="continuationSeparator" w:id="0">
    <w:p w:rsidR="0068307C" w:rsidRDefault="006830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Ttulo1"/>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pStyle w:val="Ttulo3"/>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pStyle w:val="Ttulo5"/>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667559C0"/>
    <w:multiLevelType w:val="hybridMultilevel"/>
    <w:tmpl w:val="BC0E19D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activeWritingStyle w:appName="MSWord" w:lang="pt-BR"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s-CO" w:vendorID="64" w:dllVersion="131078" w:nlCheck="1" w:checkStyle="1"/>
  <w:activeWritingStyle w:appName="MSWord" w:lang="es-AR" w:vendorID="64" w:dllVersion="131078" w:nlCheck="1" w:checkStyle="1"/>
  <w:activeWritingStyle w:appName="MSWord" w:lang="es-MX" w:vendorID="64" w:dllVersion="131078" w:nlCheck="1" w:checkStyle="1"/>
  <w:activeWritingStyle w:appName="MSWord" w:lang="es-ES" w:vendorID="64" w:dllVersion="131078" w:nlCheck="1" w:checkStyle="1"/>
  <w:activeWritingStyle w:appName="MSWord" w:lang="fr-FR" w:vendorID="64" w:dllVersion="131078" w:nlCheck="1" w:checkStyle="1"/>
  <w:activeWritingStyle w:appName="MSWord" w:lang="de-DE" w:vendorID="64" w:dllVersion="131078" w:nlCheck="1" w:checkStyle="1"/>
  <w:proofState w:grammar="clean"/>
  <w:stylePaneFormatFilter w:val="0000"/>
  <w:defaultTabStop w:val="708"/>
  <w:hyphenationZone w:val="425"/>
  <w:drawingGridHorizontalSpacing w:val="120"/>
  <w:drawingGridVerticalSpacing w:val="0"/>
  <w:displayHorizontalDrawingGridEvery w:val="0"/>
  <w:displayVerticalDrawingGridEvery w:val="0"/>
  <w:characterSpacingControl w:val="doNotCompress"/>
  <w:hdrShapeDefaults>
    <o:shapedefaults v:ext="edit" spidmax="3074"/>
  </w:hdrShapeDefaults>
  <w:footnotePr>
    <w:footnote w:id="-1"/>
    <w:footnote w:id="0"/>
  </w:footnotePr>
  <w:endnotePr>
    <w:endnote w:id="-1"/>
    <w:endnote w:id="0"/>
  </w:endnotePr>
  <w:compat/>
  <w:rsids>
    <w:rsidRoot w:val="00680DBB"/>
    <w:rsid w:val="00015914"/>
    <w:rsid w:val="000353F1"/>
    <w:rsid w:val="0005567D"/>
    <w:rsid w:val="00064958"/>
    <w:rsid w:val="000965C4"/>
    <w:rsid w:val="000A0415"/>
    <w:rsid w:val="000A1DC1"/>
    <w:rsid w:val="000A2735"/>
    <w:rsid w:val="000C257A"/>
    <w:rsid w:val="000D1C2D"/>
    <w:rsid w:val="000D7CE5"/>
    <w:rsid w:val="000E0D2C"/>
    <w:rsid w:val="000F3B40"/>
    <w:rsid w:val="000F4C8C"/>
    <w:rsid w:val="0011783B"/>
    <w:rsid w:val="001625DC"/>
    <w:rsid w:val="001672F6"/>
    <w:rsid w:val="001739A6"/>
    <w:rsid w:val="00175BF2"/>
    <w:rsid w:val="0018796C"/>
    <w:rsid w:val="001B371F"/>
    <w:rsid w:val="001C6C29"/>
    <w:rsid w:val="001D2611"/>
    <w:rsid w:val="001D6AE0"/>
    <w:rsid w:val="001E2CDB"/>
    <w:rsid w:val="001E40C5"/>
    <w:rsid w:val="001F494A"/>
    <w:rsid w:val="00203133"/>
    <w:rsid w:val="00213D13"/>
    <w:rsid w:val="002260F2"/>
    <w:rsid w:val="00233D8F"/>
    <w:rsid w:val="0024717B"/>
    <w:rsid w:val="0027189D"/>
    <w:rsid w:val="00283A4D"/>
    <w:rsid w:val="002C114C"/>
    <w:rsid w:val="002D567E"/>
    <w:rsid w:val="002D6A2E"/>
    <w:rsid w:val="002E0A17"/>
    <w:rsid w:val="002F2206"/>
    <w:rsid w:val="0031586C"/>
    <w:rsid w:val="003262E8"/>
    <w:rsid w:val="00331257"/>
    <w:rsid w:val="00335D8C"/>
    <w:rsid w:val="00341990"/>
    <w:rsid w:val="00342DE1"/>
    <w:rsid w:val="00344BEA"/>
    <w:rsid w:val="003625A1"/>
    <w:rsid w:val="003975A1"/>
    <w:rsid w:val="003A05C4"/>
    <w:rsid w:val="003A7B3E"/>
    <w:rsid w:val="003B452E"/>
    <w:rsid w:val="003C6657"/>
    <w:rsid w:val="003D6725"/>
    <w:rsid w:val="003E2DCA"/>
    <w:rsid w:val="003E609D"/>
    <w:rsid w:val="004019CC"/>
    <w:rsid w:val="0042422C"/>
    <w:rsid w:val="00433012"/>
    <w:rsid w:val="0045026E"/>
    <w:rsid w:val="00466C54"/>
    <w:rsid w:val="00490234"/>
    <w:rsid w:val="004B65B3"/>
    <w:rsid w:val="004C79CE"/>
    <w:rsid w:val="004D5199"/>
    <w:rsid w:val="004F2E5A"/>
    <w:rsid w:val="00501BD4"/>
    <w:rsid w:val="005074DC"/>
    <w:rsid w:val="0053060B"/>
    <w:rsid w:val="0053061B"/>
    <w:rsid w:val="005457C0"/>
    <w:rsid w:val="00547850"/>
    <w:rsid w:val="005564A1"/>
    <w:rsid w:val="00562AAF"/>
    <w:rsid w:val="005700F0"/>
    <w:rsid w:val="00582D2F"/>
    <w:rsid w:val="005849EC"/>
    <w:rsid w:val="005868D2"/>
    <w:rsid w:val="00591765"/>
    <w:rsid w:val="005953B4"/>
    <w:rsid w:val="00596F27"/>
    <w:rsid w:val="005D04A4"/>
    <w:rsid w:val="005D516E"/>
    <w:rsid w:val="00600EE6"/>
    <w:rsid w:val="00631E4D"/>
    <w:rsid w:val="00643EE7"/>
    <w:rsid w:val="00644131"/>
    <w:rsid w:val="0064457A"/>
    <w:rsid w:val="00646C5F"/>
    <w:rsid w:val="00651653"/>
    <w:rsid w:val="006551B9"/>
    <w:rsid w:val="00675BE1"/>
    <w:rsid w:val="00675EB2"/>
    <w:rsid w:val="00680DBB"/>
    <w:rsid w:val="0068307C"/>
    <w:rsid w:val="006A0D05"/>
    <w:rsid w:val="006A75FD"/>
    <w:rsid w:val="006C2633"/>
    <w:rsid w:val="006D107B"/>
    <w:rsid w:val="006E2F05"/>
    <w:rsid w:val="006F7431"/>
    <w:rsid w:val="00700D4A"/>
    <w:rsid w:val="00702D93"/>
    <w:rsid w:val="007151DC"/>
    <w:rsid w:val="007153A4"/>
    <w:rsid w:val="007179DF"/>
    <w:rsid w:val="0072126B"/>
    <w:rsid w:val="00726802"/>
    <w:rsid w:val="007346B0"/>
    <w:rsid w:val="00740C37"/>
    <w:rsid w:val="00752D67"/>
    <w:rsid w:val="00767BFF"/>
    <w:rsid w:val="00773FDE"/>
    <w:rsid w:val="00776D8B"/>
    <w:rsid w:val="00780B72"/>
    <w:rsid w:val="0078623D"/>
    <w:rsid w:val="007905FC"/>
    <w:rsid w:val="007931CA"/>
    <w:rsid w:val="00797D9F"/>
    <w:rsid w:val="007B7758"/>
    <w:rsid w:val="007C439C"/>
    <w:rsid w:val="007D3B3F"/>
    <w:rsid w:val="007E5F93"/>
    <w:rsid w:val="0080032D"/>
    <w:rsid w:val="00801EE3"/>
    <w:rsid w:val="00821106"/>
    <w:rsid w:val="008470ED"/>
    <w:rsid w:val="00852030"/>
    <w:rsid w:val="00871586"/>
    <w:rsid w:val="00881606"/>
    <w:rsid w:val="00884EE3"/>
    <w:rsid w:val="008A3A20"/>
    <w:rsid w:val="008A7F5B"/>
    <w:rsid w:val="008B0201"/>
    <w:rsid w:val="008B085E"/>
    <w:rsid w:val="008C66F7"/>
    <w:rsid w:val="008F693A"/>
    <w:rsid w:val="00912947"/>
    <w:rsid w:val="00913102"/>
    <w:rsid w:val="009172BD"/>
    <w:rsid w:val="009214B9"/>
    <w:rsid w:val="00924F23"/>
    <w:rsid w:val="00937363"/>
    <w:rsid w:val="0095385D"/>
    <w:rsid w:val="009678EA"/>
    <w:rsid w:val="00980641"/>
    <w:rsid w:val="00980ED8"/>
    <w:rsid w:val="00981074"/>
    <w:rsid w:val="00992EBE"/>
    <w:rsid w:val="00995B94"/>
    <w:rsid w:val="009D7589"/>
    <w:rsid w:val="009E4309"/>
    <w:rsid w:val="009E5BEB"/>
    <w:rsid w:val="009E76AB"/>
    <w:rsid w:val="00A037AE"/>
    <w:rsid w:val="00A11FDB"/>
    <w:rsid w:val="00A206F5"/>
    <w:rsid w:val="00A36C43"/>
    <w:rsid w:val="00A41BBD"/>
    <w:rsid w:val="00A42010"/>
    <w:rsid w:val="00A475A4"/>
    <w:rsid w:val="00A53372"/>
    <w:rsid w:val="00A74991"/>
    <w:rsid w:val="00A85CE9"/>
    <w:rsid w:val="00A97AE1"/>
    <w:rsid w:val="00AA08EA"/>
    <w:rsid w:val="00AA6309"/>
    <w:rsid w:val="00AA64D4"/>
    <w:rsid w:val="00AB0CBF"/>
    <w:rsid w:val="00AC0E24"/>
    <w:rsid w:val="00AD10E1"/>
    <w:rsid w:val="00B23535"/>
    <w:rsid w:val="00B41517"/>
    <w:rsid w:val="00B4736A"/>
    <w:rsid w:val="00B6579B"/>
    <w:rsid w:val="00B66A12"/>
    <w:rsid w:val="00B7091B"/>
    <w:rsid w:val="00B71309"/>
    <w:rsid w:val="00B716A0"/>
    <w:rsid w:val="00B950E8"/>
    <w:rsid w:val="00B97C50"/>
    <w:rsid w:val="00BA46FB"/>
    <w:rsid w:val="00BA66CF"/>
    <w:rsid w:val="00C068DE"/>
    <w:rsid w:val="00C06A9F"/>
    <w:rsid w:val="00C355C4"/>
    <w:rsid w:val="00CD3566"/>
    <w:rsid w:val="00CE16B7"/>
    <w:rsid w:val="00CF2940"/>
    <w:rsid w:val="00CF485C"/>
    <w:rsid w:val="00D06F2F"/>
    <w:rsid w:val="00D072E8"/>
    <w:rsid w:val="00D37A1F"/>
    <w:rsid w:val="00D5063C"/>
    <w:rsid w:val="00D50CF5"/>
    <w:rsid w:val="00D519E9"/>
    <w:rsid w:val="00D5542C"/>
    <w:rsid w:val="00D73334"/>
    <w:rsid w:val="00D73AE1"/>
    <w:rsid w:val="00D74914"/>
    <w:rsid w:val="00D74916"/>
    <w:rsid w:val="00D8088B"/>
    <w:rsid w:val="00D820D3"/>
    <w:rsid w:val="00D940C2"/>
    <w:rsid w:val="00DB31F7"/>
    <w:rsid w:val="00DB557A"/>
    <w:rsid w:val="00DB5910"/>
    <w:rsid w:val="00DC6BBF"/>
    <w:rsid w:val="00DD056A"/>
    <w:rsid w:val="00DD3661"/>
    <w:rsid w:val="00DF5524"/>
    <w:rsid w:val="00E312A3"/>
    <w:rsid w:val="00E47EC9"/>
    <w:rsid w:val="00E763EC"/>
    <w:rsid w:val="00E76CDA"/>
    <w:rsid w:val="00E90EBB"/>
    <w:rsid w:val="00EA6D0F"/>
    <w:rsid w:val="00EB0ABE"/>
    <w:rsid w:val="00EB6A52"/>
    <w:rsid w:val="00ED374E"/>
    <w:rsid w:val="00EE1D4E"/>
    <w:rsid w:val="00EF5EA6"/>
    <w:rsid w:val="00F0660C"/>
    <w:rsid w:val="00F106DF"/>
    <w:rsid w:val="00F466CD"/>
    <w:rsid w:val="00F50C38"/>
    <w:rsid w:val="00F52C4A"/>
    <w:rsid w:val="00F64A31"/>
    <w:rsid w:val="00F717D0"/>
    <w:rsid w:val="00F72570"/>
    <w:rsid w:val="00F726DB"/>
    <w:rsid w:val="00FA06F2"/>
    <w:rsid w:val="00FB5684"/>
    <w:rsid w:val="00FC5112"/>
    <w:rsid w:val="00FD1CDB"/>
    <w:rsid w:val="00FD79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List Number" w:locked="1"/>
    <w:lsdException w:name="List 4" w:locked="1"/>
    <w:lsdException w:name="List 5" w:locked="1"/>
    <w:lsdException w:name="Title" w:locked="1" w:qFormat="1"/>
    <w:lsdException w:name="Subtitle" w:locked="1" w:qFormat="1"/>
    <w:lsdException w:name="Salutation" w:locked="1"/>
    <w:lsdException w:name="Date" w:locked="1"/>
    <w:lsdException w:name="Body Text First Indent" w:locked="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7EC9"/>
    <w:pPr>
      <w:suppressAutoHyphens/>
    </w:pPr>
    <w:rPr>
      <w:sz w:val="24"/>
      <w:szCs w:val="24"/>
      <w:lang w:val="es-CO" w:eastAsia="ar-SA"/>
    </w:rPr>
  </w:style>
  <w:style w:type="paragraph" w:styleId="Ttulo1">
    <w:name w:val="heading 1"/>
    <w:basedOn w:val="Normal"/>
    <w:next w:val="Normal"/>
    <w:qFormat/>
    <w:rsid w:val="00E47EC9"/>
    <w:pPr>
      <w:keepNext/>
      <w:numPr>
        <w:numId w:val="1"/>
      </w:numPr>
      <w:spacing w:before="240" w:after="60"/>
      <w:outlineLvl w:val="0"/>
    </w:pPr>
    <w:rPr>
      <w:rFonts w:ascii="Cambria" w:hAnsi="Cambria"/>
      <w:b/>
      <w:bCs/>
      <w:kern w:val="1"/>
      <w:sz w:val="32"/>
      <w:szCs w:val="32"/>
      <w:lang w:val="es-ES"/>
    </w:rPr>
  </w:style>
  <w:style w:type="paragraph" w:styleId="Ttulo2">
    <w:name w:val="heading 2"/>
    <w:basedOn w:val="Normal"/>
    <w:next w:val="Normal"/>
    <w:link w:val="Ttulo2Car"/>
    <w:semiHidden/>
    <w:unhideWhenUsed/>
    <w:qFormat/>
    <w:locked/>
    <w:rsid w:val="00547850"/>
    <w:pPr>
      <w:keepNext/>
      <w:spacing w:before="240" w:after="60"/>
      <w:outlineLvl w:val="1"/>
    </w:pPr>
    <w:rPr>
      <w:rFonts w:ascii="Calibri Light" w:hAnsi="Calibri Light"/>
      <w:b/>
      <w:bCs/>
      <w:i/>
      <w:iCs/>
      <w:sz w:val="28"/>
      <w:szCs w:val="28"/>
    </w:rPr>
  </w:style>
  <w:style w:type="paragraph" w:styleId="Ttulo3">
    <w:name w:val="heading 3"/>
    <w:basedOn w:val="Normal"/>
    <w:next w:val="Normal"/>
    <w:qFormat/>
    <w:rsid w:val="00E47EC9"/>
    <w:pPr>
      <w:keepNext/>
      <w:numPr>
        <w:ilvl w:val="2"/>
        <w:numId w:val="1"/>
      </w:numPr>
      <w:spacing w:before="240" w:after="60"/>
      <w:outlineLvl w:val="2"/>
    </w:pPr>
    <w:rPr>
      <w:rFonts w:ascii="Arial" w:hAnsi="Arial" w:cs="Arial"/>
      <w:b/>
      <w:bCs/>
      <w:sz w:val="26"/>
      <w:szCs w:val="26"/>
      <w:lang w:val="de-DE"/>
    </w:rPr>
  </w:style>
  <w:style w:type="paragraph" w:styleId="Ttulo4">
    <w:name w:val="heading 4"/>
    <w:basedOn w:val="Normal"/>
    <w:next w:val="Normal"/>
    <w:link w:val="Ttulo4Car"/>
    <w:qFormat/>
    <w:rsid w:val="003A7B3E"/>
    <w:pPr>
      <w:keepNext/>
      <w:keepLines/>
      <w:spacing w:before="200"/>
      <w:outlineLvl w:val="3"/>
    </w:pPr>
    <w:rPr>
      <w:rFonts w:ascii="Cambria" w:hAnsi="Cambria"/>
      <w:b/>
      <w:bCs/>
      <w:i/>
      <w:iCs/>
      <w:color w:val="4F81BD"/>
    </w:rPr>
  </w:style>
  <w:style w:type="paragraph" w:styleId="Ttulo5">
    <w:name w:val="heading 5"/>
    <w:basedOn w:val="Normal"/>
    <w:next w:val="Normal"/>
    <w:qFormat/>
    <w:rsid w:val="00E47EC9"/>
    <w:pPr>
      <w:numPr>
        <w:ilvl w:val="4"/>
        <w:numId w:val="1"/>
      </w:num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E47EC9"/>
  </w:style>
  <w:style w:type="character" w:customStyle="1" w:styleId="Fuentedeprrafopredeter1">
    <w:name w:val="Fuente de párrafo predeter.1"/>
    <w:rsid w:val="00E47EC9"/>
  </w:style>
  <w:style w:type="character" w:customStyle="1" w:styleId="Heading1Char">
    <w:name w:val="Heading 1 Char"/>
    <w:rsid w:val="00E47EC9"/>
    <w:rPr>
      <w:rFonts w:ascii="Cambria" w:hAnsi="Cambria"/>
      <w:b/>
      <w:kern w:val="1"/>
      <w:sz w:val="32"/>
      <w:lang w:val="es-ES"/>
    </w:rPr>
  </w:style>
  <w:style w:type="character" w:customStyle="1" w:styleId="Heading5Char">
    <w:name w:val="Heading 5 Char"/>
    <w:rsid w:val="00E47EC9"/>
    <w:rPr>
      <w:rFonts w:ascii="Calibri" w:hAnsi="Calibri"/>
      <w:b/>
      <w:i/>
      <w:sz w:val="26"/>
    </w:rPr>
  </w:style>
  <w:style w:type="character" w:customStyle="1" w:styleId="FooterChar">
    <w:name w:val="Footer Char"/>
    <w:rsid w:val="00E47EC9"/>
    <w:rPr>
      <w:sz w:val="24"/>
    </w:rPr>
  </w:style>
  <w:style w:type="character" w:customStyle="1" w:styleId="HTMLPreformattedChar">
    <w:name w:val="HTML Preformatted Char"/>
    <w:rsid w:val="00E47EC9"/>
    <w:rPr>
      <w:rFonts w:ascii="Courier New" w:hAnsi="Courier New"/>
    </w:rPr>
  </w:style>
  <w:style w:type="character" w:styleId="Textoennegrita">
    <w:name w:val="Strong"/>
    <w:qFormat/>
    <w:rsid w:val="00E47EC9"/>
    <w:rPr>
      <w:b/>
    </w:rPr>
  </w:style>
  <w:style w:type="character" w:styleId="Hipervnculo">
    <w:name w:val="Hyperlink"/>
    <w:rsid w:val="00E47EC9"/>
    <w:rPr>
      <w:color w:val="0000FF"/>
      <w:u w:val="single"/>
    </w:rPr>
  </w:style>
  <w:style w:type="character" w:customStyle="1" w:styleId="BodyTextChar">
    <w:name w:val="Body Text Char"/>
    <w:rsid w:val="00E47EC9"/>
    <w:rPr>
      <w:sz w:val="24"/>
    </w:rPr>
  </w:style>
  <w:style w:type="character" w:styleId="nfasis">
    <w:name w:val="Emphasis"/>
    <w:qFormat/>
    <w:rsid w:val="00E47EC9"/>
    <w:rPr>
      <w:i/>
    </w:rPr>
  </w:style>
  <w:style w:type="character" w:customStyle="1" w:styleId="BalloonTextChar">
    <w:name w:val="Balloon Text Char"/>
    <w:rsid w:val="00E47EC9"/>
    <w:rPr>
      <w:rFonts w:ascii="Tahoma" w:hAnsi="Tahoma"/>
      <w:sz w:val="16"/>
      <w:lang w:val="en-US"/>
    </w:rPr>
  </w:style>
  <w:style w:type="character" w:styleId="Nmerodelnea">
    <w:name w:val="line number"/>
    <w:rsid w:val="00E47EC9"/>
    <w:rPr>
      <w:rFonts w:cs="Times New Roman"/>
    </w:rPr>
  </w:style>
  <w:style w:type="character" w:customStyle="1" w:styleId="HeaderChar">
    <w:name w:val="Header Char"/>
    <w:rsid w:val="00E47EC9"/>
    <w:rPr>
      <w:sz w:val="24"/>
      <w:lang w:val="en-US"/>
    </w:rPr>
  </w:style>
  <w:style w:type="character" w:customStyle="1" w:styleId="nbapihighlight">
    <w:name w:val="nbapihighlight"/>
    <w:rsid w:val="00E47EC9"/>
  </w:style>
  <w:style w:type="character" w:customStyle="1" w:styleId="hit">
    <w:name w:val="hit"/>
    <w:rsid w:val="00E47EC9"/>
  </w:style>
  <w:style w:type="character" w:customStyle="1" w:styleId="apple-converted-space">
    <w:name w:val="apple-converted-space"/>
    <w:rsid w:val="00E47EC9"/>
  </w:style>
  <w:style w:type="character" w:customStyle="1" w:styleId="Refdecomentario1">
    <w:name w:val="Ref. de comentario1"/>
    <w:rsid w:val="00E47EC9"/>
    <w:rPr>
      <w:sz w:val="16"/>
    </w:rPr>
  </w:style>
  <w:style w:type="character" w:customStyle="1" w:styleId="CommentTextChar">
    <w:name w:val="Comment Text Char"/>
    <w:rsid w:val="00E47EC9"/>
    <w:rPr>
      <w:sz w:val="20"/>
      <w:lang w:val="en-US"/>
    </w:rPr>
  </w:style>
  <w:style w:type="character" w:customStyle="1" w:styleId="CommentSubjectChar">
    <w:name w:val="Comment Subject Char"/>
    <w:rsid w:val="00E47EC9"/>
    <w:rPr>
      <w:b/>
      <w:sz w:val="20"/>
      <w:lang w:val="en-US"/>
    </w:rPr>
  </w:style>
  <w:style w:type="character" w:customStyle="1" w:styleId="ref-journal">
    <w:name w:val="ref-journal"/>
    <w:rsid w:val="00E47EC9"/>
    <w:rPr>
      <w:rFonts w:cs="Times New Roman"/>
    </w:rPr>
  </w:style>
  <w:style w:type="character" w:customStyle="1" w:styleId="ref-vol">
    <w:name w:val="ref-vol"/>
    <w:rsid w:val="00E47EC9"/>
    <w:rPr>
      <w:rFonts w:cs="Times New Roman"/>
    </w:rPr>
  </w:style>
  <w:style w:type="paragraph" w:customStyle="1" w:styleId="Encabezado1">
    <w:name w:val="Encabezado1"/>
    <w:basedOn w:val="Normal"/>
    <w:next w:val="Textoindependiente"/>
    <w:rsid w:val="00E47EC9"/>
    <w:pPr>
      <w:keepNext/>
      <w:spacing w:before="240" w:after="120"/>
    </w:pPr>
    <w:rPr>
      <w:rFonts w:ascii="Arial" w:eastAsia="Microsoft YaHei" w:hAnsi="Arial" w:cs="Mangal"/>
      <w:sz w:val="28"/>
      <w:szCs w:val="28"/>
    </w:rPr>
  </w:style>
  <w:style w:type="paragraph" w:styleId="Textoindependiente">
    <w:name w:val="Body Text"/>
    <w:basedOn w:val="Normal"/>
    <w:rsid w:val="00E47EC9"/>
    <w:pPr>
      <w:spacing w:after="120"/>
    </w:pPr>
  </w:style>
  <w:style w:type="paragraph" w:styleId="Lista">
    <w:name w:val="List"/>
    <w:basedOn w:val="Textoindependiente"/>
    <w:rsid w:val="00E47EC9"/>
    <w:rPr>
      <w:rFonts w:cs="Mangal"/>
    </w:rPr>
  </w:style>
  <w:style w:type="paragraph" w:customStyle="1" w:styleId="Etiqueta">
    <w:name w:val="Etiqueta"/>
    <w:basedOn w:val="Normal"/>
    <w:rsid w:val="00E47EC9"/>
    <w:pPr>
      <w:suppressLineNumbers/>
      <w:spacing w:before="120" w:after="120"/>
    </w:pPr>
    <w:rPr>
      <w:rFonts w:cs="Mangal"/>
      <w:i/>
      <w:iCs/>
    </w:rPr>
  </w:style>
  <w:style w:type="paragraph" w:customStyle="1" w:styleId="ndice">
    <w:name w:val="Índice"/>
    <w:basedOn w:val="Normal"/>
    <w:rsid w:val="00E47EC9"/>
    <w:pPr>
      <w:suppressLineNumbers/>
    </w:pPr>
    <w:rPr>
      <w:rFonts w:cs="Mangal"/>
    </w:rPr>
  </w:style>
  <w:style w:type="paragraph" w:customStyle="1" w:styleId="Titulofiguras">
    <w:name w:val="Titulo figuras"/>
    <w:basedOn w:val="Ttulo5"/>
    <w:rsid w:val="00E47EC9"/>
    <w:pPr>
      <w:numPr>
        <w:numId w:val="0"/>
      </w:numPr>
      <w:autoSpaceDE w:val="0"/>
      <w:spacing w:before="0"/>
      <w:jc w:val="center"/>
      <w:outlineLvl w:val="9"/>
    </w:pPr>
    <w:rPr>
      <w:rFonts w:ascii="Arial" w:hAnsi="Arial" w:cs="Arial"/>
      <w:b w:val="0"/>
      <w:bCs w:val="0"/>
      <w:i w:val="0"/>
      <w:iCs w:val="0"/>
      <w:color w:val="000000"/>
      <w:sz w:val="22"/>
      <w:szCs w:val="22"/>
    </w:rPr>
  </w:style>
  <w:style w:type="paragraph" w:styleId="Piedepgina">
    <w:name w:val="footer"/>
    <w:basedOn w:val="Normal"/>
    <w:rsid w:val="00E47EC9"/>
    <w:pPr>
      <w:tabs>
        <w:tab w:val="center" w:pos="4419"/>
        <w:tab w:val="right" w:pos="8838"/>
      </w:tabs>
    </w:pPr>
    <w:rPr>
      <w:rFonts w:ascii="Arial" w:hAnsi="Arial" w:cs="Arial"/>
      <w:sz w:val="20"/>
      <w:szCs w:val="20"/>
    </w:rPr>
  </w:style>
  <w:style w:type="paragraph" w:styleId="HTMLconformatoprevio">
    <w:name w:val="HTML Preformatted"/>
    <w:basedOn w:val="Normal"/>
    <w:rsid w:val="00E47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ES"/>
    </w:rPr>
  </w:style>
  <w:style w:type="paragraph" w:customStyle="1" w:styleId="Bibliografia">
    <w:name w:val="Bibliografia"/>
    <w:basedOn w:val="Textoindependiente"/>
    <w:rsid w:val="00E47EC9"/>
    <w:pPr>
      <w:spacing w:after="480" w:line="360" w:lineRule="auto"/>
      <w:ind w:left="709" w:hanging="709"/>
      <w:jc w:val="both"/>
    </w:pPr>
    <w:rPr>
      <w:rFonts w:ascii="Arial" w:hAnsi="Arial" w:cs="Arial"/>
      <w:lang w:val="es-ES"/>
    </w:rPr>
  </w:style>
  <w:style w:type="paragraph" w:customStyle="1" w:styleId="ecmsonormal">
    <w:name w:val="ec_msonormal"/>
    <w:basedOn w:val="Normal"/>
    <w:rsid w:val="00E47EC9"/>
    <w:pPr>
      <w:spacing w:before="280" w:after="280"/>
    </w:pPr>
  </w:style>
  <w:style w:type="paragraph" w:styleId="Textodeglobo">
    <w:name w:val="Balloon Text"/>
    <w:basedOn w:val="Normal"/>
    <w:rsid w:val="00E47EC9"/>
    <w:rPr>
      <w:rFonts w:ascii="Tahoma" w:hAnsi="Tahoma" w:cs="Tahoma"/>
      <w:sz w:val="16"/>
      <w:szCs w:val="16"/>
    </w:rPr>
  </w:style>
  <w:style w:type="paragraph" w:customStyle="1" w:styleId="Prrafodelista1">
    <w:name w:val="Párrafo de lista1"/>
    <w:basedOn w:val="Normal"/>
    <w:rsid w:val="00E47EC9"/>
    <w:pPr>
      <w:ind w:left="720"/>
    </w:pPr>
  </w:style>
  <w:style w:type="paragraph" w:styleId="Encabezado">
    <w:name w:val="header"/>
    <w:basedOn w:val="Normal"/>
    <w:rsid w:val="00E47EC9"/>
    <w:pPr>
      <w:tabs>
        <w:tab w:val="center" w:pos="4419"/>
        <w:tab w:val="right" w:pos="8838"/>
      </w:tabs>
    </w:pPr>
  </w:style>
  <w:style w:type="paragraph" w:customStyle="1" w:styleId="Default">
    <w:name w:val="Default"/>
    <w:rsid w:val="00E47EC9"/>
    <w:pPr>
      <w:suppressAutoHyphens/>
      <w:autoSpaceDE w:val="0"/>
    </w:pPr>
    <w:rPr>
      <w:color w:val="000000"/>
      <w:sz w:val="24"/>
      <w:szCs w:val="24"/>
      <w:lang w:val="es-MX" w:eastAsia="ar-SA"/>
    </w:rPr>
  </w:style>
  <w:style w:type="paragraph" w:customStyle="1" w:styleId="Textocomentario1">
    <w:name w:val="Texto comentario1"/>
    <w:basedOn w:val="Normal"/>
    <w:rsid w:val="00E47EC9"/>
    <w:rPr>
      <w:sz w:val="20"/>
      <w:szCs w:val="20"/>
    </w:rPr>
  </w:style>
  <w:style w:type="paragraph" w:styleId="Textocomentario">
    <w:name w:val="annotation text"/>
    <w:basedOn w:val="Normal"/>
    <w:semiHidden/>
    <w:rsid w:val="00884EE3"/>
    <w:rPr>
      <w:sz w:val="20"/>
      <w:szCs w:val="20"/>
    </w:rPr>
  </w:style>
  <w:style w:type="paragraph" w:styleId="Asuntodelcomentario">
    <w:name w:val="annotation subject"/>
    <w:basedOn w:val="Textocomentario1"/>
    <w:next w:val="Textocomentario1"/>
    <w:rsid w:val="00E47EC9"/>
    <w:rPr>
      <w:b/>
      <w:bCs/>
    </w:rPr>
  </w:style>
  <w:style w:type="paragraph" w:customStyle="1" w:styleId="a-plus-plus">
    <w:name w:val="a-plus-plus"/>
    <w:basedOn w:val="Normal"/>
    <w:rsid w:val="00E47EC9"/>
    <w:pPr>
      <w:spacing w:before="280" w:after="280"/>
    </w:pPr>
    <w:rPr>
      <w:lang w:val="de-DE"/>
    </w:rPr>
  </w:style>
  <w:style w:type="character" w:customStyle="1" w:styleId="titulo">
    <w:name w:val="titulo"/>
    <w:rsid w:val="009E5BEB"/>
    <w:rPr>
      <w:rFonts w:cs="Times New Roman"/>
    </w:rPr>
  </w:style>
  <w:style w:type="character" w:styleId="Refdecomentario">
    <w:name w:val="annotation reference"/>
    <w:semiHidden/>
    <w:rsid w:val="00884EE3"/>
    <w:rPr>
      <w:sz w:val="16"/>
    </w:rPr>
  </w:style>
  <w:style w:type="character" w:customStyle="1" w:styleId="st">
    <w:name w:val="st"/>
    <w:rsid w:val="00726802"/>
    <w:rPr>
      <w:rFonts w:cs="Times New Roman"/>
    </w:rPr>
  </w:style>
  <w:style w:type="character" w:styleId="Hipervnculovisitado">
    <w:name w:val="FollowedHyperlink"/>
    <w:semiHidden/>
    <w:rsid w:val="003A05C4"/>
    <w:rPr>
      <w:color w:val="800080"/>
      <w:u w:val="single"/>
    </w:rPr>
  </w:style>
  <w:style w:type="character" w:customStyle="1" w:styleId="Ttulo4Car">
    <w:name w:val="Título 4 Car"/>
    <w:link w:val="Ttulo4"/>
    <w:semiHidden/>
    <w:locked/>
    <w:rsid w:val="003A7B3E"/>
    <w:rPr>
      <w:rFonts w:ascii="Cambria" w:hAnsi="Cambria"/>
      <w:b/>
      <w:i/>
      <w:color w:val="4F81BD"/>
      <w:sz w:val="24"/>
      <w:lang w:eastAsia="ar-SA" w:bidi="ar-SA"/>
    </w:rPr>
  </w:style>
  <w:style w:type="paragraph" w:styleId="Revisin">
    <w:name w:val="Revision"/>
    <w:hidden/>
    <w:uiPriority w:val="99"/>
    <w:semiHidden/>
    <w:rsid w:val="00A037AE"/>
    <w:rPr>
      <w:sz w:val="24"/>
      <w:szCs w:val="24"/>
      <w:lang w:val="es-CO" w:eastAsia="ar-SA"/>
    </w:rPr>
  </w:style>
  <w:style w:type="character" w:customStyle="1" w:styleId="Ttulo2Car">
    <w:name w:val="Título 2 Car"/>
    <w:link w:val="Ttulo2"/>
    <w:semiHidden/>
    <w:rsid w:val="00547850"/>
    <w:rPr>
      <w:rFonts w:ascii="Calibri Light" w:eastAsia="Times New Roman" w:hAnsi="Calibri Light" w:cs="Times New Roman"/>
      <w:b/>
      <w:bCs/>
      <w:i/>
      <w:iCs/>
      <w:sz w:val="28"/>
      <w:szCs w:val="28"/>
      <w:lang w:eastAsia="ar-SA"/>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418714386">
      <w:bodyDiv w:val="1"/>
      <w:marLeft w:val="0"/>
      <w:marRight w:val="0"/>
      <w:marTop w:val="0"/>
      <w:marBottom w:val="0"/>
      <w:divBdr>
        <w:top w:val="none" w:sz="0" w:space="0" w:color="auto"/>
        <w:left w:val="none" w:sz="0" w:space="0" w:color="auto"/>
        <w:bottom w:val="none" w:sz="0" w:space="0" w:color="auto"/>
        <w:right w:val="none" w:sz="0" w:space="0" w:color="auto"/>
      </w:divBdr>
    </w:div>
    <w:div w:id="479545417">
      <w:bodyDiv w:val="1"/>
      <w:marLeft w:val="0"/>
      <w:marRight w:val="0"/>
      <w:marTop w:val="0"/>
      <w:marBottom w:val="0"/>
      <w:divBdr>
        <w:top w:val="none" w:sz="0" w:space="0" w:color="auto"/>
        <w:left w:val="none" w:sz="0" w:space="0" w:color="auto"/>
        <w:bottom w:val="none" w:sz="0" w:space="0" w:color="auto"/>
        <w:right w:val="none" w:sz="0" w:space="0" w:color="auto"/>
      </w:divBdr>
    </w:div>
    <w:div w:id="922180471">
      <w:bodyDiv w:val="1"/>
      <w:marLeft w:val="0"/>
      <w:marRight w:val="0"/>
      <w:marTop w:val="0"/>
      <w:marBottom w:val="0"/>
      <w:divBdr>
        <w:top w:val="none" w:sz="0" w:space="0" w:color="auto"/>
        <w:left w:val="none" w:sz="0" w:space="0" w:color="auto"/>
        <w:bottom w:val="none" w:sz="0" w:space="0" w:color="auto"/>
        <w:right w:val="none" w:sz="0" w:space="0" w:color="auto"/>
      </w:divBdr>
    </w:div>
    <w:div w:id="200110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1024x768"/>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F23088-2C42-42C5-9CD7-C027865A2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3918</Words>
  <Characters>22335</Characters>
  <Application>Microsoft Office Word</Application>
  <DocSecurity>0</DocSecurity>
  <Lines>186</Lines>
  <Paragraphs>52</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Informe 2</vt:lpstr>
      <vt:lpstr>Informe 2</vt:lpstr>
    </vt:vector>
  </TitlesOfParts>
  <Company>UNALMED</Company>
  <LinksUpToDate>false</LinksUpToDate>
  <CharactersWithSpaces>26201</CharactersWithSpaces>
  <SharedDoc>false</SharedDoc>
  <HLinks>
    <vt:vector size="18" baseType="variant">
      <vt:variant>
        <vt:i4>117</vt:i4>
      </vt:variant>
      <vt:variant>
        <vt:i4>6</vt:i4>
      </vt:variant>
      <vt:variant>
        <vt:i4>0</vt:i4>
      </vt:variant>
      <vt:variant>
        <vt:i4>5</vt:i4>
      </vt:variant>
      <vt:variant>
        <vt:lpwstr>mailto:sreynaldi@unal.edu.co</vt:lpwstr>
      </vt:variant>
      <vt:variant>
        <vt:lpwstr/>
      </vt:variant>
      <vt:variant>
        <vt:i4>2031658</vt:i4>
      </vt:variant>
      <vt:variant>
        <vt:i4>3</vt:i4>
      </vt:variant>
      <vt:variant>
        <vt:i4>0</vt:i4>
      </vt:variant>
      <vt:variant>
        <vt:i4>5</vt:i4>
      </vt:variant>
      <vt:variant>
        <vt:lpwstr>mailto:elygilchrist@hotmail.com</vt:lpwstr>
      </vt:variant>
      <vt:variant>
        <vt:lpwstr/>
      </vt:variant>
      <vt:variant>
        <vt:i4>7471180</vt:i4>
      </vt:variant>
      <vt:variant>
        <vt:i4>0</vt:i4>
      </vt:variant>
      <vt:variant>
        <vt:i4>0</vt:i4>
      </vt:variant>
      <vt:variant>
        <vt:i4>5</vt:i4>
      </vt:variant>
      <vt:variant>
        <vt:lpwstr>mailto:segomezr@yahoo.es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2</dc:title>
  <dc:subject/>
  <dc:creator>end3rkid</dc:creator>
  <cp:keywords/>
  <cp:lastModifiedBy>Organización</cp:lastModifiedBy>
  <cp:revision>4</cp:revision>
  <cp:lastPrinted>2011-06-29T00:45:00Z</cp:lastPrinted>
  <dcterms:created xsi:type="dcterms:W3CDTF">2013-08-06T16:45:00Z</dcterms:created>
  <dcterms:modified xsi:type="dcterms:W3CDTF">2013-08-06T16:46:00Z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5912146</vt:i4>
  </property>
  <property fmtid="{D5CDD505-2E9C-101B-9397-08002B2CF9AE}" pid="4" name="_EmailSubject">
    <vt:lpwstr>REF: 18-52 REV COL BIOTECNOL..."EFECTO DE CUATRO..." CORRECCION DE ESTILO</vt:lpwstr>
  </property>
  <property fmtid="{D5CDD505-2E9C-101B-9397-08002B2CF9AE}" pid="5" name="_AuthorEmail">
    <vt:lpwstr>revcbib_bog@unal.edu.co</vt:lpwstr>
  </property>
  <property fmtid="{D5CDD505-2E9C-101B-9397-08002B2CF9AE}" pid="6" name="_AuthorEmailDisplayName">
    <vt:lpwstr>Revista Colombiana de Biotecnologia</vt:lpwstr>
  </property>
  <property fmtid="{D5CDD505-2E9C-101B-9397-08002B2CF9AE}" pid="7" name="_ReviewingToolsShownOnce">
    <vt:lpwstr/>
  </property>
</Properties>
</file>