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A6" w:rsidRPr="008F43B0" w:rsidRDefault="009672A6" w:rsidP="00E00865">
      <w:pPr>
        <w:spacing w:line="360" w:lineRule="auto"/>
        <w:jc w:val="center"/>
        <w:rPr>
          <w:rFonts w:ascii="Helvetica" w:hAnsi="Helvetica"/>
          <w:b/>
        </w:rPr>
      </w:pPr>
    </w:p>
    <w:p w:rsidR="00A17183" w:rsidRPr="008F43B0" w:rsidRDefault="00A17183" w:rsidP="00E00865">
      <w:pPr>
        <w:spacing w:line="360" w:lineRule="auto"/>
        <w:jc w:val="center"/>
        <w:rPr>
          <w:rFonts w:ascii="Helvetica" w:hAnsi="Helvetica"/>
          <w:b/>
        </w:rPr>
      </w:pPr>
      <w:r w:rsidRPr="008F43B0">
        <w:rPr>
          <w:rFonts w:ascii="Helvetica" w:hAnsi="Helvetica"/>
          <w:b/>
        </w:rPr>
        <w:t>EDITORIAL</w:t>
      </w:r>
    </w:p>
    <w:p w:rsidR="00A17183" w:rsidRDefault="00A17183" w:rsidP="00E00865">
      <w:pPr>
        <w:spacing w:line="360" w:lineRule="auto"/>
        <w:jc w:val="center"/>
        <w:rPr>
          <w:rFonts w:ascii="Arial" w:hAnsi="Arial" w:cs="Arial"/>
          <w:b/>
          <w:color w:val="000000"/>
          <w:lang w:eastAsia="es-ES_tradnl"/>
        </w:rPr>
      </w:pPr>
      <w:r w:rsidRPr="00995EB8">
        <w:rPr>
          <w:rFonts w:ascii="Helvetica" w:hAnsi="Helvetica"/>
          <w:b/>
        </w:rPr>
        <w:t xml:space="preserve">Biotecnología en </w:t>
      </w:r>
      <w:r w:rsidR="002336C3">
        <w:rPr>
          <w:rFonts w:ascii="Helvetica" w:hAnsi="Helvetica"/>
          <w:b/>
        </w:rPr>
        <w:t>s</w:t>
      </w:r>
      <w:r w:rsidRPr="00995EB8">
        <w:rPr>
          <w:rFonts w:ascii="Helvetica" w:hAnsi="Helvetica"/>
          <w:b/>
        </w:rPr>
        <w:t xml:space="preserve">alud: </w:t>
      </w:r>
      <w:r w:rsidR="002336C3">
        <w:rPr>
          <w:rFonts w:ascii="Arial" w:hAnsi="Arial" w:cs="Arial"/>
          <w:b/>
          <w:color w:val="000000"/>
          <w:lang w:eastAsia="es-ES_tradnl"/>
        </w:rPr>
        <w:t>v</w:t>
      </w:r>
      <w:r>
        <w:rPr>
          <w:rFonts w:ascii="Arial" w:hAnsi="Arial" w:cs="Arial"/>
          <w:b/>
          <w:color w:val="000000"/>
          <w:lang w:eastAsia="es-ES_tradnl"/>
        </w:rPr>
        <w:t xml:space="preserve">ersiones y </w:t>
      </w:r>
      <w:r w:rsidR="002336C3">
        <w:rPr>
          <w:rFonts w:ascii="Arial" w:hAnsi="Arial" w:cs="Arial"/>
          <w:b/>
          <w:color w:val="000000"/>
          <w:lang w:eastAsia="es-ES_tradnl"/>
        </w:rPr>
        <w:t>d</w:t>
      </w:r>
      <w:r w:rsidRPr="00995EB8">
        <w:rPr>
          <w:rFonts w:ascii="Arial" w:hAnsi="Arial" w:cs="Arial"/>
          <w:b/>
          <w:color w:val="000000"/>
          <w:lang w:eastAsia="es-ES_tradnl"/>
        </w:rPr>
        <w:t>imensiones</w:t>
      </w:r>
    </w:p>
    <w:p w:rsidR="00A17183" w:rsidRDefault="00A17183" w:rsidP="00E00865">
      <w:pPr>
        <w:spacing w:line="360" w:lineRule="auto"/>
        <w:jc w:val="center"/>
        <w:rPr>
          <w:rFonts w:ascii="Arial" w:hAnsi="Arial" w:cs="Arial"/>
          <w:color w:val="000000"/>
          <w:lang w:eastAsia="es-ES_tradnl"/>
        </w:rPr>
      </w:pPr>
      <w:r w:rsidRPr="0070484C">
        <w:rPr>
          <w:rFonts w:ascii="Arial" w:hAnsi="Arial" w:cs="Arial"/>
          <w:color w:val="000000"/>
          <w:lang w:eastAsia="es-ES_tradnl"/>
        </w:rPr>
        <w:t>Ma</w:t>
      </w:r>
      <w:r w:rsidR="002336C3">
        <w:rPr>
          <w:rFonts w:ascii="Arial" w:hAnsi="Arial" w:cs="Arial"/>
          <w:color w:val="000000"/>
          <w:lang w:eastAsia="es-ES_tradnl"/>
        </w:rPr>
        <w:t>ría</w:t>
      </w:r>
      <w:r w:rsidRPr="0070484C">
        <w:rPr>
          <w:rFonts w:ascii="Arial" w:hAnsi="Arial" w:cs="Arial"/>
          <w:color w:val="000000"/>
          <w:lang w:eastAsia="es-ES_tradnl"/>
        </w:rPr>
        <w:t xml:space="preserve"> Teresa Reguero Reza</w:t>
      </w:r>
      <w:r w:rsidR="008A0E12">
        <w:rPr>
          <w:rFonts w:ascii="Arial" w:hAnsi="Arial" w:cs="Arial"/>
          <w:color w:val="000000"/>
          <w:lang w:eastAsia="es-ES_tradnl"/>
        </w:rPr>
        <w:t>*</w:t>
      </w:r>
    </w:p>
    <w:p w:rsidR="008A0E12" w:rsidRDefault="008A0E12" w:rsidP="00E00865">
      <w:pPr>
        <w:spacing w:line="360" w:lineRule="auto"/>
        <w:rPr>
          <w:rFonts w:ascii="Helvetica" w:hAnsi="Helvetica"/>
        </w:rPr>
      </w:pPr>
      <w:r>
        <w:rPr>
          <w:rFonts w:ascii="Helvetica" w:hAnsi="Helvetica"/>
        </w:rPr>
        <w:t xml:space="preserve">*Instituto de Biotecnología, Universidad Nacional de Colombia, </w:t>
      </w:r>
      <w:hyperlink r:id="rId6" w:history="1">
        <w:r w:rsidRPr="00CF1186">
          <w:rPr>
            <w:rStyle w:val="Hipervnculo"/>
            <w:rFonts w:ascii="Helvetica" w:hAnsi="Helvetica"/>
          </w:rPr>
          <w:t>mtregureror@unal.edu.co</w:t>
        </w:r>
      </w:hyperlink>
    </w:p>
    <w:p w:rsidR="008A0E12" w:rsidRPr="0070484C" w:rsidRDefault="008A0E12" w:rsidP="00E00865">
      <w:pPr>
        <w:spacing w:line="360" w:lineRule="auto"/>
        <w:rPr>
          <w:rFonts w:ascii="Helvetica" w:hAnsi="Helvetica"/>
        </w:rPr>
      </w:pPr>
    </w:p>
    <w:p w:rsidR="00A17183" w:rsidRDefault="00A17183" w:rsidP="00E00865">
      <w:pPr>
        <w:spacing w:line="360" w:lineRule="auto"/>
        <w:jc w:val="both"/>
        <w:rPr>
          <w:rFonts w:ascii="Helvetica" w:hAnsi="Helvetica"/>
        </w:rPr>
      </w:pPr>
      <w:r w:rsidRPr="008F43B0">
        <w:rPr>
          <w:rFonts w:ascii="Helvetica" w:hAnsi="Helvetica"/>
        </w:rPr>
        <w:t>Son múltiples las aplicaciones que, desde la biotecnología, se han d</w:t>
      </w:r>
      <w:r>
        <w:rPr>
          <w:rFonts w:ascii="Helvetica" w:hAnsi="Helvetica"/>
        </w:rPr>
        <w:t xml:space="preserve">esarrollado  y que actualmente </w:t>
      </w:r>
      <w:r w:rsidRPr="008F43B0">
        <w:rPr>
          <w:rFonts w:ascii="Helvetica" w:hAnsi="Helvetica"/>
        </w:rPr>
        <w:t>forman parte de la</w:t>
      </w:r>
      <w:r>
        <w:rPr>
          <w:rFonts w:ascii="Helvetica" w:hAnsi="Helvetica"/>
        </w:rPr>
        <w:t xml:space="preserve"> práctica médica: Bioimágenes, diagnóstico molecular, ingeniería tisular, i</w:t>
      </w:r>
      <w:r w:rsidRPr="008F43B0">
        <w:rPr>
          <w:rFonts w:ascii="Helvetica" w:hAnsi="Helvetica"/>
        </w:rPr>
        <w:t xml:space="preserve">ngeniería celular, </w:t>
      </w:r>
      <w:r>
        <w:rPr>
          <w:rFonts w:ascii="Helvetica" w:hAnsi="Helvetica"/>
        </w:rPr>
        <w:t>f</w:t>
      </w:r>
      <w:r w:rsidRPr="008F43B0">
        <w:rPr>
          <w:rFonts w:ascii="Helvetica" w:hAnsi="Helvetica"/>
        </w:rPr>
        <w:t>ármacos</w:t>
      </w:r>
      <w:r>
        <w:rPr>
          <w:rFonts w:ascii="Helvetica" w:hAnsi="Helvetica"/>
        </w:rPr>
        <w:t xml:space="preserve"> biotecnológicos, vacunas, </w:t>
      </w:r>
      <w:r w:rsidRPr="008F43B0">
        <w:rPr>
          <w:rFonts w:ascii="Helvetica" w:hAnsi="Helvetica"/>
        </w:rPr>
        <w:t>identificación de determinantes genéticos asociados a diversas enfermedades</w:t>
      </w:r>
      <w:r>
        <w:rPr>
          <w:rFonts w:ascii="Helvetica" w:hAnsi="Helvetica"/>
        </w:rPr>
        <w:t xml:space="preserve">, terapia génica, medicina regenerativa, </w:t>
      </w:r>
      <w:r w:rsidRPr="008F43B0">
        <w:rPr>
          <w:rFonts w:ascii="Helvetica" w:hAnsi="Helvetica"/>
        </w:rPr>
        <w:t>lo cual ha generado un entusiasmo creciente sobre la potencialidad de esta disciplina en la concreción de la medicina personalizada.</w:t>
      </w:r>
    </w:p>
    <w:p w:rsidR="00A17183" w:rsidRDefault="00A17183" w:rsidP="00E00865">
      <w:pPr>
        <w:spacing w:line="360" w:lineRule="auto"/>
        <w:jc w:val="both"/>
        <w:rPr>
          <w:rFonts w:ascii="Helvetica" w:hAnsi="Helvetica"/>
        </w:rPr>
      </w:pPr>
      <w:r>
        <w:rPr>
          <w:rFonts w:ascii="Helvetica" w:hAnsi="Helvetica"/>
        </w:rPr>
        <w:t xml:space="preserve">La susceptibilidad que pueda presentar una determinada etnia de padecer una patología, ha sido una preocupación constante y para tratar de dar respuesta a esta interrogante se han utilizado tecnologías genéticas y genómicas en el estudio de las poblaciones. Esto está generando una enorme cantidad de datos que es necesario analizar, correlacionar e integrar con otras clases de datos, lo cual constituye un desafío de grandes proporciones, ya que los sistemas de almacenamiento son costosos y, adicionalmente, disponer de redes que sean capaces de dar acceso y movilizar ese gran volumen de datos y analizarlos es motivo de múltiples investigaciones en el área de biología de sistemas. La integración y correlación de los datos genómicos, con datos de expresión y  datos fenotípicos, es posible realizarlas a través del diseño de algoritmos de análisis, de la construcción de modelos matemáticos y mediante el uso de  herramientas estadísticas e informáticas, entre otros. Aplicar este tipo de estrategias en el área de la salud, ha generado conocimiento sobre las bases genéticas de las enfermedades, sistemas de diagnóstico molecular y  </w:t>
      </w:r>
      <w:r>
        <w:rPr>
          <w:rFonts w:ascii="Helvetica" w:hAnsi="Helvetica"/>
        </w:rPr>
        <w:lastRenderedPageBreak/>
        <w:t>mecanismos de acción de fármacos, así como la integración de la bioinformática y la genómica en la clínica.</w:t>
      </w:r>
    </w:p>
    <w:p w:rsidR="00A17183" w:rsidRDefault="00A17183" w:rsidP="00E00865">
      <w:pPr>
        <w:spacing w:line="360" w:lineRule="auto"/>
        <w:jc w:val="both"/>
        <w:rPr>
          <w:rFonts w:ascii="Helvetica" w:hAnsi="Helvetica"/>
        </w:rPr>
      </w:pPr>
      <w:r>
        <w:rPr>
          <w:rFonts w:ascii="Helvetica" w:hAnsi="Helvetica"/>
        </w:rPr>
        <w:t>Este tipo de desarrollo en investigación biomédica no está exento de consideraciones éticas y la apuesta investigativa se orienta hacia la integración de los resultados genéticos y genómicos, con los clínicos mediante la utilización de tecnologías de la información.</w:t>
      </w:r>
    </w:p>
    <w:p w:rsidR="00A17183" w:rsidRPr="008F43B0" w:rsidRDefault="00A17183" w:rsidP="00E00865">
      <w:pPr>
        <w:spacing w:line="360" w:lineRule="auto"/>
        <w:jc w:val="both"/>
        <w:rPr>
          <w:rFonts w:ascii="Helvetica" w:hAnsi="Helvetica"/>
          <w:b/>
        </w:rPr>
      </w:pPr>
      <w:r w:rsidRPr="008F43B0">
        <w:rPr>
          <w:rFonts w:ascii="Helvetica" w:hAnsi="Helvetica"/>
          <w:b/>
        </w:rPr>
        <w:t xml:space="preserve">Diagnóstico </w:t>
      </w:r>
      <w:r w:rsidR="00A03A69">
        <w:rPr>
          <w:rFonts w:ascii="Helvetica" w:hAnsi="Helvetica"/>
          <w:b/>
        </w:rPr>
        <w:t>m</w:t>
      </w:r>
      <w:r w:rsidRPr="008F43B0">
        <w:rPr>
          <w:rFonts w:ascii="Helvetica" w:hAnsi="Helvetica"/>
          <w:b/>
        </w:rPr>
        <w:t>olecular</w:t>
      </w:r>
    </w:p>
    <w:p w:rsidR="00A17183" w:rsidRPr="008F43B0" w:rsidRDefault="00A17183" w:rsidP="00E00865">
      <w:pPr>
        <w:spacing w:line="360" w:lineRule="auto"/>
        <w:jc w:val="both"/>
        <w:rPr>
          <w:rFonts w:ascii="Helvetica" w:hAnsi="Helvetica"/>
        </w:rPr>
      </w:pPr>
      <w:r w:rsidRPr="008F43B0">
        <w:rPr>
          <w:rFonts w:ascii="Helvetica" w:hAnsi="Helvetica"/>
        </w:rPr>
        <w:t>Por más de cinco años i</w:t>
      </w:r>
      <w:r>
        <w:rPr>
          <w:rFonts w:ascii="Helvetica" w:hAnsi="Helvetica"/>
        </w:rPr>
        <w:t xml:space="preserve">nvestigadores pertenecientes al </w:t>
      </w:r>
      <w:r w:rsidRPr="008F43B0">
        <w:rPr>
          <w:rFonts w:ascii="Helvetica" w:hAnsi="Helvetica"/>
        </w:rPr>
        <w:t xml:space="preserve">Genome Institute de la Universidad de Washington, Human Genome Sequencing Center (Baylor College of Medicine), </w:t>
      </w:r>
      <w:r w:rsidRPr="008F43B0">
        <w:rPr>
          <w:rFonts w:ascii="Helvetica" w:hAnsi="Helvetica"/>
          <w:bCs/>
        </w:rPr>
        <w:t>Broad Institute of Harvard and Massachusetts Institute of Technology (MIT), Department of Biological Statistics &amp; Computational Biology, Cornell University</w:t>
      </w:r>
      <w:r w:rsidRPr="008F43B0">
        <w:rPr>
          <w:rFonts w:ascii="Helvetica" w:hAnsi="Helvetica"/>
        </w:rPr>
        <w:t xml:space="preserve"> y la Universidad de Upsala, entre otros, adelantaron un proyecto de investigación conjunto </w:t>
      </w:r>
      <w:r>
        <w:rPr>
          <w:rFonts w:ascii="Helvetica" w:hAnsi="Helvetica"/>
        </w:rPr>
        <w:t xml:space="preserve">y demostraron </w:t>
      </w:r>
      <w:r w:rsidRPr="008F43B0">
        <w:rPr>
          <w:rFonts w:ascii="Helvetica" w:hAnsi="Helvetica"/>
        </w:rPr>
        <w:t xml:space="preserve">que solamente el </w:t>
      </w:r>
      <w:r w:rsidRPr="005C079F">
        <w:rPr>
          <w:rFonts w:ascii="Helvetica" w:hAnsi="Helvetica"/>
        </w:rPr>
        <w:t>1</w:t>
      </w:r>
      <w:r w:rsidR="005C079F" w:rsidRPr="005C079F">
        <w:rPr>
          <w:rFonts w:ascii="Helvetica" w:hAnsi="Helvetica"/>
        </w:rPr>
        <w:t>,</w:t>
      </w:r>
      <w:r w:rsidRPr="005C079F">
        <w:rPr>
          <w:rFonts w:ascii="Helvetica" w:hAnsi="Helvetica"/>
        </w:rPr>
        <w:t>5% de genoma humano codifica para proteínas, que el 5% es funcional y de este, el  3</w:t>
      </w:r>
      <w:r w:rsidR="005C079F" w:rsidRPr="005C079F">
        <w:rPr>
          <w:rFonts w:ascii="Helvetica" w:hAnsi="Helvetica"/>
        </w:rPr>
        <w:t>,</w:t>
      </w:r>
      <w:r w:rsidRPr="005C079F">
        <w:rPr>
          <w:rFonts w:ascii="Helvetica" w:hAnsi="Helvetica"/>
        </w:rPr>
        <w:t>5% corresponde a elementos no codificantes, que los autores sugieren que podrían tener roles como reguladores</w:t>
      </w:r>
      <w:r w:rsidRPr="008F43B0">
        <w:rPr>
          <w:rFonts w:ascii="Helvetica" w:hAnsi="Helvetica"/>
        </w:rPr>
        <w:t xml:space="preserve"> (Lindblad-Toh </w:t>
      </w:r>
      <w:r w:rsidRPr="008F43B0">
        <w:rPr>
          <w:rFonts w:ascii="Helvetica" w:hAnsi="Helvetica"/>
          <w:i/>
        </w:rPr>
        <w:t>et al</w:t>
      </w:r>
      <w:r w:rsidRPr="008F43B0">
        <w:rPr>
          <w:rFonts w:ascii="Helvetica" w:hAnsi="Helvetica"/>
        </w:rPr>
        <w:t>,</w:t>
      </w:r>
      <w:r>
        <w:rPr>
          <w:rFonts w:ascii="Helvetica" w:hAnsi="Helvetica"/>
        </w:rPr>
        <w:t xml:space="preserve"> </w:t>
      </w:r>
      <w:r w:rsidRPr="008F43B0">
        <w:rPr>
          <w:rFonts w:ascii="Helvetica" w:hAnsi="Helvetica"/>
        </w:rPr>
        <w:t>2011)</w:t>
      </w:r>
      <w:r w:rsidR="00B62E2C">
        <w:rPr>
          <w:rFonts w:ascii="Helvetica" w:hAnsi="Helvetica"/>
        </w:rPr>
        <w:t>.</w:t>
      </w:r>
    </w:p>
    <w:p w:rsidR="00A17183" w:rsidRPr="008F43B0" w:rsidRDefault="00A17183" w:rsidP="00E00865">
      <w:pPr>
        <w:spacing w:line="360" w:lineRule="auto"/>
        <w:jc w:val="both"/>
        <w:rPr>
          <w:rFonts w:ascii="Helvetica" w:hAnsi="Helvetica"/>
        </w:rPr>
      </w:pPr>
      <w:r>
        <w:rPr>
          <w:rFonts w:ascii="Helvetica" w:hAnsi="Helvetica"/>
        </w:rPr>
        <w:t>En 1991 se inicia oficialmente el Proyecto Genoma Humano que en una primera etapa identificó genes y su posición relativa en el geno</w:t>
      </w:r>
      <w:r w:rsidR="00474570">
        <w:rPr>
          <w:rFonts w:ascii="Helvetica" w:hAnsi="Helvetica"/>
        </w:rPr>
        <w:t>m</w:t>
      </w:r>
      <w:r>
        <w:rPr>
          <w:rFonts w:ascii="Helvetica" w:hAnsi="Helvetica"/>
        </w:rPr>
        <w:t>a para, en una segunda, identificar la secuencia de n</w:t>
      </w:r>
      <w:r w:rsidR="005C079F">
        <w:rPr>
          <w:rFonts w:ascii="Helvetica" w:hAnsi="Helvetica"/>
        </w:rPr>
        <w:t>u</w:t>
      </w:r>
      <w:r>
        <w:rPr>
          <w:rFonts w:ascii="Helvetica" w:hAnsi="Helvetica"/>
        </w:rPr>
        <w:t>cle</w:t>
      </w:r>
      <w:r w:rsidR="005C079F">
        <w:rPr>
          <w:rFonts w:ascii="Helvetica" w:hAnsi="Helvetica"/>
        </w:rPr>
        <w:t>ó</w:t>
      </w:r>
      <w:r>
        <w:rPr>
          <w:rFonts w:ascii="Helvetica" w:hAnsi="Helvetica"/>
        </w:rPr>
        <w:t>tidos presente en el ADN. Posteriormente</w:t>
      </w:r>
      <w:r w:rsidR="001B567D">
        <w:rPr>
          <w:rFonts w:ascii="Helvetica" w:hAnsi="Helvetica"/>
        </w:rPr>
        <w:t>,</w:t>
      </w:r>
      <w:r>
        <w:rPr>
          <w:rFonts w:ascii="Helvetica" w:hAnsi="Helvetica"/>
        </w:rPr>
        <w:t xml:space="preserve"> con el proyecto HapMap</w:t>
      </w:r>
      <w:r w:rsidR="00474570">
        <w:rPr>
          <w:rFonts w:ascii="Helvetica" w:hAnsi="Helvetica"/>
        </w:rPr>
        <w:t>,</w:t>
      </w:r>
      <w:r>
        <w:rPr>
          <w:rFonts w:ascii="Helvetica" w:hAnsi="Helvetica"/>
        </w:rPr>
        <w:t xml:space="preserve"> cuya finalidad fue identificar polimorfismos asociados a enfermedades,</w:t>
      </w:r>
      <w:r w:rsidRPr="008F43B0">
        <w:rPr>
          <w:rFonts w:ascii="Helvetica" w:hAnsi="Helvetica"/>
        </w:rPr>
        <w:t xml:space="preserve"> se inició el análisis comparativo acerca de las mutaciones presentes en los genes responsables de la aparición de determinadas patologías en diferentes etnias. Un caso emblemático es el de las enfermedades cardiovasculares. Antes de la secuenciación del ADN humano se conocía que la mutación en un gen e</w:t>
      </w:r>
      <w:r>
        <w:rPr>
          <w:rFonts w:ascii="Helvetica" w:hAnsi="Helvetica"/>
        </w:rPr>
        <w:t>ra</w:t>
      </w:r>
      <w:r w:rsidRPr="008F43B0">
        <w:rPr>
          <w:rFonts w:ascii="Helvetica" w:hAnsi="Helvetica"/>
        </w:rPr>
        <w:t xml:space="preserve"> suficiente para causar enfermedad (monogénica) como es </w:t>
      </w:r>
      <w:r w:rsidR="00035CA2">
        <w:rPr>
          <w:rFonts w:ascii="Helvetica" w:hAnsi="Helvetica"/>
        </w:rPr>
        <w:t xml:space="preserve">el </w:t>
      </w:r>
      <w:r w:rsidRPr="008F43B0">
        <w:rPr>
          <w:rFonts w:ascii="Helvetica" w:hAnsi="Helvetica"/>
        </w:rPr>
        <w:t xml:space="preserve">caso de algunos tipos de falla cardíaca, aneurisma aórtico o cardiomiopatía hipertrófica. Desde 1975 se documentó que la mutación del receptor de las lipoproteínas de baja densidad </w:t>
      </w:r>
      <w:r w:rsidRPr="001B567D">
        <w:rPr>
          <w:rFonts w:ascii="Helvetica" w:hAnsi="Helvetica"/>
        </w:rPr>
        <w:t>(LDL)</w:t>
      </w:r>
      <w:r w:rsidRPr="008F43B0">
        <w:rPr>
          <w:rFonts w:ascii="Helvetica" w:hAnsi="Helvetica"/>
        </w:rPr>
        <w:t xml:space="preserve"> </w:t>
      </w:r>
      <w:r>
        <w:rPr>
          <w:rFonts w:ascii="Helvetica" w:hAnsi="Helvetica"/>
        </w:rPr>
        <w:t>era responsable de</w:t>
      </w:r>
      <w:r w:rsidRPr="008F43B0">
        <w:rPr>
          <w:rFonts w:ascii="Helvetica" w:hAnsi="Helvetica"/>
        </w:rPr>
        <w:t xml:space="preserve"> hipercolesterolemia, la cual es un factor de riesgo de infarto al miocardio; esto permitió diseñar una terapia a base de hipocolesterolemiantes que reducen la incidencia de enfermedades cardiovasculares (O´Donnell and Nabel, 2011). Sin embargo, la mayoría de las enfermedades cardiovasculares </w:t>
      </w:r>
      <w:r w:rsidRPr="008F43B0">
        <w:rPr>
          <w:rFonts w:ascii="Helvetica" w:hAnsi="Helvetica"/>
        </w:rPr>
        <w:lastRenderedPageBreak/>
        <w:t>son poligénicas con componentes de herencia y</w:t>
      </w:r>
      <w:r>
        <w:rPr>
          <w:rFonts w:ascii="Helvetica" w:hAnsi="Helvetica"/>
        </w:rPr>
        <w:t xml:space="preserve"> de</w:t>
      </w:r>
      <w:r w:rsidR="001776AB">
        <w:rPr>
          <w:rFonts w:ascii="Helvetica" w:hAnsi="Helvetica"/>
        </w:rPr>
        <w:t>l</w:t>
      </w:r>
      <w:r>
        <w:rPr>
          <w:rFonts w:ascii="Helvetica" w:hAnsi="Helvetica"/>
        </w:rPr>
        <w:t xml:space="preserve"> medio ambiente importantes </w:t>
      </w:r>
      <w:r w:rsidRPr="008F43B0">
        <w:rPr>
          <w:rFonts w:ascii="Helvetica" w:hAnsi="Helvetica"/>
        </w:rPr>
        <w:t xml:space="preserve">(Lee </w:t>
      </w:r>
      <w:r w:rsidRPr="008F43B0">
        <w:rPr>
          <w:rFonts w:ascii="Helvetica" w:hAnsi="Helvetica"/>
          <w:i/>
        </w:rPr>
        <w:t>et al</w:t>
      </w:r>
      <w:r w:rsidRPr="008F43B0">
        <w:rPr>
          <w:rFonts w:ascii="Helvetica" w:hAnsi="Helvetica"/>
        </w:rPr>
        <w:t xml:space="preserve">., 2006). Algunas de las variantes genéticas asociadas con infarto al miocardio en población europea se encuentran en el locus 9p21 (Kathiresan </w:t>
      </w:r>
      <w:r w:rsidRPr="008F43B0">
        <w:rPr>
          <w:rFonts w:ascii="Helvetica" w:hAnsi="Helvetica"/>
          <w:i/>
        </w:rPr>
        <w:t>et al.,</w:t>
      </w:r>
      <w:r w:rsidRPr="008F43B0">
        <w:rPr>
          <w:rFonts w:ascii="Helvetica" w:hAnsi="Helvetica"/>
        </w:rPr>
        <w:t xml:space="preserve"> 2009). El conocimiento sobre la genómica cardiovascular ha permitido en primer término</w:t>
      </w:r>
      <w:r>
        <w:rPr>
          <w:rFonts w:ascii="Helvetica" w:hAnsi="Helvetica"/>
        </w:rPr>
        <w:t>,</w:t>
      </w:r>
      <w:r w:rsidRPr="008F43B0">
        <w:rPr>
          <w:rFonts w:ascii="Helvetica" w:hAnsi="Helvetica"/>
        </w:rPr>
        <w:t xml:space="preserve"> identificar los mecanismos biológicos de la enfermedad </w:t>
      </w:r>
      <w:r w:rsidRPr="005C079F">
        <w:rPr>
          <w:rFonts w:ascii="Helvetica" w:hAnsi="Helvetica"/>
        </w:rPr>
        <w:t>pero lo más importante</w:t>
      </w:r>
      <w:r w:rsidRPr="008F43B0">
        <w:rPr>
          <w:rFonts w:ascii="Helvetica" w:hAnsi="Helvetica"/>
        </w:rPr>
        <w:t xml:space="preserve"> avanzar hacia una medicina personalizada, en la que se contempla el genotipo individual y las variantes más prevalentes. </w:t>
      </w:r>
    </w:p>
    <w:p w:rsidR="00A17183" w:rsidRPr="008F43B0" w:rsidRDefault="00A17183" w:rsidP="00E00865">
      <w:pPr>
        <w:spacing w:line="360" w:lineRule="auto"/>
        <w:jc w:val="both"/>
        <w:rPr>
          <w:rFonts w:ascii="Helvetica" w:hAnsi="Helvetica"/>
        </w:rPr>
      </w:pPr>
      <w:r w:rsidRPr="008F43B0">
        <w:rPr>
          <w:rFonts w:ascii="Helvetica" w:hAnsi="Helvetica"/>
        </w:rPr>
        <w:t>En otro caso el análisis del genoma humano y evidencias epidemiológicas sugieren una estrecha relación entre las etnias y el riesgo de desarrollar alergias (rinitis alérgica), eczema y asma. En un estudio liderado por el Centro de Control y Prevención de Enfermedades de los Estados Unidos de Norteamérica</w:t>
      </w:r>
      <w:r>
        <w:rPr>
          <w:rFonts w:ascii="Helvetica" w:hAnsi="Helvetica"/>
        </w:rPr>
        <w:t>,</w:t>
      </w:r>
      <w:r w:rsidRPr="008F43B0">
        <w:rPr>
          <w:rFonts w:ascii="Helvetica" w:hAnsi="Helvetica"/>
        </w:rPr>
        <w:t xml:space="preserve"> se encontró que los niños descendientes de p</w:t>
      </w:r>
      <w:r w:rsidR="005D49A3">
        <w:rPr>
          <w:rFonts w:ascii="Helvetica" w:hAnsi="Helvetica"/>
        </w:rPr>
        <w:t>ue</w:t>
      </w:r>
      <w:r w:rsidRPr="008F43B0">
        <w:rPr>
          <w:rFonts w:ascii="Helvetica" w:hAnsi="Helvetica"/>
        </w:rPr>
        <w:t>rtorriqueños tienen un riesgo más elevado de padecer asma que cualquier otro grupo</w:t>
      </w:r>
      <w:r>
        <w:rPr>
          <w:rFonts w:ascii="Helvetica" w:hAnsi="Helvetica"/>
        </w:rPr>
        <w:t xml:space="preserve"> étnico </w:t>
      </w:r>
      <w:r w:rsidRPr="008F43B0">
        <w:rPr>
          <w:rFonts w:ascii="Helvetica" w:hAnsi="Helvetica"/>
        </w:rPr>
        <w:t xml:space="preserve"> en los Estados Unidos; </w:t>
      </w:r>
      <w:r>
        <w:rPr>
          <w:rFonts w:ascii="Helvetica" w:hAnsi="Helvetica"/>
        </w:rPr>
        <w:t xml:space="preserve">la incidencia es </w:t>
      </w:r>
      <w:r w:rsidRPr="008F43B0">
        <w:rPr>
          <w:rFonts w:ascii="Helvetica" w:hAnsi="Helvetica"/>
        </w:rPr>
        <w:t>125% más alta que los</w:t>
      </w:r>
      <w:r>
        <w:rPr>
          <w:rFonts w:ascii="Helvetica" w:hAnsi="Helvetica"/>
        </w:rPr>
        <w:t xml:space="preserve"> niños</w:t>
      </w:r>
      <w:r w:rsidRPr="008F43B0">
        <w:rPr>
          <w:rFonts w:ascii="Helvetica" w:hAnsi="Helvetica"/>
        </w:rPr>
        <w:t xml:space="preserve"> caucásicos y 80% mayor </w:t>
      </w:r>
      <w:r>
        <w:rPr>
          <w:rFonts w:ascii="Helvetica" w:hAnsi="Helvetica"/>
        </w:rPr>
        <w:t>que los afroamericanos (Misiak</w:t>
      </w:r>
      <w:r w:rsidRPr="008F43B0">
        <w:rPr>
          <w:rFonts w:ascii="Helvetica" w:hAnsi="Helvetica"/>
        </w:rPr>
        <w:t xml:space="preserve"> </w:t>
      </w:r>
      <w:r w:rsidRPr="00AF0C0A">
        <w:rPr>
          <w:rFonts w:ascii="Helvetica" w:hAnsi="Helvetica"/>
          <w:i/>
        </w:rPr>
        <w:t>et al</w:t>
      </w:r>
      <w:r>
        <w:rPr>
          <w:rFonts w:ascii="Helvetica" w:hAnsi="Helvetica"/>
          <w:i/>
        </w:rPr>
        <w:t>.</w:t>
      </w:r>
      <w:r w:rsidRPr="00AF0C0A">
        <w:rPr>
          <w:rFonts w:ascii="Helvetica" w:hAnsi="Helvetica"/>
          <w:i/>
        </w:rPr>
        <w:t>,</w:t>
      </w:r>
      <w:r w:rsidRPr="008F43B0">
        <w:rPr>
          <w:rFonts w:ascii="Helvetica" w:hAnsi="Helvetica"/>
        </w:rPr>
        <w:t xml:space="preserve"> 2010; Mathias </w:t>
      </w:r>
      <w:r w:rsidRPr="008F43B0">
        <w:rPr>
          <w:rFonts w:ascii="Helvetica" w:hAnsi="Helvetica"/>
          <w:i/>
        </w:rPr>
        <w:t>et al</w:t>
      </w:r>
      <w:r w:rsidRPr="008F43B0">
        <w:rPr>
          <w:rFonts w:ascii="Helvetica" w:hAnsi="Helvetica"/>
        </w:rPr>
        <w:t>., 2010)</w:t>
      </w:r>
      <w:r w:rsidR="005D49A3">
        <w:rPr>
          <w:rFonts w:ascii="Helvetica" w:hAnsi="Helvetica"/>
        </w:rPr>
        <w:t>.</w:t>
      </w:r>
    </w:p>
    <w:p w:rsidR="00A17183" w:rsidRPr="008F43B0" w:rsidRDefault="00A17183" w:rsidP="00E00865">
      <w:pPr>
        <w:spacing w:line="360" w:lineRule="auto"/>
        <w:jc w:val="both"/>
        <w:rPr>
          <w:rFonts w:ascii="Helvetica" w:hAnsi="Helvetica"/>
        </w:rPr>
      </w:pPr>
      <w:r>
        <w:rPr>
          <w:rFonts w:ascii="Helvetica" w:hAnsi="Helvetica"/>
        </w:rPr>
        <w:t>Los avances de los métodos</w:t>
      </w:r>
      <w:r w:rsidRPr="008F43B0">
        <w:rPr>
          <w:rFonts w:ascii="Helvetica" w:hAnsi="Helvetica"/>
        </w:rPr>
        <w:t>,</w:t>
      </w:r>
      <w:r>
        <w:rPr>
          <w:rFonts w:ascii="Helvetica" w:hAnsi="Helvetica"/>
        </w:rPr>
        <w:t xml:space="preserve"> sustentados en herramientas bioinformáticas y quimioinformáticas, para </w:t>
      </w:r>
      <w:r w:rsidRPr="008F43B0">
        <w:rPr>
          <w:rFonts w:ascii="Helvetica" w:hAnsi="Helvetica"/>
        </w:rPr>
        <w:t xml:space="preserve">el análisis funcional </w:t>
      </w:r>
      <w:r>
        <w:rPr>
          <w:rFonts w:ascii="Helvetica" w:hAnsi="Helvetica"/>
        </w:rPr>
        <w:t>de las bases de datos “ÓMICOS”</w:t>
      </w:r>
      <w:r w:rsidRPr="008F43B0">
        <w:rPr>
          <w:rFonts w:ascii="Helvetica" w:hAnsi="Helvetica"/>
        </w:rPr>
        <w:t xml:space="preserve">, han permitido </w:t>
      </w:r>
      <w:r>
        <w:rPr>
          <w:rFonts w:ascii="Helvetica" w:hAnsi="Helvetica"/>
        </w:rPr>
        <w:t>comprender</w:t>
      </w:r>
      <w:r w:rsidRPr="008F43B0">
        <w:rPr>
          <w:rFonts w:ascii="Helvetica" w:hAnsi="Helvetica"/>
        </w:rPr>
        <w:t>, por ejemplo, la heterogeneidad presente en las células tumorales del cáncer de seno. En este sentido</w:t>
      </w:r>
      <w:r w:rsidR="00584D48">
        <w:rPr>
          <w:rFonts w:ascii="Helvetica" w:hAnsi="Helvetica"/>
        </w:rPr>
        <w:t>,</w:t>
      </w:r>
      <w:r w:rsidRPr="008F43B0">
        <w:rPr>
          <w:rFonts w:ascii="Helvetica" w:hAnsi="Helvetica"/>
        </w:rPr>
        <w:t xml:space="preserve"> en algunos tipos de cáncer de seno las células sobreexpresan un receptor transmembranal tirosinquinasa </w:t>
      </w:r>
      <w:r w:rsidRPr="008A4FEE">
        <w:rPr>
          <w:rFonts w:ascii="Helvetica" w:hAnsi="Helvetica"/>
        </w:rPr>
        <w:t>(HER-2 positivas),</w:t>
      </w:r>
      <w:r w:rsidRPr="008F43B0">
        <w:rPr>
          <w:rFonts w:ascii="Helvetica" w:hAnsi="Helvetica"/>
        </w:rPr>
        <w:t xml:space="preserve"> el cual pertenece a la familia de proteínas del receptor del factor de crecimiento epidérmico (</w:t>
      </w:r>
      <w:r w:rsidRPr="008A4FEE">
        <w:rPr>
          <w:rFonts w:ascii="Helvetica" w:hAnsi="Helvetica"/>
        </w:rPr>
        <w:t>EGFR</w:t>
      </w:r>
      <w:r w:rsidRPr="008F43B0">
        <w:rPr>
          <w:rFonts w:ascii="Helvetica" w:hAnsi="Helvetica"/>
        </w:rPr>
        <w:t>, por sus siglas en inglés). Al activarse este receptor</w:t>
      </w:r>
      <w:r>
        <w:rPr>
          <w:rFonts w:ascii="Helvetica" w:hAnsi="Helvetica"/>
        </w:rPr>
        <w:t>, se</w:t>
      </w:r>
      <w:r w:rsidRPr="008F43B0">
        <w:rPr>
          <w:rFonts w:ascii="Helvetica" w:hAnsi="Helvetica"/>
        </w:rPr>
        <w:t xml:space="preserve"> desencadena</w:t>
      </w:r>
      <w:r>
        <w:rPr>
          <w:rFonts w:ascii="Helvetica" w:hAnsi="Helvetica"/>
        </w:rPr>
        <w:t>n</w:t>
      </w:r>
      <w:r w:rsidRPr="009672A6">
        <w:rPr>
          <w:rFonts w:ascii="Helvetica" w:hAnsi="Helvetica"/>
          <w:lang w:val="es-CO"/>
        </w:rPr>
        <w:t xml:space="preserve"> cascadas de señalización, asociadas con la progresión y crecimiento tumoral. A través de un proceso de clonación, se pudo demostrar que el gen que codifica para HER-2 es idéntico al oncogen </w:t>
      </w:r>
      <w:r w:rsidRPr="009672A6">
        <w:rPr>
          <w:rFonts w:ascii="Helvetica" w:hAnsi="Helvetica"/>
          <w:i/>
          <w:lang w:val="es-CO"/>
        </w:rPr>
        <w:t>neu</w:t>
      </w:r>
      <w:r w:rsidRPr="009672A6">
        <w:rPr>
          <w:rFonts w:ascii="Helvetica" w:hAnsi="Helvetica"/>
          <w:lang w:val="es-CO"/>
        </w:rPr>
        <w:t xml:space="preserve"> y que entre el 20 y 25% de pacientes con cáncer de seno metastásico, sobreexpresan el HER-2</w:t>
      </w:r>
      <w:r w:rsidRPr="008F43B0">
        <w:rPr>
          <w:rFonts w:ascii="Helvetica" w:hAnsi="Helvetica"/>
        </w:rPr>
        <w:t xml:space="preserve"> (Collins </w:t>
      </w:r>
      <w:r w:rsidRPr="002E27CD">
        <w:rPr>
          <w:rFonts w:ascii="Helvetica" w:hAnsi="Helvetica"/>
          <w:i/>
        </w:rPr>
        <w:t>et al.,</w:t>
      </w:r>
      <w:r w:rsidRPr="008F43B0">
        <w:rPr>
          <w:rFonts w:ascii="Helvetica" w:hAnsi="Helvetica"/>
        </w:rPr>
        <w:t xml:space="preserve"> 2011)</w:t>
      </w:r>
      <w:r w:rsidR="00584D48">
        <w:rPr>
          <w:rFonts w:ascii="Helvetica" w:hAnsi="Helvetica"/>
        </w:rPr>
        <w:t>.</w:t>
      </w:r>
      <w:r w:rsidRPr="008F43B0">
        <w:rPr>
          <w:rFonts w:ascii="Helvetica" w:hAnsi="Helvetica"/>
        </w:rPr>
        <w:t xml:space="preserve"> </w:t>
      </w:r>
    </w:p>
    <w:p w:rsidR="00A17183" w:rsidRDefault="00A17183" w:rsidP="00E16307">
      <w:pPr>
        <w:spacing w:line="360" w:lineRule="auto"/>
        <w:jc w:val="both"/>
        <w:rPr>
          <w:rFonts w:ascii="Helvetica" w:hAnsi="Helvetica" w:cs="Arial"/>
          <w:szCs w:val="26"/>
          <w:lang w:eastAsia="es-ES_tradnl"/>
        </w:rPr>
      </w:pPr>
      <w:r w:rsidRPr="008F43B0">
        <w:rPr>
          <w:rFonts w:ascii="Helvetica" w:hAnsi="Helvetica"/>
        </w:rPr>
        <w:t xml:space="preserve">Tomando en consideración estos hallazgos, </w:t>
      </w:r>
      <w:r w:rsidRPr="008F43B0">
        <w:rPr>
          <w:rFonts w:ascii="Helvetica" w:hAnsi="Helvetica"/>
          <w:bCs/>
        </w:rPr>
        <w:t xml:space="preserve">el tratamiento del cáncer de seno metastático con Trastuzumab, un anticuerpo monoclonal humanizado, tiene como blanco el dominio extracelular de la proteína HER-2 y con ello se bloquea la cascada de señalización PI3K/Akt y Ras/MAPK deteniendo el ciclo celular,  </w:t>
      </w:r>
      <w:r w:rsidRPr="008F43B0">
        <w:rPr>
          <w:rFonts w:ascii="Helvetica" w:hAnsi="Helvetica"/>
          <w:bCs/>
        </w:rPr>
        <w:lastRenderedPageBreak/>
        <w:t xml:space="preserve">reduciendo la angiogénesis y generando citotoxicidad dependiente del anticuerpo </w:t>
      </w:r>
      <w:r w:rsidRPr="0036206A">
        <w:rPr>
          <w:rFonts w:ascii="Helvetica" w:hAnsi="Helvetica"/>
          <w:bCs/>
        </w:rPr>
        <w:t>(ADCC)</w:t>
      </w:r>
      <w:r w:rsidRPr="008F43B0">
        <w:rPr>
          <w:rFonts w:ascii="Helvetica" w:hAnsi="Helvetica"/>
          <w:bCs/>
        </w:rPr>
        <w:t xml:space="preserve"> (</w:t>
      </w:r>
      <w:r w:rsidRPr="008F43B0">
        <w:rPr>
          <w:rFonts w:ascii="Helvetica" w:hAnsi="Helvetica" w:cs="Arial"/>
          <w:szCs w:val="26"/>
          <w:lang w:eastAsia="es-ES_tradnl"/>
        </w:rPr>
        <w:t xml:space="preserve">Von Minckwitz </w:t>
      </w:r>
      <w:r w:rsidRPr="008F43B0">
        <w:rPr>
          <w:rFonts w:ascii="Helvetica" w:hAnsi="Helvetica" w:cs="Arial"/>
          <w:i/>
          <w:szCs w:val="26"/>
          <w:lang w:eastAsia="es-ES_tradnl"/>
        </w:rPr>
        <w:t>et al.</w:t>
      </w:r>
      <w:r w:rsidRPr="008F43B0">
        <w:rPr>
          <w:rFonts w:ascii="Helvetica" w:hAnsi="Helvetica" w:cs="Arial"/>
          <w:szCs w:val="26"/>
          <w:lang w:eastAsia="es-ES_tradnl"/>
        </w:rPr>
        <w:t xml:space="preserve">, 2008; Vukelja </w:t>
      </w:r>
      <w:r w:rsidRPr="008F43B0">
        <w:rPr>
          <w:rFonts w:ascii="Helvetica" w:hAnsi="Helvetica" w:cs="Arial"/>
          <w:i/>
          <w:szCs w:val="26"/>
          <w:lang w:eastAsia="es-ES_tradnl"/>
        </w:rPr>
        <w:t>et al.</w:t>
      </w:r>
      <w:r>
        <w:rPr>
          <w:rFonts w:ascii="Helvetica" w:hAnsi="Helvetica" w:cs="Arial"/>
          <w:i/>
          <w:szCs w:val="26"/>
          <w:lang w:eastAsia="es-ES_tradnl"/>
        </w:rPr>
        <w:t>,</w:t>
      </w:r>
      <w:r w:rsidRPr="008F43B0">
        <w:rPr>
          <w:rFonts w:ascii="Helvetica" w:hAnsi="Helvetica" w:cs="Arial"/>
          <w:szCs w:val="26"/>
          <w:lang w:eastAsia="es-ES_tradnl"/>
        </w:rPr>
        <w:t xml:space="preserve"> 2009). El conocimiento sobre los mecanismos moleculares asociados al cáncer de seno HER-2 (+) permitieron diseñar anticuerpos monoclonales unidos a compuesto</w:t>
      </w:r>
      <w:r>
        <w:rPr>
          <w:rFonts w:ascii="Helvetica" w:hAnsi="Helvetica" w:cs="Arial"/>
          <w:szCs w:val="26"/>
          <w:lang w:eastAsia="es-ES_tradnl"/>
        </w:rPr>
        <w:t>s tóxicos</w:t>
      </w:r>
      <w:r w:rsidR="0036206A">
        <w:rPr>
          <w:rFonts w:ascii="Helvetica" w:hAnsi="Helvetica" w:cs="Arial"/>
          <w:szCs w:val="26"/>
          <w:lang w:eastAsia="es-ES_tradnl"/>
        </w:rPr>
        <w:t>,</w:t>
      </w:r>
      <w:r>
        <w:rPr>
          <w:rFonts w:ascii="Helvetica" w:hAnsi="Helvetica" w:cs="Arial"/>
          <w:szCs w:val="26"/>
          <w:lang w:eastAsia="es-ES_tradnl"/>
        </w:rPr>
        <w:t xml:space="preserve"> como es el caso del </w:t>
      </w:r>
      <w:r w:rsidR="0036206A" w:rsidRPr="0036206A">
        <w:rPr>
          <w:rFonts w:ascii="Helvetica" w:hAnsi="Helvetica" w:cs="Arial"/>
          <w:szCs w:val="26"/>
          <w:lang w:eastAsia="es-ES_tradnl"/>
        </w:rPr>
        <w:t>T</w:t>
      </w:r>
      <w:r w:rsidRPr="0036206A">
        <w:rPr>
          <w:rFonts w:ascii="Helvetica" w:hAnsi="Helvetica" w:cs="Arial"/>
          <w:szCs w:val="26"/>
          <w:lang w:eastAsia="es-ES_tradnl"/>
        </w:rPr>
        <w:t>rastuzumab emtansina</w:t>
      </w:r>
      <w:r w:rsidRPr="008F43B0">
        <w:rPr>
          <w:rFonts w:ascii="Helvetica" w:hAnsi="Helvetica" w:cs="Arial"/>
          <w:szCs w:val="26"/>
          <w:lang w:eastAsia="es-ES_tradnl"/>
        </w:rPr>
        <w:t xml:space="preserve"> (conjugado con un derivado de maytansina den</w:t>
      </w:r>
      <w:r>
        <w:rPr>
          <w:rFonts w:ascii="Helvetica" w:hAnsi="Helvetica" w:cs="Arial"/>
          <w:szCs w:val="26"/>
          <w:lang w:eastAsia="es-ES_tradnl"/>
        </w:rPr>
        <w:t xml:space="preserve">ominado </w:t>
      </w:r>
      <w:r w:rsidRPr="0036206A">
        <w:rPr>
          <w:rFonts w:ascii="Helvetica" w:hAnsi="Helvetica" w:cs="Arial"/>
          <w:szCs w:val="26"/>
          <w:lang w:eastAsia="es-ES_tradnl"/>
        </w:rPr>
        <w:t>DM1</w:t>
      </w:r>
      <w:r>
        <w:rPr>
          <w:rFonts w:ascii="Helvetica" w:hAnsi="Helvetica" w:cs="Arial"/>
          <w:szCs w:val="26"/>
          <w:lang w:eastAsia="es-ES_tradnl"/>
        </w:rPr>
        <w:t xml:space="preserve">). En este caso el </w:t>
      </w:r>
      <w:r w:rsidR="0036206A">
        <w:rPr>
          <w:rFonts w:ascii="Helvetica" w:hAnsi="Helvetica" w:cs="Arial"/>
          <w:szCs w:val="26"/>
          <w:lang w:eastAsia="es-ES_tradnl"/>
        </w:rPr>
        <w:t>T</w:t>
      </w:r>
      <w:r w:rsidRPr="008F43B0">
        <w:rPr>
          <w:rFonts w:ascii="Helvetica" w:hAnsi="Helvetica" w:cs="Arial"/>
          <w:szCs w:val="26"/>
          <w:lang w:eastAsia="es-ES_tradnl"/>
        </w:rPr>
        <w:t>rastuzumab se une al receptor HER-2 presente en las células tumorales y libera el DM1 [N2</w:t>
      </w:r>
      <w:r w:rsidRPr="008F43B0">
        <w:rPr>
          <w:rFonts w:ascii="Helvetica" w:hAnsi="Helvetica"/>
          <w:szCs w:val="26"/>
          <w:lang w:eastAsia="es-ES_tradnl"/>
        </w:rPr>
        <w:t>′</w:t>
      </w:r>
      <w:r w:rsidRPr="008F43B0">
        <w:rPr>
          <w:rFonts w:ascii="Helvetica" w:hAnsi="Helvetica" w:cs="Arial"/>
          <w:szCs w:val="26"/>
          <w:lang w:eastAsia="es-ES_tradnl"/>
        </w:rPr>
        <w:t>-deacetil-N2</w:t>
      </w:r>
      <w:r w:rsidRPr="008F43B0">
        <w:rPr>
          <w:rFonts w:ascii="Helvetica" w:hAnsi="Helvetica"/>
          <w:szCs w:val="26"/>
          <w:lang w:eastAsia="es-ES_tradnl"/>
        </w:rPr>
        <w:t>′</w:t>
      </w:r>
      <w:r w:rsidRPr="008F43B0">
        <w:rPr>
          <w:rFonts w:ascii="Helvetica" w:hAnsi="Helvetica" w:cs="Arial"/>
          <w:szCs w:val="26"/>
          <w:lang w:eastAsia="es-ES_tradnl"/>
        </w:rPr>
        <w:t>-(3-mer</w:t>
      </w:r>
      <w:r>
        <w:rPr>
          <w:rFonts w:ascii="Helvetica" w:hAnsi="Helvetica" w:cs="Arial"/>
          <w:szCs w:val="26"/>
          <w:lang w:eastAsia="es-ES_tradnl"/>
        </w:rPr>
        <w:t xml:space="preserve">capto-1-oxopropil)-maytansina], </w:t>
      </w:r>
      <w:r w:rsidRPr="008F43B0">
        <w:rPr>
          <w:rFonts w:ascii="Helvetica" w:hAnsi="Helvetica" w:cs="Arial"/>
          <w:szCs w:val="26"/>
          <w:lang w:eastAsia="es-ES_tradnl"/>
        </w:rPr>
        <w:t xml:space="preserve">minimizando la exposición de </w:t>
      </w:r>
      <w:r>
        <w:rPr>
          <w:rFonts w:ascii="Helvetica" w:hAnsi="Helvetica" w:cs="Arial"/>
          <w:szCs w:val="26"/>
          <w:lang w:eastAsia="es-ES_tradnl"/>
        </w:rPr>
        <w:t xml:space="preserve">las </w:t>
      </w:r>
      <w:r w:rsidRPr="008F43B0">
        <w:rPr>
          <w:rFonts w:ascii="Helvetica" w:hAnsi="Helvetica" w:cs="Arial"/>
          <w:szCs w:val="26"/>
          <w:lang w:eastAsia="es-ES_tradnl"/>
        </w:rPr>
        <w:t xml:space="preserve">células normales a la acción tóxica de este compuesto y </w:t>
      </w:r>
      <w:r>
        <w:rPr>
          <w:rFonts w:ascii="Helvetica" w:hAnsi="Helvetica" w:cs="Arial"/>
          <w:szCs w:val="26"/>
          <w:lang w:eastAsia="es-ES_tradnl"/>
        </w:rPr>
        <w:t>reduciendo</w:t>
      </w:r>
      <w:r w:rsidRPr="008F43B0">
        <w:rPr>
          <w:rFonts w:ascii="Helvetica" w:hAnsi="Helvetica" w:cs="Arial"/>
          <w:szCs w:val="26"/>
          <w:lang w:eastAsia="es-ES_tradnl"/>
        </w:rPr>
        <w:t xml:space="preserve"> los efectos adversos asociados a esta terapia (Hughes, 2010). Este esquema terapé</w:t>
      </w:r>
      <w:r>
        <w:rPr>
          <w:rFonts w:ascii="Helvetica" w:hAnsi="Helvetica" w:cs="Arial"/>
          <w:szCs w:val="26"/>
          <w:lang w:eastAsia="es-ES_tradnl"/>
        </w:rPr>
        <w:t xml:space="preserve">utico combina la actividad del </w:t>
      </w:r>
      <w:r w:rsidR="0036206A">
        <w:rPr>
          <w:rFonts w:ascii="Helvetica" w:hAnsi="Helvetica" w:cs="Arial"/>
          <w:szCs w:val="26"/>
          <w:lang w:eastAsia="es-ES_tradnl"/>
        </w:rPr>
        <w:t>T</w:t>
      </w:r>
      <w:r w:rsidRPr="008F43B0">
        <w:rPr>
          <w:rFonts w:ascii="Helvetica" w:hAnsi="Helvetica" w:cs="Arial"/>
          <w:szCs w:val="26"/>
          <w:lang w:eastAsia="es-ES_tradnl"/>
        </w:rPr>
        <w:t>rastuzumab con la potente actividad antimicrotúbulos</w:t>
      </w:r>
      <w:r>
        <w:rPr>
          <w:rFonts w:ascii="Helvetica" w:hAnsi="Helvetica" w:cs="Arial"/>
          <w:szCs w:val="26"/>
          <w:lang w:eastAsia="es-ES_tradnl"/>
        </w:rPr>
        <w:t xml:space="preserve"> del DM1 (LoRusso </w:t>
      </w:r>
      <w:r w:rsidRPr="00ED1136">
        <w:rPr>
          <w:rFonts w:ascii="Helvetica" w:hAnsi="Helvetica" w:cs="Arial"/>
          <w:i/>
          <w:szCs w:val="26"/>
          <w:lang w:eastAsia="es-ES_tradnl"/>
        </w:rPr>
        <w:t>et al.,</w:t>
      </w:r>
      <w:r>
        <w:rPr>
          <w:rFonts w:ascii="Helvetica" w:hAnsi="Helvetica" w:cs="Arial"/>
          <w:szCs w:val="26"/>
          <w:lang w:eastAsia="es-ES_tradnl"/>
        </w:rPr>
        <w:t xml:space="preserve"> 2011)</w:t>
      </w:r>
      <w:r w:rsidRPr="008F43B0">
        <w:rPr>
          <w:rFonts w:ascii="Helvetica" w:hAnsi="Helvetica" w:cs="Arial"/>
          <w:szCs w:val="26"/>
          <w:lang w:eastAsia="es-ES_tradnl"/>
        </w:rPr>
        <w:t xml:space="preserve">. </w:t>
      </w:r>
      <w:r>
        <w:rPr>
          <w:rFonts w:ascii="Helvetica" w:hAnsi="Helvetica" w:cs="Arial"/>
          <w:szCs w:val="26"/>
          <w:lang w:eastAsia="es-ES_tradnl"/>
        </w:rPr>
        <w:t>El mecanismo de acción del DM1 implica</w:t>
      </w:r>
      <w:r w:rsidRPr="008F43B0">
        <w:rPr>
          <w:rFonts w:ascii="Helvetica" w:hAnsi="Helvetica" w:cs="Arial"/>
          <w:szCs w:val="26"/>
          <w:lang w:eastAsia="es-ES_tradnl"/>
        </w:rPr>
        <w:t xml:space="preserve"> </w:t>
      </w:r>
      <w:r>
        <w:rPr>
          <w:rFonts w:ascii="Helvetica" w:hAnsi="Helvetica" w:cs="Arial"/>
          <w:szCs w:val="26"/>
          <w:lang w:eastAsia="es-ES_tradnl"/>
        </w:rPr>
        <w:t>la unión</w:t>
      </w:r>
      <w:r w:rsidRPr="008F43B0">
        <w:rPr>
          <w:rFonts w:ascii="Helvetica" w:hAnsi="Helvetica" w:cs="Arial"/>
          <w:szCs w:val="26"/>
          <w:lang w:eastAsia="es-ES_tradnl"/>
        </w:rPr>
        <w:t xml:space="preserve"> a la tubulina</w:t>
      </w:r>
      <w:r>
        <w:rPr>
          <w:rFonts w:ascii="Helvetica" w:hAnsi="Helvetica" w:cs="Arial"/>
          <w:szCs w:val="26"/>
          <w:lang w:eastAsia="es-ES_tradnl"/>
        </w:rPr>
        <w:t xml:space="preserve">, que al compararla con la unión que presenta la vincristina </w:t>
      </w:r>
      <w:r w:rsidRPr="008F43B0">
        <w:rPr>
          <w:rFonts w:ascii="Helvetica" w:hAnsi="Helvetica" w:cs="Arial"/>
          <w:szCs w:val="26"/>
          <w:lang w:eastAsia="es-ES_tradnl"/>
        </w:rPr>
        <w:t>e</w:t>
      </w:r>
      <w:r>
        <w:rPr>
          <w:rFonts w:ascii="Helvetica" w:hAnsi="Helvetica" w:cs="Arial"/>
          <w:szCs w:val="26"/>
          <w:lang w:eastAsia="es-ES_tradnl"/>
        </w:rPr>
        <w:t xml:space="preserve">s de 20 a 100 veces más potente. El DM1 se liga al </w:t>
      </w:r>
      <w:r w:rsidR="0036206A">
        <w:rPr>
          <w:rFonts w:ascii="Helvetica" w:hAnsi="Helvetica" w:cs="Arial"/>
          <w:szCs w:val="26"/>
          <w:lang w:eastAsia="es-ES_tradnl"/>
        </w:rPr>
        <w:t>T</w:t>
      </w:r>
      <w:r w:rsidRPr="008F43B0">
        <w:rPr>
          <w:rFonts w:ascii="Helvetica" w:hAnsi="Helvetica" w:cs="Arial"/>
          <w:szCs w:val="26"/>
          <w:lang w:eastAsia="es-ES_tradnl"/>
        </w:rPr>
        <w:t xml:space="preserve">rastuzumab a través de una unión con </w:t>
      </w:r>
      <w:r w:rsidRPr="0036206A">
        <w:rPr>
          <w:rFonts w:ascii="Helvetica" w:hAnsi="Helvetica" w:cs="Arial"/>
          <w:szCs w:val="26"/>
          <w:lang w:eastAsia="es-ES_tradnl"/>
        </w:rPr>
        <w:t>MCC</w:t>
      </w:r>
      <w:r w:rsidRPr="008F43B0">
        <w:rPr>
          <w:rFonts w:ascii="Helvetica" w:hAnsi="Helvetica" w:cs="Arial"/>
          <w:szCs w:val="26"/>
          <w:lang w:eastAsia="es-ES_tradnl"/>
        </w:rPr>
        <w:t xml:space="preserve"> </w:t>
      </w:r>
      <w:r>
        <w:rPr>
          <w:rFonts w:ascii="Helvetica" w:hAnsi="Helvetica" w:cs="Arial"/>
          <w:szCs w:val="26"/>
          <w:lang w:eastAsia="es-ES_tradnl"/>
        </w:rPr>
        <w:t>(tioéter no reducible: [</w:t>
      </w:r>
      <w:r w:rsidRPr="007477E9">
        <w:rPr>
          <w:rFonts w:ascii="Helvetica" w:hAnsi="Helvetica" w:cs="Arial"/>
          <w:i/>
          <w:iCs/>
          <w:szCs w:val="26"/>
          <w:lang w:eastAsia="es-ES_tradnl"/>
        </w:rPr>
        <w:t>N</w:t>
      </w:r>
      <w:r w:rsidRPr="007477E9">
        <w:rPr>
          <w:rFonts w:ascii="Helvetica" w:hAnsi="Helvetica" w:cs="Arial"/>
          <w:szCs w:val="26"/>
          <w:lang w:eastAsia="es-ES_tradnl"/>
        </w:rPr>
        <w:t>-maleimidometil</w:t>
      </w:r>
      <w:proofErr w:type="gramStart"/>
      <w:r w:rsidRPr="007477E9">
        <w:rPr>
          <w:rFonts w:ascii="Helvetica" w:hAnsi="Helvetica" w:cs="Arial"/>
          <w:szCs w:val="26"/>
          <w:lang w:eastAsia="es-ES_tradnl"/>
        </w:rPr>
        <w:t>]ciclohexan</w:t>
      </w:r>
      <w:proofErr w:type="gramEnd"/>
      <w:r w:rsidRPr="007477E9">
        <w:rPr>
          <w:rFonts w:ascii="Helvetica" w:hAnsi="Helvetica" w:cs="Arial"/>
          <w:szCs w:val="26"/>
          <w:lang w:eastAsia="es-ES_tradnl"/>
        </w:rPr>
        <w:t>-1-carboxilato</w:t>
      </w:r>
      <w:r>
        <w:rPr>
          <w:rFonts w:ascii="Helvetica" w:hAnsi="Helvetica" w:cs="Arial"/>
          <w:szCs w:val="26"/>
          <w:lang w:eastAsia="es-ES_tradnl"/>
        </w:rPr>
        <w:t>). E</w:t>
      </w:r>
      <w:r w:rsidRPr="008F43B0">
        <w:rPr>
          <w:rFonts w:ascii="Helvetica" w:hAnsi="Helvetica" w:cs="Arial"/>
          <w:szCs w:val="26"/>
          <w:lang w:eastAsia="es-ES_tradnl"/>
        </w:rPr>
        <w:t>sta es una unión muy estable</w:t>
      </w:r>
      <w:r>
        <w:rPr>
          <w:rFonts w:ascii="Helvetica" w:hAnsi="Helvetica" w:cs="Arial"/>
          <w:szCs w:val="26"/>
          <w:lang w:eastAsia="es-ES_tradnl"/>
        </w:rPr>
        <w:t>,</w:t>
      </w:r>
      <w:r w:rsidRPr="008F43B0">
        <w:rPr>
          <w:rFonts w:ascii="Helvetica" w:hAnsi="Helvetica" w:cs="Arial"/>
          <w:szCs w:val="26"/>
          <w:lang w:eastAsia="es-ES_tradnl"/>
        </w:rPr>
        <w:t xml:space="preserve"> prolonga la exposición, reduce la toxicidad y mantiene la activ</w:t>
      </w:r>
      <w:r>
        <w:rPr>
          <w:rFonts w:ascii="Helvetica" w:hAnsi="Helvetica" w:cs="Arial"/>
          <w:szCs w:val="26"/>
          <w:lang w:eastAsia="es-ES_tradnl"/>
        </w:rPr>
        <w:t>idad por un período más largo</w:t>
      </w:r>
      <w:r w:rsidRPr="008F43B0">
        <w:rPr>
          <w:rFonts w:ascii="Helvetica" w:hAnsi="Helvetica" w:cs="Arial"/>
          <w:szCs w:val="26"/>
          <w:lang w:eastAsia="es-ES_tradnl"/>
        </w:rPr>
        <w:t xml:space="preserve"> (Lopus </w:t>
      </w:r>
      <w:r w:rsidRPr="008F43B0">
        <w:rPr>
          <w:rFonts w:ascii="Helvetica" w:hAnsi="Helvetica" w:cs="Arial"/>
          <w:i/>
          <w:szCs w:val="26"/>
          <w:lang w:eastAsia="es-ES_tradnl"/>
        </w:rPr>
        <w:t>et al.</w:t>
      </w:r>
      <w:r>
        <w:rPr>
          <w:rFonts w:ascii="Helvetica" w:hAnsi="Helvetica" w:cs="Arial"/>
          <w:szCs w:val="26"/>
          <w:lang w:eastAsia="es-ES_tradnl"/>
        </w:rPr>
        <w:t>, 2011</w:t>
      </w:r>
      <w:r w:rsidRPr="008F43B0">
        <w:rPr>
          <w:rFonts w:ascii="Helvetica" w:hAnsi="Helvetica" w:cs="Arial"/>
          <w:szCs w:val="26"/>
          <w:lang w:eastAsia="es-ES_tradnl"/>
        </w:rPr>
        <w:t xml:space="preserve">; </w:t>
      </w:r>
      <w:r>
        <w:rPr>
          <w:rFonts w:ascii="Helvetica" w:hAnsi="Helvetica" w:cs="Arial"/>
          <w:szCs w:val="26"/>
          <w:lang w:eastAsia="es-ES_tradnl"/>
        </w:rPr>
        <w:t xml:space="preserve">Lewis Phillips </w:t>
      </w:r>
      <w:r w:rsidRPr="00FF7EDC">
        <w:rPr>
          <w:rFonts w:ascii="Helvetica" w:hAnsi="Helvetica" w:cs="Arial"/>
          <w:i/>
          <w:szCs w:val="26"/>
          <w:lang w:eastAsia="es-ES_tradnl"/>
        </w:rPr>
        <w:t>et al.,</w:t>
      </w:r>
      <w:r>
        <w:rPr>
          <w:rFonts w:ascii="Helvetica" w:hAnsi="Helvetica" w:cs="Arial"/>
          <w:szCs w:val="26"/>
          <w:lang w:eastAsia="es-ES_tradnl"/>
        </w:rPr>
        <w:t xml:space="preserve"> 2008</w:t>
      </w:r>
      <w:r w:rsidRPr="008F43B0">
        <w:rPr>
          <w:rFonts w:ascii="Helvetica" w:hAnsi="Helvetica" w:cs="Arial"/>
          <w:szCs w:val="26"/>
          <w:lang w:eastAsia="es-ES_tradnl"/>
        </w:rPr>
        <w:t>). Es de anotar que en la actualidad se han reportado casos de resistencia a la terapia de cáncer de seno metastási</w:t>
      </w:r>
      <w:r>
        <w:rPr>
          <w:rFonts w:ascii="Helvetica" w:hAnsi="Helvetica" w:cs="Arial"/>
          <w:szCs w:val="26"/>
          <w:lang w:eastAsia="es-ES_tradnl"/>
        </w:rPr>
        <w:t xml:space="preserve">co con </w:t>
      </w:r>
      <w:r w:rsidR="0036206A">
        <w:rPr>
          <w:rFonts w:ascii="Helvetica" w:hAnsi="Helvetica" w:cs="Arial"/>
          <w:szCs w:val="26"/>
          <w:lang w:eastAsia="es-ES_tradnl"/>
        </w:rPr>
        <w:t>T</w:t>
      </w:r>
      <w:r w:rsidRPr="008F43B0">
        <w:rPr>
          <w:rFonts w:ascii="Helvetica" w:hAnsi="Helvetica" w:cs="Arial"/>
          <w:szCs w:val="26"/>
          <w:lang w:eastAsia="es-ES_tradnl"/>
        </w:rPr>
        <w:t xml:space="preserve">rastuzumab (Wonga </w:t>
      </w:r>
      <w:r w:rsidRPr="00ED1136">
        <w:rPr>
          <w:rFonts w:ascii="Helvetica" w:hAnsi="Helvetica" w:cs="Arial"/>
          <w:i/>
          <w:szCs w:val="26"/>
          <w:lang w:eastAsia="es-ES_tradnl"/>
        </w:rPr>
        <w:t>et al.,</w:t>
      </w:r>
      <w:r w:rsidRPr="008F43B0">
        <w:rPr>
          <w:rFonts w:ascii="Helvetica" w:hAnsi="Helvetica" w:cs="Arial"/>
          <w:szCs w:val="26"/>
          <w:lang w:eastAsia="es-ES_tradnl"/>
        </w:rPr>
        <w:t xml:space="preserve"> 2011)</w:t>
      </w:r>
      <w:r w:rsidR="00E16307">
        <w:rPr>
          <w:rFonts w:ascii="Helvetica" w:hAnsi="Helvetica" w:cs="Arial"/>
          <w:szCs w:val="26"/>
          <w:lang w:eastAsia="es-ES_tradnl"/>
        </w:rPr>
        <w:t>.</w:t>
      </w:r>
      <w:r w:rsidRPr="008F43B0">
        <w:rPr>
          <w:rFonts w:ascii="Helvetica" w:hAnsi="Helvetica" w:cs="Arial"/>
          <w:szCs w:val="26"/>
          <w:lang w:eastAsia="es-ES_tradnl"/>
        </w:rPr>
        <w:t xml:space="preserve"> </w:t>
      </w:r>
    </w:p>
    <w:p w:rsidR="00A17183" w:rsidRPr="005B0548" w:rsidRDefault="00A17183" w:rsidP="00E00865">
      <w:pPr>
        <w:spacing w:line="360" w:lineRule="auto"/>
        <w:jc w:val="both"/>
        <w:rPr>
          <w:rFonts w:ascii="Helvetica" w:hAnsi="Helvetica"/>
          <w:bCs/>
        </w:rPr>
      </w:pPr>
      <w:r w:rsidRPr="008F43B0">
        <w:rPr>
          <w:rFonts w:ascii="Helvetica" w:hAnsi="Helvetica"/>
        </w:rPr>
        <w:t>Históricamente el uso de metodologías moleculares estaba asociado a elevados costos, trabajo experimental dispendioso, errores de apreciación del analista y la participación de personal altamente calificado. En la actualidad se dispone de un sinnúmero de tecnologías y procesos automatizados que permiten la estandarización y por ende</w:t>
      </w:r>
      <w:r w:rsidR="0094721B">
        <w:rPr>
          <w:rFonts w:ascii="Helvetica" w:hAnsi="Helvetica"/>
        </w:rPr>
        <w:t>,</w:t>
      </w:r>
      <w:r w:rsidRPr="008F43B0">
        <w:rPr>
          <w:rFonts w:ascii="Helvetica" w:hAnsi="Helvetica"/>
        </w:rPr>
        <w:t xml:space="preserve"> la adopción de muchas técnicas para el diagnóstico de múltiples enfermedades. Al revisar el fundamento de los sistemas de diagnóstico</w:t>
      </w:r>
      <w:r>
        <w:rPr>
          <w:rFonts w:ascii="Helvetica" w:hAnsi="Helvetica"/>
        </w:rPr>
        <w:t>,</w:t>
      </w:r>
      <w:r w:rsidRPr="008F43B0">
        <w:rPr>
          <w:rFonts w:ascii="Helvetica" w:hAnsi="Helvetica"/>
        </w:rPr>
        <w:t xml:space="preserve"> </w:t>
      </w:r>
      <w:r>
        <w:rPr>
          <w:rFonts w:ascii="Helvetica" w:hAnsi="Helvetica"/>
        </w:rPr>
        <w:t>es posible</w:t>
      </w:r>
      <w:r w:rsidRPr="008F43B0">
        <w:rPr>
          <w:rFonts w:ascii="Helvetica" w:hAnsi="Helvetica"/>
        </w:rPr>
        <w:t xml:space="preserve"> constata</w:t>
      </w:r>
      <w:r>
        <w:rPr>
          <w:rFonts w:ascii="Helvetica" w:hAnsi="Helvetica"/>
        </w:rPr>
        <w:t>r</w:t>
      </w:r>
      <w:r w:rsidRPr="008F43B0">
        <w:rPr>
          <w:rFonts w:ascii="Helvetica" w:hAnsi="Helvetica"/>
        </w:rPr>
        <w:t xml:space="preserve"> un cambio sustantivo en </w:t>
      </w:r>
      <w:r>
        <w:rPr>
          <w:rFonts w:ascii="Helvetica" w:hAnsi="Helvetica"/>
        </w:rPr>
        <w:t xml:space="preserve">el diseño y validación de nuevas técnicas que permiten la detección directa o indirecta de una lesión anatomopatológica, en etapas tempranas e idealmente antes de que las manifestaciones clínicas sean evidentes. </w:t>
      </w:r>
      <w:r w:rsidRPr="00EA2A3E">
        <w:rPr>
          <w:rFonts w:ascii="Helvetica" w:hAnsi="Helvetica"/>
        </w:rPr>
        <w:t>Así,</w:t>
      </w:r>
      <w:r>
        <w:rPr>
          <w:rFonts w:ascii="Helvetica" w:hAnsi="Helvetica"/>
        </w:rPr>
        <w:t xml:space="preserve"> las pruebas moleculares se han tornado importantes </w:t>
      </w:r>
      <w:r w:rsidRPr="0070406A">
        <w:rPr>
          <w:rFonts w:ascii="Helvetica" w:hAnsi="Helvetica"/>
          <w:bCs/>
        </w:rPr>
        <w:t xml:space="preserve">para </w:t>
      </w:r>
      <w:r w:rsidR="00E10D47">
        <w:rPr>
          <w:rFonts w:ascii="Helvetica" w:hAnsi="Helvetica"/>
          <w:bCs/>
        </w:rPr>
        <w:t xml:space="preserve">el </w:t>
      </w:r>
      <w:r w:rsidRPr="0070406A">
        <w:rPr>
          <w:rFonts w:ascii="Helvetica" w:hAnsi="Helvetica"/>
          <w:bCs/>
        </w:rPr>
        <w:t>diagnóstico y</w:t>
      </w:r>
      <w:r w:rsidR="00E10D47">
        <w:rPr>
          <w:rFonts w:ascii="Helvetica" w:hAnsi="Helvetica"/>
          <w:bCs/>
        </w:rPr>
        <w:t xml:space="preserve"> la </w:t>
      </w:r>
      <w:r w:rsidRPr="0070406A">
        <w:rPr>
          <w:rFonts w:ascii="Helvetica" w:hAnsi="Helvetica"/>
          <w:bCs/>
        </w:rPr>
        <w:t>susceptibilidad a enfermedades</w:t>
      </w:r>
      <w:r>
        <w:rPr>
          <w:rFonts w:ascii="Helvetica" w:hAnsi="Helvetica"/>
          <w:bCs/>
        </w:rPr>
        <w:t>, en estudios prenatales, en la</w:t>
      </w:r>
      <w:r w:rsidRPr="0070406A">
        <w:rPr>
          <w:rFonts w:ascii="Helvetica" w:hAnsi="Helvetica"/>
          <w:bCs/>
        </w:rPr>
        <w:t xml:space="preserve"> tipificación de tejidos para transplantes de órganos</w:t>
      </w:r>
      <w:r>
        <w:rPr>
          <w:rFonts w:ascii="Helvetica" w:hAnsi="Helvetica"/>
          <w:bCs/>
        </w:rPr>
        <w:t xml:space="preserve"> y en el</w:t>
      </w:r>
      <w:r w:rsidRPr="0070406A">
        <w:rPr>
          <w:rFonts w:ascii="Helvetica" w:hAnsi="Helvetica"/>
          <w:bCs/>
        </w:rPr>
        <w:t xml:space="preserve"> tamizaje para enfermedades hereditarias</w:t>
      </w:r>
      <w:r>
        <w:rPr>
          <w:rFonts w:ascii="Helvetica" w:hAnsi="Helvetica"/>
        </w:rPr>
        <w:t>.</w:t>
      </w:r>
    </w:p>
    <w:p w:rsidR="00A17183" w:rsidRPr="008F43B0" w:rsidRDefault="00A17183" w:rsidP="00E00865">
      <w:pPr>
        <w:spacing w:line="360" w:lineRule="auto"/>
        <w:jc w:val="both"/>
        <w:rPr>
          <w:rFonts w:ascii="Helvetica" w:hAnsi="Helvetica" w:cs="Arial"/>
          <w:lang w:eastAsia="es-ES_tradnl"/>
        </w:rPr>
      </w:pPr>
      <w:r w:rsidRPr="008F43B0">
        <w:rPr>
          <w:rFonts w:ascii="Helvetica" w:hAnsi="Helvetica" w:cs="Arial"/>
          <w:bCs/>
          <w:color w:val="262626"/>
          <w:szCs w:val="26"/>
          <w:lang w:eastAsia="es-ES_tradnl"/>
        </w:rPr>
        <w:lastRenderedPageBreak/>
        <w:t>La importancia del diagnóstico molecular se ve re</w:t>
      </w:r>
      <w:r>
        <w:rPr>
          <w:rFonts w:ascii="Helvetica" w:hAnsi="Helvetica" w:cs="Arial"/>
          <w:bCs/>
          <w:color w:val="262626"/>
          <w:szCs w:val="26"/>
          <w:lang w:eastAsia="es-ES_tradnl"/>
        </w:rPr>
        <w:t>flejada en las ganancias</w:t>
      </w:r>
      <w:r w:rsidR="0008156B">
        <w:rPr>
          <w:rFonts w:ascii="Helvetica" w:hAnsi="Helvetica" w:cs="Arial"/>
          <w:bCs/>
          <w:color w:val="262626"/>
          <w:szCs w:val="26"/>
          <w:lang w:eastAsia="es-ES_tradnl"/>
        </w:rPr>
        <w:t xml:space="preserve"> obtenidas</w:t>
      </w:r>
      <w:r w:rsidRPr="008F43B0">
        <w:rPr>
          <w:rFonts w:ascii="Helvetica" w:hAnsi="Helvetica" w:cs="Arial"/>
          <w:bCs/>
          <w:color w:val="262626"/>
          <w:szCs w:val="26"/>
          <w:lang w:eastAsia="es-ES_tradnl"/>
        </w:rPr>
        <w:t xml:space="preserve"> </w:t>
      </w:r>
      <w:r>
        <w:rPr>
          <w:rFonts w:ascii="Helvetica" w:hAnsi="Helvetica" w:cs="Arial"/>
          <w:bCs/>
          <w:color w:val="262626"/>
          <w:szCs w:val="26"/>
          <w:lang w:eastAsia="es-ES_tradnl"/>
        </w:rPr>
        <w:t xml:space="preserve">a nivel mundial durante el año 2010 y </w:t>
      </w:r>
      <w:r w:rsidRPr="008F43B0">
        <w:rPr>
          <w:rFonts w:ascii="Helvetica" w:hAnsi="Helvetica" w:cs="Arial"/>
          <w:bCs/>
          <w:color w:val="262626"/>
          <w:szCs w:val="26"/>
          <w:lang w:eastAsia="es-ES_tradnl"/>
        </w:rPr>
        <w:t xml:space="preserve">que fueron del orden de US$ 4,079.7 millones y se espera </w:t>
      </w:r>
      <w:r w:rsidR="00036753">
        <w:rPr>
          <w:rFonts w:ascii="Helvetica" w:hAnsi="Helvetica" w:cs="Arial"/>
          <w:bCs/>
          <w:color w:val="262626"/>
          <w:szCs w:val="26"/>
          <w:lang w:eastAsia="es-ES_tradnl"/>
        </w:rPr>
        <w:t xml:space="preserve">que </w:t>
      </w:r>
      <w:r w:rsidRPr="008F43B0">
        <w:rPr>
          <w:rFonts w:ascii="Helvetica" w:hAnsi="Helvetica" w:cs="Arial"/>
          <w:bCs/>
          <w:color w:val="262626"/>
          <w:szCs w:val="26"/>
          <w:lang w:eastAsia="es-ES_tradnl"/>
        </w:rPr>
        <w:t>para el 2014 ascienda a US$ 6,209.8 millones, con un crecimiento anual de mas del 11%. En este mercado uno de los renglones más importantes es el diagnóstico molecular de enfermedades infecciosas que genera alrededor del 60% de las ganancias</w:t>
      </w:r>
      <w:r w:rsidR="00072C74" w:rsidRPr="00EA2A3E">
        <w:rPr>
          <w:rFonts w:ascii="Helvetica" w:hAnsi="Helvetica" w:cs="Arial"/>
          <w:bCs/>
          <w:color w:val="262626"/>
          <w:szCs w:val="26"/>
          <w:lang w:eastAsia="es-ES_tradnl"/>
        </w:rPr>
        <w:t>,</w:t>
      </w:r>
      <w:r w:rsidRPr="008F43B0">
        <w:rPr>
          <w:rFonts w:ascii="Helvetica" w:hAnsi="Helvetica" w:cs="Arial"/>
          <w:bCs/>
          <w:color w:val="262626"/>
          <w:szCs w:val="26"/>
          <w:lang w:eastAsia="es-ES_tradnl"/>
        </w:rPr>
        <w:t xml:space="preserve"> teniendo sus máximos contribuyentes a los sistemas de diagnóstico para detectar el virus de la inmunodeficiencia </w:t>
      </w:r>
      <w:r w:rsidRPr="00EA2A3E">
        <w:rPr>
          <w:rFonts w:ascii="Helvetica" w:hAnsi="Helvetica" w:cs="Arial"/>
          <w:bCs/>
          <w:color w:val="262626"/>
          <w:szCs w:val="26"/>
          <w:lang w:eastAsia="es-ES_tradnl"/>
        </w:rPr>
        <w:t>humana (HIV),</w:t>
      </w:r>
      <w:r w:rsidRPr="008F43B0">
        <w:rPr>
          <w:rFonts w:ascii="Helvetica" w:hAnsi="Helvetica" w:cs="Arial"/>
          <w:bCs/>
          <w:color w:val="262626"/>
          <w:szCs w:val="26"/>
          <w:lang w:eastAsia="es-ES_tradnl"/>
        </w:rPr>
        <w:t xml:space="preserve"> </w:t>
      </w:r>
      <w:r w:rsidRPr="00EA2A3E">
        <w:rPr>
          <w:rFonts w:ascii="Helvetica" w:hAnsi="Helvetica" w:cs="Arial"/>
          <w:bCs/>
          <w:color w:val="262626"/>
          <w:szCs w:val="26"/>
          <w:lang w:eastAsia="es-ES_tradnl"/>
        </w:rPr>
        <w:t xml:space="preserve">virus de la hepatitis B y C (HBV/HCV), </w:t>
      </w:r>
      <w:r w:rsidRPr="00EA2A3E">
        <w:rPr>
          <w:rFonts w:ascii="Helvetica" w:hAnsi="Helvetica" w:cs="Arial"/>
          <w:bCs/>
          <w:i/>
          <w:iCs/>
          <w:color w:val="262626"/>
          <w:szCs w:val="26"/>
          <w:lang w:eastAsia="es-ES_tradnl"/>
        </w:rPr>
        <w:t>Chlamydia trachomatis</w:t>
      </w:r>
      <w:r w:rsidRPr="00EA2A3E">
        <w:rPr>
          <w:rFonts w:ascii="Helvetica" w:hAnsi="Helvetica" w:cs="Arial"/>
          <w:lang w:eastAsia="es-ES_tradnl"/>
        </w:rPr>
        <w:t xml:space="preserve"> y</w:t>
      </w:r>
      <w:r w:rsidRPr="008F43B0">
        <w:rPr>
          <w:rFonts w:ascii="Helvetica" w:hAnsi="Helvetica" w:cs="Arial"/>
          <w:lang w:eastAsia="es-ES_tradnl"/>
        </w:rPr>
        <w:t xml:space="preserve"> </w:t>
      </w:r>
      <w:r w:rsidRPr="007477E9">
        <w:rPr>
          <w:rFonts w:ascii="Helvetica" w:hAnsi="Helvetica" w:cs="Arial"/>
          <w:i/>
          <w:iCs/>
          <w:lang w:eastAsia="es-ES_tradnl"/>
        </w:rPr>
        <w:t xml:space="preserve">Neisseria </w:t>
      </w:r>
      <w:r w:rsidRPr="00EA2A3E">
        <w:rPr>
          <w:rFonts w:ascii="Helvetica" w:hAnsi="Helvetica" w:cs="Arial"/>
          <w:i/>
          <w:iCs/>
          <w:lang w:eastAsia="es-ES_tradnl"/>
        </w:rPr>
        <w:t xml:space="preserve">gonorrhoea </w:t>
      </w:r>
      <w:r w:rsidRPr="00EA2A3E">
        <w:rPr>
          <w:rFonts w:ascii="Helvetica" w:hAnsi="Helvetica" w:cs="Arial"/>
          <w:lang w:eastAsia="es-ES_tradnl"/>
        </w:rPr>
        <w:t>(CT/NG) y</w:t>
      </w:r>
      <w:r w:rsidRPr="008F43B0">
        <w:rPr>
          <w:rFonts w:ascii="Helvetica" w:hAnsi="Helvetica" w:cs="Arial"/>
          <w:lang w:eastAsia="es-ES_tradnl"/>
        </w:rPr>
        <w:t xml:space="preserve"> el virus del papiloma </w:t>
      </w:r>
      <w:r w:rsidRPr="00EA2A3E">
        <w:rPr>
          <w:rFonts w:ascii="Helvetica" w:hAnsi="Helvetica" w:cs="Arial"/>
          <w:lang w:eastAsia="es-ES_tradnl"/>
        </w:rPr>
        <w:t>humano (HPV).</w:t>
      </w:r>
      <w:r w:rsidRPr="008F43B0">
        <w:rPr>
          <w:rFonts w:ascii="Helvetica" w:hAnsi="Helvetica" w:cs="Arial"/>
          <w:lang w:eastAsia="es-ES_tradnl"/>
        </w:rPr>
        <w:t xml:space="preserve"> Además de estas </w:t>
      </w:r>
      <w:r w:rsidRPr="00EA2A3E">
        <w:rPr>
          <w:rFonts w:ascii="Helvetica" w:hAnsi="Helvetica" w:cs="Arial"/>
          <w:lang w:eastAsia="es-ES_tradnl"/>
        </w:rPr>
        <w:t>pruebas</w:t>
      </w:r>
      <w:r w:rsidR="00DE0247" w:rsidRPr="00EA2A3E">
        <w:rPr>
          <w:rFonts w:ascii="Helvetica" w:hAnsi="Helvetica" w:cs="Arial"/>
          <w:lang w:eastAsia="es-ES_tradnl"/>
        </w:rPr>
        <w:t>,</w:t>
      </w:r>
      <w:r w:rsidRPr="008F43B0">
        <w:rPr>
          <w:rFonts w:ascii="Helvetica" w:hAnsi="Helvetica" w:cs="Arial"/>
          <w:lang w:eastAsia="es-ES_tradnl"/>
        </w:rPr>
        <w:t xml:space="preserve"> es importante mencionar la  introducción</w:t>
      </w:r>
      <w:r>
        <w:rPr>
          <w:rFonts w:ascii="Helvetica" w:hAnsi="Helvetica" w:cs="Arial"/>
          <w:lang w:eastAsia="es-ES_tradnl"/>
        </w:rPr>
        <w:t xml:space="preserve"> </w:t>
      </w:r>
      <w:r w:rsidRPr="008F43B0">
        <w:rPr>
          <w:rFonts w:ascii="Helvetica" w:hAnsi="Helvetica" w:cs="Arial"/>
          <w:lang w:eastAsia="es-ES_tradnl"/>
        </w:rPr>
        <w:t>de pruebas moleculares para muchos de los agentes cau</w:t>
      </w:r>
      <w:r w:rsidRPr="00EA2A3E">
        <w:rPr>
          <w:rFonts w:ascii="Helvetica" w:hAnsi="Helvetica" w:cs="Arial"/>
          <w:lang w:eastAsia="es-ES_tradnl"/>
        </w:rPr>
        <w:t>sale</w:t>
      </w:r>
      <w:r w:rsidRPr="008F43B0">
        <w:rPr>
          <w:rFonts w:ascii="Helvetica" w:hAnsi="Helvetica" w:cs="Arial"/>
          <w:lang w:eastAsia="es-ES_tradnl"/>
        </w:rPr>
        <w:t xml:space="preserve">s de infecciones como es el caso del virus del Nilo, </w:t>
      </w:r>
      <w:r w:rsidRPr="008F43B0">
        <w:rPr>
          <w:rFonts w:ascii="Helvetica" w:hAnsi="Helvetica" w:cs="Arial"/>
          <w:i/>
          <w:iCs/>
          <w:lang w:eastAsia="es-ES_tradnl"/>
        </w:rPr>
        <w:t xml:space="preserve">Clostridium </w:t>
      </w:r>
      <w:r w:rsidRPr="00EA2A3E">
        <w:rPr>
          <w:rFonts w:ascii="Helvetica" w:hAnsi="Helvetica" w:cs="Arial"/>
          <w:i/>
          <w:iCs/>
          <w:lang w:eastAsia="es-ES_tradnl"/>
        </w:rPr>
        <w:t>difficile</w:t>
      </w:r>
      <w:r w:rsidRPr="00EA2A3E">
        <w:rPr>
          <w:rFonts w:ascii="Helvetica" w:hAnsi="Helvetica" w:cs="Arial"/>
          <w:lang w:eastAsia="es-ES_tradnl"/>
        </w:rPr>
        <w:t xml:space="preserve"> (C-diff),</w:t>
      </w:r>
      <w:r w:rsidRPr="008F43B0">
        <w:rPr>
          <w:rFonts w:ascii="Helvetica" w:hAnsi="Helvetica" w:cs="Arial"/>
          <w:lang w:eastAsia="es-ES_tradnl"/>
        </w:rPr>
        <w:t xml:space="preserve"> </w:t>
      </w:r>
      <w:r w:rsidRPr="008F43B0">
        <w:rPr>
          <w:rFonts w:ascii="Helvetica" w:hAnsi="Helvetica" w:cs="Arial"/>
          <w:i/>
          <w:iCs/>
          <w:lang w:eastAsia="es-ES_tradnl"/>
        </w:rPr>
        <w:t>Staphylococcus aureus</w:t>
      </w:r>
      <w:r w:rsidRPr="008F43B0">
        <w:rPr>
          <w:rFonts w:ascii="Helvetica" w:hAnsi="Helvetica" w:cs="Arial"/>
          <w:lang w:eastAsia="es-ES_tradnl"/>
        </w:rPr>
        <w:t xml:space="preserve"> meticilino </w:t>
      </w:r>
      <w:r w:rsidRPr="00EA2A3E">
        <w:rPr>
          <w:rFonts w:ascii="Helvetica" w:hAnsi="Helvetica" w:cs="Arial"/>
          <w:lang w:eastAsia="es-ES_tradnl"/>
        </w:rPr>
        <w:t>resistente (MRSA),</w:t>
      </w:r>
      <w:r w:rsidRPr="008F43B0">
        <w:rPr>
          <w:rFonts w:ascii="Helvetica" w:hAnsi="Helvetica" w:cs="Arial"/>
          <w:lang w:eastAsia="es-ES_tradnl"/>
        </w:rPr>
        <w:t xml:space="preserve"> virus respiratorio sincitial, influenza, neumonia, </w:t>
      </w:r>
      <w:r w:rsidRPr="008F43B0">
        <w:rPr>
          <w:rFonts w:ascii="Helvetica" w:hAnsi="Helvetica" w:cs="Arial"/>
          <w:i/>
          <w:iCs/>
          <w:lang w:eastAsia="es-ES_tradnl"/>
        </w:rPr>
        <w:t>Trichomonas vaginalis</w:t>
      </w:r>
      <w:r>
        <w:rPr>
          <w:rFonts w:ascii="Helvetica" w:hAnsi="Helvetica" w:cs="Arial"/>
          <w:lang w:eastAsia="es-ES_tradnl"/>
        </w:rPr>
        <w:t>, M</w:t>
      </w:r>
      <w:r w:rsidRPr="008F43B0">
        <w:rPr>
          <w:rFonts w:ascii="Helvetica" w:hAnsi="Helvetica" w:cs="Arial"/>
          <w:lang w:eastAsia="es-ES_tradnl"/>
        </w:rPr>
        <w:t>ycoplasma genital, virus del herpes simplex, norovirus, rotavirus, tuberculosis y meningitis, entre otros (</w:t>
      </w:r>
      <w:r w:rsidRPr="008F43B0">
        <w:rPr>
          <w:rFonts w:ascii="Helvetica" w:hAnsi="Helvetica"/>
        </w:rPr>
        <w:t>Witonsky</w:t>
      </w:r>
      <w:r w:rsidRPr="008F43B0">
        <w:rPr>
          <w:rFonts w:ascii="Helvetica" w:hAnsi="Helvetica"/>
          <w:b/>
        </w:rPr>
        <w:t>,</w:t>
      </w:r>
      <w:r w:rsidRPr="008F43B0">
        <w:rPr>
          <w:rFonts w:ascii="Helvetica" w:hAnsi="Helvetica"/>
        </w:rPr>
        <w:t xml:space="preserve"> 2011). </w:t>
      </w:r>
    </w:p>
    <w:p w:rsidR="00A17183" w:rsidRPr="008F43B0" w:rsidRDefault="00A17183" w:rsidP="00E00865">
      <w:pPr>
        <w:spacing w:line="360" w:lineRule="auto"/>
        <w:jc w:val="both"/>
        <w:rPr>
          <w:rFonts w:ascii="Helvetica" w:hAnsi="Helvetica" w:cs="Arial"/>
          <w:b/>
          <w:bCs/>
          <w:color w:val="262626"/>
          <w:szCs w:val="26"/>
          <w:lang w:eastAsia="es-ES_tradnl"/>
        </w:rPr>
      </w:pPr>
    </w:p>
    <w:p w:rsidR="00A17183" w:rsidRDefault="00A17183" w:rsidP="00E00865">
      <w:pPr>
        <w:spacing w:line="360" w:lineRule="auto"/>
        <w:jc w:val="both"/>
        <w:rPr>
          <w:rFonts w:ascii="Helvetica" w:hAnsi="Helvetica" w:cs="Arial"/>
          <w:b/>
          <w:bCs/>
          <w:color w:val="262626"/>
          <w:szCs w:val="26"/>
          <w:lang w:eastAsia="es-ES_tradnl"/>
        </w:rPr>
      </w:pPr>
      <w:r w:rsidRPr="00351DEB">
        <w:rPr>
          <w:rFonts w:ascii="Helvetica" w:hAnsi="Helvetica" w:cs="Arial"/>
          <w:b/>
          <w:bCs/>
          <w:color w:val="262626"/>
          <w:szCs w:val="26"/>
          <w:lang w:eastAsia="es-ES_tradnl"/>
        </w:rPr>
        <w:t xml:space="preserve">Fármacos </w:t>
      </w:r>
      <w:r w:rsidR="00351DEB">
        <w:rPr>
          <w:rFonts w:ascii="Helvetica" w:hAnsi="Helvetica" w:cs="Arial"/>
          <w:b/>
          <w:bCs/>
          <w:color w:val="262626"/>
          <w:szCs w:val="26"/>
          <w:lang w:eastAsia="es-ES_tradnl"/>
        </w:rPr>
        <w:t>b</w:t>
      </w:r>
      <w:r w:rsidRPr="00351DEB">
        <w:rPr>
          <w:rFonts w:ascii="Helvetica" w:hAnsi="Helvetica" w:cs="Arial"/>
          <w:b/>
          <w:bCs/>
          <w:color w:val="262626"/>
          <w:szCs w:val="26"/>
          <w:lang w:eastAsia="es-ES_tradnl"/>
        </w:rPr>
        <w:t>iotecnológicos</w:t>
      </w:r>
    </w:p>
    <w:p w:rsidR="00A17183" w:rsidRDefault="00A17183" w:rsidP="00E00865">
      <w:pPr>
        <w:spacing w:after="0" w:line="360" w:lineRule="auto"/>
        <w:jc w:val="both"/>
        <w:rPr>
          <w:rFonts w:ascii="Helvetica" w:hAnsi="Helvetica"/>
        </w:rPr>
      </w:pPr>
      <w:r w:rsidRPr="008F43B0">
        <w:rPr>
          <w:rFonts w:ascii="Helvetica" w:hAnsi="Helvetica"/>
        </w:rPr>
        <w:t xml:space="preserve">Las alternativas terapéuticas de las que disponemos hoy se deben, en gran medida, a la capacidad y aciertos de los investigadores que, desde sus proyectos bien sea públicos o privados, permiten la coexistencia </w:t>
      </w:r>
      <w:r w:rsidR="006215D7">
        <w:rPr>
          <w:rFonts w:ascii="Helvetica" w:hAnsi="Helvetica"/>
        </w:rPr>
        <w:t xml:space="preserve">de </w:t>
      </w:r>
      <w:r w:rsidRPr="008F43B0">
        <w:rPr>
          <w:rFonts w:ascii="Helvetica" w:hAnsi="Helvetica"/>
        </w:rPr>
        <w:t>diversas perspectivas y enfoques para diseñar y desarrollar nuevos fármacos</w:t>
      </w:r>
      <w:r>
        <w:rPr>
          <w:rFonts w:ascii="Helvetica" w:hAnsi="Helvetica"/>
        </w:rPr>
        <w:t xml:space="preserve"> tomando en consideración el conocimiento disponible sobre </w:t>
      </w:r>
      <w:r w:rsidRPr="008F43B0">
        <w:rPr>
          <w:rFonts w:ascii="Helvetica" w:hAnsi="Helvetica"/>
        </w:rPr>
        <w:t xml:space="preserve">los mecanismos moleculares asociados </w:t>
      </w:r>
      <w:r>
        <w:rPr>
          <w:rFonts w:ascii="Helvetica" w:hAnsi="Helvetica"/>
        </w:rPr>
        <w:t>a las enfermedades</w:t>
      </w:r>
      <w:r w:rsidRPr="008F43B0">
        <w:rPr>
          <w:rFonts w:ascii="Helvetica" w:hAnsi="Helvetica"/>
        </w:rPr>
        <w:t>. A partir del aporte al conocimiento de diferentes ciencias y disciplinas tales como</w:t>
      </w:r>
      <w:r w:rsidR="009F457F">
        <w:rPr>
          <w:rFonts w:ascii="Helvetica" w:hAnsi="Helvetica"/>
        </w:rPr>
        <w:t>:</w:t>
      </w:r>
      <w:r w:rsidRPr="008F43B0">
        <w:rPr>
          <w:rFonts w:ascii="Helvetica" w:hAnsi="Helvetica"/>
        </w:rPr>
        <w:t xml:space="preserve"> </w:t>
      </w:r>
      <w:r>
        <w:rPr>
          <w:rFonts w:ascii="Helvetica" w:hAnsi="Helvetica"/>
        </w:rPr>
        <w:t xml:space="preserve">la </w:t>
      </w:r>
      <w:r w:rsidRPr="008F43B0">
        <w:rPr>
          <w:rFonts w:ascii="Helvetica" w:hAnsi="Helvetica"/>
        </w:rPr>
        <w:t>biología celular y molecular, genética</w:t>
      </w:r>
      <w:r>
        <w:rPr>
          <w:rFonts w:ascii="Helvetica" w:hAnsi="Helvetica"/>
        </w:rPr>
        <w:t xml:space="preserve"> molecular</w:t>
      </w:r>
      <w:r w:rsidRPr="008F43B0">
        <w:rPr>
          <w:rFonts w:ascii="Helvetica" w:hAnsi="Helvetica"/>
        </w:rPr>
        <w:t>, microbiología, bioquímica,</w:t>
      </w:r>
      <w:r>
        <w:rPr>
          <w:rFonts w:ascii="Helvetica" w:hAnsi="Helvetica"/>
        </w:rPr>
        <w:t xml:space="preserve"> </w:t>
      </w:r>
      <w:r w:rsidRPr="008F43B0">
        <w:rPr>
          <w:rFonts w:ascii="Helvetica" w:hAnsi="Helvetica"/>
        </w:rPr>
        <w:t xml:space="preserve">embriología ingeniería genética, </w:t>
      </w:r>
      <w:r>
        <w:rPr>
          <w:rFonts w:ascii="Helvetica" w:hAnsi="Helvetica"/>
        </w:rPr>
        <w:t xml:space="preserve">ingeniería de proteínas, </w:t>
      </w:r>
      <w:r w:rsidRPr="006F69D2">
        <w:rPr>
          <w:rFonts w:ascii="Helvetica" w:hAnsi="Helvetica"/>
        </w:rPr>
        <w:t>genómica estructural y funcional</w:t>
      </w:r>
      <w:r>
        <w:rPr>
          <w:rFonts w:ascii="Helvetica" w:hAnsi="Helvetica"/>
        </w:rPr>
        <w:t xml:space="preserve">, </w:t>
      </w:r>
      <w:r w:rsidRPr="006F69D2">
        <w:rPr>
          <w:rFonts w:ascii="Helvetica" w:hAnsi="Helvetica"/>
        </w:rPr>
        <w:t>proteómica metabolómica y transcriptómica</w:t>
      </w:r>
      <w:r>
        <w:rPr>
          <w:rFonts w:ascii="Helvetica" w:hAnsi="Helvetica"/>
        </w:rPr>
        <w:t xml:space="preserve">, biología computacional, bioinformática y desde luego la biotecnología </w:t>
      </w:r>
      <w:r w:rsidRPr="008F43B0">
        <w:rPr>
          <w:rFonts w:ascii="Helvetica" w:hAnsi="Helvetica"/>
        </w:rPr>
        <w:t>ha</w:t>
      </w:r>
      <w:r>
        <w:rPr>
          <w:rFonts w:ascii="Helvetica" w:hAnsi="Helvetica"/>
        </w:rPr>
        <w:t>n contribuido y</w:t>
      </w:r>
      <w:r w:rsidRPr="008F43B0">
        <w:rPr>
          <w:rFonts w:ascii="Helvetica" w:hAnsi="Helvetica"/>
        </w:rPr>
        <w:t xml:space="preserve"> fortalecido </w:t>
      </w:r>
      <w:r>
        <w:rPr>
          <w:rFonts w:ascii="Helvetica" w:hAnsi="Helvetica"/>
        </w:rPr>
        <w:t>el área de la</w:t>
      </w:r>
      <w:r w:rsidRPr="008F43B0">
        <w:rPr>
          <w:rFonts w:ascii="Helvetica" w:hAnsi="Helvetica"/>
        </w:rPr>
        <w:t xml:space="preserve"> salud</w:t>
      </w:r>
      <w:r>
        <w:rPr>
          <w:rFonts w:ascii="Helvetica" w:hAnsi="Helvetica"/>
        </w:rPr>
        <w:t xml:space="preserve"> a través del diseño y producción de sistemas de diagnóstico molecular, obtención de vacunas y de biofarmacéuticos, terapia génica, celular y tisular</w:t>
      </w:r>
      <w:r w:rsidRPr="008F43B0">
        <w:rPr>
          <w:rFonts w:ascii="Helvetica" w:hAnsi="Helvetica"/>
        </w:rPr>
        <w:t>.</w:t>
      </w:r>
      <w:r>
        <w:rPr>
          <w:rFonts w:ascii="Helvetica" w:hAnsi="Helvetica"/>
        </w:rPr>
        <w:t xml:space="preserve"> </w:t>
      </w:r>
    </w:p>
    <w:p w:rsidR="00A17183" w:rsidRDefault="00A17183" w:rsidP="00E00865">
      <w:pPr>
        <w:spacing w:line="360" w:lineRule="auto"/>
        <w:jc w:val="both"/>
        <w:rPr>
          <w:rFonts w:ascii="Helvetica" w:hAnsi="Helvetica" w:cs="Arial"/>
          <w:b/>
          <w:bCs/>
          <w:color w:val="262626"/>
          <w:szCs w:val="26"/>
          <w:lang w:eastAsia="es-ES_tradnl"/>
        </w:rPr>
      </w:pPr>
    </w:p>
    <w:p w:rsidR="00A17183" w:rsidRPr="009D3430" w:rsidRDefault="00A17183" w:rsidP="00E00865">
      <w:pPr>
        <w:spacing w:line="360" w:lineRule="auto"/>
        <w:jc w:val="both"/>
        <w:rPr>
          <w:rFonts w:ascii="Helvetica" w:hAnsi="Helvetica"/>
        </w:rPr>
      </w:pPr>
      <w:r>
        <w:rPr>
          <w:rFonts w:ascii="Helvetica" w:hAnsi="Helvetica" w:cs="Arial"/>
          <w:bCs/>
          <w:color w:val="262626"/>
          <w:szCs w:val="26"/>
          <w:lang w:eastAsia="es-ES_tradnl"/>
        </w:rPr>
        <w:lastRenderedPageBreak/>
        <w:t>E</w:t>
      </w:r>
      <w:r w:rsidRPr="00B777A0">
        <w:rPr>
          <w:rFonts w:ascii="Helvetica" w:hAnsi="Helvetica" w:cs="Arial"/>
          <w:bCs/>
          <w:color w:val="262626"/>
          <w:szCs w:val="26"/>
          <w:lang w:eastAsia="es-ES_tradnl"/>
        </w:rPr>
        <w:t xml:space="preserve">stablecidas las variantes polimórficas </w:t>
      </w:r>
      <w:r>
        <w:rPr>
          <w:rFonts w:ascii="Helvetica" w:hAnsi="Helvetica" w:cs="Arial"/>
          <w:bCs/>
          <w:color w:val="262626"/>
          <w:szCs w:val="26"/>
          <w:lang w:eastAsia="es-ES_tradnl"/>
        </w:rPr>
        <w:t>y su</w:t>
      </w:r>
      <w:r w:rsidRPr="00B777A0">
        <w:rPr>
          <w:rFonts w:ascii="Helvetica" w:hAnsi="Helvetica" w:cs="Arial"/>
          <w:bCs/>
          <w:color w:val="262626"/>
          <w:szCs w:val="26"/>
          <w:lang w:eastAsia="es-ES_tradnl"/>
        </w:rPr>
        <w:t xml:space="preserve"> </w:t>
      </w:r>
      <w:r>
        <w:rPr>
          <w:rFonts w:ascii="Helvetica" w:hAnsi="Helvetica" w:cs="Arial"/>
          <w:bCs/>
          <w:color w:val="262626"/>
          <w:szCs w:val="26"/>
          <w:lang w:eastAsia="es-ES_tradnl"/>
        </w:rPr>
        <w:t xml:space="preserve">relación con </w:t>
      </w:r>
      <w:r w:rsidRPr="00B777A0">
        <w:rPr>
          <w:rFonts w:ascii="Helvetica" w:hAnsi="Helvetica" w:cs="Arial"/>
          <w:bCs/>
          <w:color w:val="262626"/>
          <w:szCs w:val="26"/>
          <w:lang w:eastAsia="es-ES_tradnl"/>
        </w:rPr>
        <w:t xml:space="preserve">una </w:t>
      </w:r>
      <w:r>
        <w:rPr>
          <w:rFonts w:ascii="Helvetica" w:hAnsi="Helvetica" w:cs="Arial"/>
          <w:bCs/>
          <w:color w:val="262626"/>
          <w:szCs w:val="26"/>
          <w:lang w:eastAsia="es-ES_tradnl"/>
        </w:rPr>
        <w:t xml:space="preserve">determinada </w:t>
      </w:r>
      <w:r w:rsidRPr="00B777A0">
        <w:rPr>
          <w:rFonts w:ascii="Helvetica" w:hAnsi="Helvetica" w:cs="Arial"/>
          <w:bCs/>
          <w:color w:val="262626"/>
          <w:szCs w:val="26"/>
          <w:lang w:eastAsia="es-ES_tradnl"/>
        </w:rPr>
        <w:t>enfermedad</w:t>
      </w:r>
      <w:r>
        <w:rPr>
          <w:rFonts w:ascii="Helvetica" w:hAnsi="Helvetica" w:cs="Arial"/>
          <w:bCs/>
          <w:color w:val="262626"/>
          <w:szCs w:val="26"/>
          <w:lang w:eastAsia="es-ES_tradnl"/>
        </w:rPr>
        <w:t>,</w:t>
      </w:r>
      <w:r w:rsidRPr="00B777A0">
        <w:rPr>
          <w:rFonts w:ascii="Helvetica" w:hAnsi="Helvetica" w:cs="Arial"/>
          <w:bCs/>
          <w:color w:val="262626"/>
          <w:szCs w:val="26"/>
          <w:lang w:eastAsia="es-ES_tradnl"/>
        </w:rPr>
        <w:t xml:space="preserve"> es decir</w:t>
      </w:r>
      <w:r w:rsidR="001E012F">
        <w:rPr>
          <w:rFonts w:ascii="Helvetica" w:hAnsi="Helvetica" w:cs="Arial"/>
          <w:bCs/>
          <w:color w:val="262626"/>
          <w:szCs w:val="26"/>
          <w:lang w:eastAsia="es-ES_tradnl"/>
        </w:rPr>
        <w:t>,</w:t>
      </w:r>
      <w:r w:rsidRPr="00B777A0">
        <w:rPr>
          <w:rFonts w:ascii="Helvetica" w:hAnsi="Helvetica" w:cs="Arial"/>
          <w:bCs/>
          <w:color w:val="262626"/>
          <w:szCs w:val="26"/>
          <w:lang w:eastAsia="es-ES_tradnl"/>
        </w:rPr>
        <w:t xml:space="preserve"> teniendo un diagnóstico predictivo</w:t>
      </w:r>
      <w:r>
        <w:rPr>
          <w:rFonts w:ascii="Helvetica" w:hAnsi="Helvetica" w:cs="Arial"/>
          <w:bCs/>
          <w:color w:val="262626"/>
          <w:szCs w:val="26"/>
          <w:lang w:eastAsia="es-ES_tradnl"/>
        </w:rPr>
        <w:t>,</w:t>
      </w:r>
      <w:r w:rsidRPr="00B777A0">
        <w:rPr>
          <w:rFonts w:ascii="Helvetica" w:hAnsi="Helvetica" w:cs="Arial"/>
          <w:bCs/>
          <w:color w:val="262626"/>
          <w:szCs w:val="26"/>
          <w:lang w:eastAsia="es-ES_tradnl"/>
        </w:rPr>
        <w:t xml:space="preserve"> es posible </w:t>
      </w:r>
      <w:r>
        <w:rPr>
          <w:rFonts w:ascii="Helvetica" w:hAnsi="Helvetica" w:cs="Arial"/>
          <w:bCs/>
          <w:color w:val="262626"/>
          <w:szCs w:val="26"/>
          <w:lang w:eastAsia="es-ES_tradnl"/>
        </w:rPr>
        <w:t>diseñar</w:t>
      </w:r>
      <w:r w:rsidRPr="00B777A0">
        <w:rPr>
          <w:rFonts w:ascii="Helvetica" w:hAnsi="Helvetica" w:cs="Arial"/>
          <w:bCs/>
          <w:color w:val="262626"/>
          <w:szCs w:val="26"/>
          <w:lang w:eastAsia="es-ES_tradnl"/>
        </w:rPr>
        <w:t xml:space="preserve"> un tratamiento</w:t>
      </w:r>
      <w:r>
        <w:rPr>
          <w:rFonts w:ascii="Helvetica" w:hAnsi="Helvetica" w:cs="Arial"/>
          <w:bCs/>
          <w:color w:val="262626"/>
          <w:szCs w:val="26"/>
          <w:lang w:eastAsia="es-ES_tradnl"/>
        </w:rPr>
        <w:t xml:space="preserve"> específico</w:t>
      </w:r>
      <w:r w:rsidRPr="00B777A0">
        <w:rPr>
          <w:rFonts w:ascii="Helvetica" w:hAnsi="Helvetica" w:cs="Arial"/>
          <w:bCs/>
          <w:color w:val="262626"/>
          <w:szCs w:val="26"/>
          <w:lang w:eastAsia="es-ES_tradnl"/>
        </w:rPr>
        <w:t xml:space="preserve"> con los fármacos más eficaces.</w:t>
      </w:r>
      <w:r>
        <w:rPr>
          <w:rFonts w:ascii="Helvetica" w:hAnsi="Helvetica" w:cs="Arial"/>
          <w:bCs/>
          <w:color w:val="262626"/>
          <w:szCs w:val="26"/>
          <w:lang w:eastAsia="es-ES_tradnl"/>
        </w:rPr>
        <w:t xml:space="preserve"> </w:t>
      </w:r>
      <w:r w:rsidRPr="008F43B0">
        <w:rPr>
          <w:rFonts w:ascii="Helvetica" w:hAnsi="Helvetica"/>
        </w:rPr>
        <w:t>La secuenciación del genoma humano y su anotación, ha</w:t>
      </w:r>
      <w:r>
        <w:rPr>
          <w:rFonts w:ascii="Helvetica" w:hAnsi="Helvetica"/>
        </w:rPr>
        <w:t>n generado información valiosa y el surgimiento de la</w:t>
      </w:r>
      <w:r w:rsidRPr="008F43B0">
        <w:rPr>
          <w:rFonts w:ascii="Helvetica" w:hAnsi="Helvetica"/>
        </w:rPr>
        <w:t xml:space="preserve">  medicina genómica. </w:t>
      </w:r>
      <w:r>
        <w:rPr>
          <w:rFonts w:ascii="Helvetica" w:hAnsi="Helvetica"/>
          <w:lang w:val="es-ES"/>
        </w:rPr>
        <w:t>Si se considera que a</w:t>
      </w:r>
      <w:r w:rsidRPr="008F43B0">
        <w:rPr>
          <w:rFonts w:ascii="Helvetica" w:hAnsi="Helvetica"/>
          <w:lang w:val="es-ES"/>
        </w:rPr>
        <w:t>lrededor del 80% de las enfermedades tienen una base</w:t>
      </w:r>
      <w:r w:rsidRPr="008F43B0">
        <w:rPr>
          <w:rFonts w:ascii="Helvetica" w:hAnsi="Helvetica"/>
        </w:rPr>
        <w:t xml:space="preserve"> </w:t>
      </w:r>
      <w:r w:rsidRPr="008F43B0">
        <w:rPr>
          <w:rFonts w:ascii="Helvetica" w:hAnsi="Helvetica"/>
          <w:lang w:val="es-ES"/>
        </w:rPr>
        <w:t>genética</w:t>
      </w:r>
      <w:r>
        <w:rPr>
          <w:rFonts w:ascii="Helvetica" w:hAnsi="Helvetica"/>
          <w:lang w:val="es-ES"/>
        </w:rPr>
        <w:t>,</w:t>
      </w:r>
      <w:r w:rsidRPr="008F43B0">
        <w:rPr>
          <w:rFonts w:ascii="Helvetica" w:hAnsi="Helvetica"/>
          <w:lang w:val="es-ES"/>
        </w:rPr>
        <w:t xml:space="preserve"> </w:t>
      </w:r>
      <w:r>
        <w:rPr>
          <w:rFonts w:ascii="Helvetica" w:hAnsi="Helvetica"/>
          <w:lang w:val="es-ES"/>
        </w:rPr>
        <w:t>sin desconocer l</w:t>
      </w:r>
      <w:r w:rsidRPr="008F43B0">
        <w:rPr>
          <w:rFonts w:ascii="Helvetica" w:hAnsi="Helvetica"/>
          <w:lang w:val="es-ES"/>
        </w:rPr>
        <w:t xml:space="preserve">a </w:t>
      </w:r>
      <w:r>
        <w:rPr>
          <w:rFonts w:ascii="Helvetica" w:hAnsi="Helvetica"/>
          <w:lang w:val="es-ES"/>
        </w:rPr>
        <w:t xml:space="preserve">decisiva  influencia </w:t>
      </w:r>
      <w:r w:rsidRPr="008F43B0">
        <w:rPr>
          <w:rFonts w:ascii="Helvetica" w:hAnsi="Helvetica"/>
          <w:lang w:val="es-ES"/>
        </w:rPr>
        <w:t>de los factores ambientales capaces de incentivar su aparición en personas genéticamente susceptibles</w:t>
      </w:r>
      <w:r>
        <w:rPr>
          <w:rFonts w:ascii="Helvetica" w:hAnsi="Helvetica"/>
          <w:lang w:val="es-ES"/>
        </w:rPr>
        <w:t>,</w:t>
      </w:r>
      <w:r w:rsidRPr="008F43B0">
        <w:rPr>
          <w:rFonts w:ascii="Helvetica" w:hAnsi="Helvetica"/>
          <w:lang w:val="es-ES"/>
        </w:rPr>
        <w:t xml:space="preserve"> </w:t>
      </w:r>
      <w:r>
        <w:rPr>
          <w:rFonts w:ascii="Helvetica" w:hAnsi="Helvetica"/>
          <w:lang w:val="es-ES"/>
        </w:rPr>
        <w:t>ha sido posible</w:t>
      </w:r>
      <w:r w:rsidRPr="008F43B0">
        <w:rPr>
          <w:rFonts w:ascii="Helvetica" w:hAnsi="Helvetica"/>
          <w:lang w:val="es-ES"/>
        </w:rPr>
        <w:t xml:space="preserve"> identifica</w:t>
      </w:r>
      <w:r>
        <w:rPr>
          <w:rFonts w:ascii="Helvetica" w:hAnsi="Helvetica"/>
          <w:lang w:val="es-ES"/>
        </w:rPr>
        <w:t>r</w:t>
      </w:r>
      <w:r w:rsidRPr="008F43B0">
        <w:rPr>
          <w:rFonts w:ascii="Helvetica" w:hAnsi="Helvetica"/>
          <w:lang w:val="es-ES"/>
        </w:rPr>
        <w:t xml:space="preserve"> múltiples gen</w:t>
      </w:r>
      <w:r>
        <w:rPr>
          <w:rFonts w:ascii="Helvetica" w:hAnsi="Helvetica"/>
          <w:lang w:val="es-ES"/>
        </w:rPr>
        <w:t>es</w:t>
      </w:r>
      <w:r w:rsidRPr="008F43B0">
        <w:rPr>
          <w:rFonts w:ascii="Helvetica" w:hAnsi="Helvetica"/>
          <w:lang w:val="es-ES"/>
        </w:rPr>
        <w:t xml:space="preserve"> asociados a diferentes patologías como </w:t>
      </w:r>
      <w:r>
        <w:rPr>
          <w:rFonts w:ascii="Helvetica" w:hAnsi="Helvetica"/>
          <w:lang w:val="es-ES"/>
        </w:rPr>
        <w:t xml:space="preserve">por ejemplo </w:t>
      </w:r>
      <w:r w:rsidRPr="008F43B0">
        <w:rPr>
          <w:rFonts w:ascii="Helvetica" w:hAnsi="Helvetica"/>
          <w:lang w:val="es-ES"/>
        </w:rPr>
        <w:t>el</w:t>
      </w:r>
      <w:r>
        <w:rPr>
          <w:rFonts w:ascii="Helvetica" w:hAnsi="Helvetica"/>
        </w:rPr>
        <w:t xml:space="preserve"> Alzhéimer, distintos tipos de cáncer, </w:t>
      </w:r>
      <w:r w:rsidRPr="008F43B0">
        <w:rPr>
          <w:rFonts w:ascii="Helvetica" w:hAnsi="Helvetica"/>
        </w:rPr>
        <w:t>dia</w:t>
      </w:r>
      <w:r>
        <w:rPr>
          <w:rFonts w:ascii="Helvetica" w:hAnsi="Helvetica"/>
        </w:rPr>
        <w:t xml:space="preserve">betes, Parkinson </w:t>
      </w:r>
      <w:r w:rsidRPr="008F43B0">
        <w:rPr>
          <w:rFonts w:ascii="Helvetica" w:hAnsi="Helvetica"/>
        </w:rPr>
        <w:t>e hipertensión</w:t>
      </w:r>
      <w:r>
        <w:rPr>
          <w:rFonts w:ascii="Helvetica" w:hAnsi="Helvetica"/>
        </w:rPr>
        <w:t>,</w:t>
      </w:r>
      <w:r w:rsidRPr="008F43B0">
        <w:rPr>
          <w:rFonts w:ascii="Helvetica" w:hAnsi="Helvetica"/>
        </w:rPr>
        <w:t xml:space="preserve"> </w:t>
      </w:r>
      <w:r>
        <w:rPr>
          <w:rFonts w:ascii="Helvetica" w:hAnsi="Helvetica"/>
        </w:rPr>
        <w:t>entre otras. En particular en el caso del Alzhéimer</w:t>
      </w:r>
      <w:r w:rsidR="001E012F">
        <w:rPr>
          <w:rFonts w:ascii="Helvetica" w:hAnsi="Helvetica"/>
        </w:rPr>
        <w:t>,</w:t>
      </w:r>
      <w:r>
        <w:rPr>
          <w:rFonts w:ascii="Helvetica" w:hAnsi="Helvetica"/>
        </w:rPr>
        <w:t xml:space="preserve"> se ha podido asociar la presencia del gen</w:t>
      </w:r>
      <w:r w:rsidR="001E012F">
        <w:rPr>
          <w:rFonts w:ascii="Helvetica" w:hAnsi="Helvetica"/>
        </w:rPr>
        <w:t xml:space="preserve"> </w:t>
      </w:r>
      <w:r>
        <w:rPr>
          <w:rFonts w:ascii="Helvetica" w:hAnsi="Helvetica"/>
        </w:rPr>
        <w:t>que codifica para la apolipoproteína Ee4 (</w:t>
      </w:r>
      <w:r w:rsidRPr="0092623F">
        <w:rPr>
          <w:rFonts w:ascii="Helvetica" w:hAnsi="Helvetica"/>
          <w:i/>
        </w:rPr>
        <w:t>APOE-e4</w:t>
      </w:r>
      <w:r>
        <w:rPr>
          <w:rFonts w:ascii="Helvetica" w:hAnsi="Helvetica"/>
        </w:rPr>
        <w:t xml:space="preserve">), localizado en el cromosoma </w:t>
      </w:r>
      <w:r w:rsidRPr="00786CEB">
        <w:rPr>
          <w:rFonts w:ascii="Helvetica" w:hAnsi="Helvetica"/>
        </w:rPr>
        <w:t>19q13</w:t>
      </w:r>
      <w:r>
        <w:rPr>
          <w:rFonts w:ascii="Helvetica" w:hAnsi="Helvetica"/>
        </w:rPr>
        <w:t>, como un factor de riesgo para el desarrollo de esta enfermedad (</w:t>
      </w:r>
      <w:r w:rsidRPr="00786CEB">
        <w:rPr>
          <w:rFonts w:ascii="Helvetica" w:hAnsi="Helvetica"/>
        </w:rPr>
        <w:t>Ilyas Kamboh</w:t>
      </w:r>
      <w:r>
        <w:rPr>
          <w:rFonts w:ascii="Helvetica" w:hAnsi="Helvetica"/>
        </w:rPr>
        <w:t>, 2004)</w:t>
      </w:r>
      <w:r w:rsidR="001E012F">
        <w:rPr>
          <w:rFonts w:ascii="Helvetica" w:hAnsi="Helvetica"/>
        </w:rPr>
        <w:t>.</w:t>
      </w:r>
      <w:r>
        <w:rPr>
          <w:rFonts w:ascii="Helvetica" w:hAnsi="Helvetica"/>
        </w:rPr>
        <w:t xml:space="preserve"> </w:t>
      </w:r>
    </w:p>
    <w:p w:rsidR="00A17183" w:rsidRDefault="00A17183" w:rsidP="00E00865">
      <w:pPr>
        <w:spacing w:after="0" w:line="360" w:lineRule="auto"/>
        <w:jc w:val="both"/>
        <w:rPr>
          <w:rFonts w:ascii="Helvetica" w:hAnsi="Helvetica"/>
        </w:rPr>
      </w:pPr>
    </w:p>
    <w:p w:rsidR="00A17183" w:rsidRDefault="00A17183" w:rsidP="00E00865">
      <w:pPr>
        <w:spacing w:after="0" w:line="360" w:lineRule="auto"/>
        <w:jc w:val="both"/>
        <w:rPr>
          <w:rFonts w:ascii="Helvetica" w:hAnsi="Helvetica"/>
          <w:bCs/>
          <w:lang w:val="es-ES"/>
        </w:rPr>
      </w:pPr>
      <w:r>
        <w:rPr>
          <w:rFonts w:ascii="Helvetica" w:hAnsi="Helvetica"/>
          <w:bCs/>
          <w:lang w:val="es-ES"/>
        </w:rPr>
        <w:t>El impacto de l</w:t>
      </w:r>
      <w:r w:rsidRPr="005853ED">
        <w:rPr>
          <w:rFonts w:ascii="Helvetica" w:hAnsi="Helvetica"/>
          <w:bCs/>
          <w:lang w:val="es-ES"/>
        </w:rPr>
        <w:t xml:space="preserve">a biotecnología en </w:t>
      </w:r>
      <w:r>
        <w:rPr>
          <w:rFonts w:ascii="Helvetica" w:hAnsi="Helvetica"/>
          <w:bCs/>
          <w:lang w:val="es-ES"/>
        </w:rPr>
        <w:t xml:space="preserve">el campo de la </w:t>
      </w:r>
      <w:r w:rsidRPr="005853ED">
        <w:rPr>
          <w:rFonts w:ascii="Helvetica" w:hAnsi="Helvetica"/>
          <w:bCs/>
          <w:lang w:val="es-ES"/>
        </w:rPr>
        <w:t>salud abarca desde la biotecnología tradicional, fundamentada en procesos de fermentación para la</w:t>
      </w:r>
      <w:r w:rsidR="00EF0EC1">
        <w:rPr>
          <w:rFonts w:ascii="Helvetica" w:hAnsi="Helvetica"/>
          <w:bCs/>
          <w:lang w:val="es-ES"/>
        </w:rPr>
        <w:t xml:space="preserve"> </w:t>
      </w:r>
      <w:r w:rsidRPr="005853ED">
        <w:rPr>
          <w:rFonts w:ascii="Helvetica" w:hAnsi="Helvetica"/>
          <w:bCs/>
          <w:lang w:val="es-ES"/>
        </w:rPr>
        <w:t>obt</w:t>
      </w:r>
      <w:r>
        <w:rPr>
          <w:rFonts w:ascii="Helvetica" w:hAnsi="Helvetica"/>
          <w:bCs/>
          <w:lang w:val="es-ES"/>
        </w:rPr>
        <w:t xml:space="preserve">ención de alimentos, considerados como </w:t>
      </w:r>
      <w:r w:rsidRPr="005853ED">
        <w:rPr>
          <w:rFonts w:ascii="Helvetica" w:hAnsi="Helvetica"/>
          <w:bCs/>
          <w:lang w:val="es-ES"/>
        </w:rPr>
        <w:t>los principales promotores de la salud, hasta la biotecnología moderna, basada en la utilización de las nuevas técnicas del DNA recombinante</w:t>
      </w:r>
      <w:r>
        <w:rPr>
          <w:rFonts w:ascii="Helvetica" w:hAnsi="Helvetica"/>
          <w:bCs/>
          <w:lang w:val="es-ES"/>
        </w:rPr>
        <w:t xml:space="preserve">, </w:t>
      </w:r>
      <w:r w:rsidRPr="009F41AF">
        <w:rPr>
          <w:rFonts w:ascii="Helvetica" w:hAnsi="Helvetica"/>
          <w:bCs/>
          <w:lang w:val="es-ES"/>
        </w:rPr>
        <w:t>fago display</w:t>
      </w:r>
      <w:r>
        <w:rPr>
          <w:rFonts w:ascii="Helvetica" w:hAnsi="Helvetica"/>
          <w:bCs/>
          <w:lang w:val="es-ES"/>
        </w:rPr>
        <w:t xml:space="preserve"> e ingeni</w:t>
      </w:r>
      <w:r w:rsidR="009F41AF">
        <w:rPr>
          <w:rFonts w:ascii="Helvetica" w:hAnsi="Helvetica"/>
          <w:bCs/>
          <w:lang w:val="es-ES"/>
        </w:rPr>
        <w:t>e</w:t>
      </w:r>
      <w:r>
        <w:rPr>
          <w:rFonts w:ascii="Helvetica" w:hAnsi="Helvetica"/>
          <w:bCs/>
          <w:lang w:val="es-ES"/>
        </w:rPr>
        <w:t xml:space="preserve">ría de proteínas, para la obtención de fármacos biotecnológicos, células madre </w:t>
      </w:r>
      <w:r w:rsidRPr="005853ED">
        <w:rPr>
          <w:rFonts w:ascii="Helvetica" w:hAnsi="Helvetica"/>
          <w:bCs/>
          <w:lang w:val="es-ES"/>
        </w:rPr>
        <w:t>y los nuevos</w:t>
      </w:r>
      <w:r>
        <w:rPr>
          <w:rFonts w:ascii="Helvetica" w:hAnsi="Helvetica"/>
          <w:bCs/>
          <w:lang w:val="es-ES"/>
        </w:rPr>
        <w:t xml:space="preserve"> métodos de cultivo de células, </w:t>
      </w:r>
      <w:r w:rsidRPr="005853ED">
        <w:rPr>
          <w:rFonts w:ascii="Helvetica" w:hAnsi="Helvetica"/>
          <w:bCs/>
          <w:lang w:val="es-ES"/>
        </w:rPr>
        <w:t>tejidos</w:t>
      </w:r>
      <w:r>
        <w:rPr>
          <w:rFonts w:ascii="Helvetica" w:hAnsi="Helvetica"/>
          <w:bCs/>
          <w:lang w:val="es-ES"/>
        </w:rPr>
        <w:t xml:space="preserve"> y órganos</w:t>
      </w:r>
      <w:r w:rsidRPr="005853ED">
        <w:rPr>
          <w:rFonts w:ascii="Helvetica" w:hAnsi="Helvetica"/>
          <w:bCs/>
          <w:lang w:val="es-ES"/>
        </w:rPr>
        <w:t>.</w:t>
      </w:r>
    </w:p>
    <w:p w:rsidR="00A17183" w:rsidRDefault="00A17183" w:rsidP="00E00865">
      <w:pPr>
        <w:spacing w:after="0" w:line="360" w:lineRule="auto"/>
        <w:jc w:val="both"/>
        <w:rPr>
          <w:rFonts w:ascii="Helvetica" w:hAnsi="Helvetica"/>
          <w:bCs/>
          <w:lang w:val="es-ES"/>
        </w:rPr>
      </w:pPr>
    </w:p>
    <w:p w:rsidR="00A17183" w:rsidRPr="00642A94" w:rsidRDefault="00A17183" w:rsidP="00E00865">
      <w:pPr>
        <w:spacing w:line="360" w:lineRule="auto"/>
        <w:jc w:val="both"/>
        <w:rPr>
          <w:rFonts w:ascii="Helvetica" w:hAnsi="Helvetica"/>
        </w:rPr>
      </w:pPr>
      <w:r>
        <w:rPr>
          <w:rFonts w:ascii="Helvetica" w:hAnsi="Helvetica"/>
          <w:bCs/>
          <w:lang w:val="es-ES"/>
        </w:rPr>
        <w:t xml:space="preserve">Fármacos como las hormonas (insulina, </w:t>
      </w:r>
      <w:r w:rsidRPr="008F43B0">
        <w:rPr>
          <w:rFonts w:ascii="Helvetica" w:hAnsi="Helvetica"/>
        </w:rPr>
        <w:t xml:space="preserve">glucagon, somatotropina, </w:t>
      </w:r>
      <w:r>
        <w:rPr>
          <w:rFonts w:ascii="Helvetica" w:hAnsi="Helvetica"/>
        </w:rPr>
        <w:t>gonadotropinas, folículo estimulante)</w:t>
      </w:r>
      <w:r>
        <w:rPr>
          <w:rFonts w:ascii="Helvetica" w:hAnsi="Helvetica"/>
          <w:bCs/>
          <w:lang w:val="es-ES"/>
        </w:rPr>
        <w:t xml:space="preserve">, interleukinas (IL-2, IL-11), interferones (interferón </w:t>
      </w:r>
      <w:r w:rsidRPr="002E0199">
        <w:rPr>
          <w:rFonts w:ascii="Symbol" w:hAnsi="Symbol"/>
          <w:bCs/>
          <w:lang w:val="es-ES"/>
        </w:rPr>
        <w:t></w:t>
      </w:r>
      <w:r>
        <w:rPr>
          <w:rFonts w:ascii="Helvetica" w:hAnsi="Helvetica"/>
          <w:bCs/>
          <w:lang w:val="es-ES"/>
        </w:rPr>
        <w:t xml:space="preserve"> -1a, interferón </w:t>
      </w:r>
      <w:r>
        <w:rPr>
          <w:rFonts w:ascii="Symbol" w:hAnsi="Symbol"/>
          <w:bCs/>
          <w:lang w:val="es-ES"/>
        </w:rPr>
        <w:t></w:t>
      </w:r>
      <w:r>
        <w:rPr>
          <w:rFonts w:ascii="Helvetica" w:hAnsi="Helvetica"/>
          <w:bCs/>
          <w:lang w:val="es-ES"/>
        </w:rPr>
        <w:t>), factores de la coagulación (</w:t>
      </w:r>
      <w:r>
        <w:rPr>
          <w:rFonts w:ascii="Helvetica" w:hAnsi="Helvetica"/>
        </w:rPr>
        <w:t xml:space="preserve">Factor VIII, </w:t>
      </w:r>
      <w:r w:rsidRPr="008F43B0">
        <w:rPr>
          <w:rFonts w:ascii="Helvetica" w:hAnsi="Helvetica"/>
        </w:rPr>
        <w:t>IX</w:t>
      </w:r>
      <w:r>
        <w:rPr>
          <w:rFonts w:ascii="Helvetica" w:hAnsi="Helvetica"/>
          <w:bCs/>
          <w:lang w:val="es-ES"/>
        </w:rPr>
        <w:t xml:space="preserve"> y X)</w:t>
      </w:r>
      <w:r w:rsidR="00CE670E">
        <w:rPr>
          <w:rFonts w:ascii="Helvetica" w:hAnsi="Helvetica"/>
          <w:bCs/>
          <w:lang w:val="es-ES"/>
        </w:rPr>
        <w:t>,</w:t>
      </w:r>
      <w:r>
        <w:rPr>
          <w:rFonts w:ascii="Helvetica" w:hAnsi="Helvetica"/>
          <w:bCs/>
          <w:lang w:val="es-ES"/>
        </w:rPr>
        <w:t xml:space="preserve"> agentes trobolíticos (factor activador de plasminógeno tisular</w:t>
      </w:r>
      <w:r w:rsidR="00CE670E">
        <w:rPr>
          <w:rFonts w:ascii="Helvetica" w:hAnsi="Helvetica"/>
          <w:bCs/>
          <w:lang w:val="es-ES"/>
        </w:rPr>
        <w:t>-</w:t>
      </w:r>
      <w:r>
        <w:rPr>
          <w:rFonts w:ascii="Helvetica" w:hAnsi="Helvetica"/>
          <w:bCs/>
          <w:lang w:val="es-ES"/>
        </w:rPr>
        <w:t xml:space="preserve">tPA), </w:t>
      </w:r>
      <w:r w:rsidR="00CE670E">
        <w:rPr>
          <w:rFonts w:ascii="Helvetica" w:hAnsi="Helvetica"/>
        </w:rPr>
        <w:t>f</w:t>
      </w:r>
      <w:r w:rsidRPr="008F43B0">
        <w:rPr>
          <w:rFonts w:ascii="Helvetica" w:hAnsi="Helvetica"/>
        </w:rPr>
        <w:t>actores de crecimiento hematopoy</w:t>
      </w:r>
      <w:r>
        <w:rPr>
          <w:rFonts w:ascii="Helvetica" w:hAnsi="Helvetica"/>
        </w:rPr>
        <w:t xml:space="preserve">éticos (eritropoietina </w:t>
      </w:r>
      <w:r>
        <w:rPr>
          <w:rFonts w:ascii="Symbol" w:hAnsi="Symbol"/>
          <w:bCs/>
          <w:lang w:val="es-ES"/>
        </w:rPr>
        <w:t></w:t>
      </w:r>
      <w:r w:rsidRPr="008F43B0">
        <w:rPr>
          <w:rFonts w:ascii="Helvetica" w:hAnsi="Helvetica"/>
        </w:rPr>
        <w:t xml:space="preserve">, </w:t>
      </w:r>
      <w:r>
        <w:rPr>
          <w:rFonts w:ascii="Helvetica" w:hAnsi="Helvetica"/>
        </w:rPr>
        <w:t xml:space="preserve">darbepoietina, </w:t>
      </w:r>
      <w:r>
        <w:rPr>
          <w:rFonts w:ascii="Helvetica" w:hAnsi="Helvetica"/>
          <w:bCs/>
          <w:lang w:val="es-ES"/>
        </w:rPr>
        <w:t xml:space="preserve">factores estimulantes de colonias), </w:t>
      </w:r>
      <w:r>
        <w:rPr>
          <w:rFonts w:ascii="Helvetica" w:hAnsi="Helvetica"/>
          <w:bCs/>
        </w:rPr>
        <w:t>vacunas (a</w:t>
      </w:r>
      <w:r w:rsidRPr="00F71F88">
        <w:rPr>
          <w:rFonts w:ascii="Helvetica" w:hAnsi="Helvetica"/>
          <w:bCs/>
        </w:rPr>
        <w:t>ntígeno de</w:t>
      </w:r>
      <w:r>
        <w:rPr>
          <w:rFonts w:ascii="Helvetica" w:hAnsi="Helvetica"/>
          <w:bCs/>
        </w:rPr>
        <w:t xml:space="preserve"> superficie del virus de la h</w:t>
      </w:r>
      <w:r w:rsidRPr="00F71F88">
        <w:rPr>
          <w:rFonts w:ascii="Helvetica" w:hAnsi="Helvetica"/>
          <w:bCs/>
        </w:rPr>
        <w:t>epatitis B)</w:t>
      </w:r>
      <w:r>
        <w:rPr>
          <w:rFonts w:ascii="Helvetica" w:hAnsi="Helvetica"/>
          <w:bCs/>
        </w:rPr>
        <w:t>, anticuerpos monoclonales (bevacizumab, golimumab, ustekinumab, ofatumumab, canakinumab, tocilizumab, denosumab), enzimas (Velaglucerasa alfa, alglucosidasa alfa, pegloticasa)</w:t>
      </w:r>
      <w:r w:rsidR="00CE670E">
        <w:rPr>
          <w:rFonts w:ascii="Helvetica" w:hAnsi="Helvetica"/>
          <w:bCs/>
        </w:rPr>
        <w:t>,</w:t>
      </w:r>
      <w:r>
        <w:rPr>
          <w:rFonts w:ascii="Helvetica" w:hAnsi="Helvetica"/>
          <w:bCs/>
        </w:rPr>
        <w:t xml:space="preserve"> proteínas de fusión (etanercept, abatacept)</w:t>
      </w:r>
      <w:r>
        <w:rPr>
          <w:rFonts w:ascii="Helvetica" w:hAnsi="Helvetica"/>
        </w:rPr>
        <w:t>, s</w:t>
      </w:r>
      <w:r>
        <w:rPr>
          <w:rFonts w:ascii="Helvetica" w:hAnsi="Helvetica"/>
          <w:bCs/>
          <w:lang w:val="es-ES"/>
        </w:rPr>
        <w:t xml:space="preserve">on obtenidos industrialmente por medio de técnicas </w:t>
      </w:r>
      <w:r>
        <w:rPr>
          <w:rFonts w:ascii="Helvetica" w:hAnsi="Helvetica"/>
          <w:bCs/>
          <w:lang w:val="es-ES"/>
        </w:rPr>
        <w:lastRenderedPageBreak/>
        <w:t>de ADN recombinante, utilizando como sistemas de expresión células procariotas (</w:t>
      </w:r>
      <w:r w:rsidRPr="00F70FF4">
        <w:rPr>
          <w:rFonts w:ascii="Helvetica" w:hAnsi="Helvetica"/>
          <w:bCs/>
          <w:i/>
          <w:lang w:val="es-ES"/>
        </w:rPr>
        <w:t>Escherichia coli</w:t>
      </w:r>
      <w:r>
        <w:rPr>
          <w:rFonts w:ascii="Helvetica" w:hAnsi="Helvetica"/>
          <w:bCs/>
          <w:lang w:val="es-ES"/>
        </w:rPr>
        <w:t>); levaduras (</w:t>
      </w:r>
      <w:r w:rsidRPr="00F70FF4">
        <w:rPr>
          <w:rFonts w:ascii="Helvetica" w:hAnsi="Helvetica"/>
          <w:bCs/>
          <w:i/>
          <w:lang w:val="es-ES"/>
        </w:rPr>
        <w:t>Pichia pastoris, Saccharomyces cerevisiae, Hansenula polymorpha</w:t>
      </w:r>
      <w:r>
        <w:rPr>
          <w:rFonts w:ascii="Helvetica" w:hAnsi="Helvetica"/>
          <w:bCs/>
          <w:lang w:val="es-ES"/>
        </w:rPr>
        <w:t>); células de insecto</w:t>
      </w:r>
      <w:r w:rsidR="00CE670E">
        <w:rPr>
          <w:rFonts w:ascii="Helvetica" w:hAnsi="Helvetica"/>
          <w:bCs/>
          <w:lang w:val="es-ES"/>
        </w:rPr>
        <w:t>s</w:t>
      </w:r>
      <w:r>
        <w:rPr>
          <w:rFonts w:ascii="Helvetica" w:hAnsi="Helvetica"/>
          <w:bCs/>
          <w:lang w:val="es-ES"/>
        </w:rPr>
        <w:t>; células de mamíferos (células de ovario de hamster chino –CHO, celulas de de riñón de hamster bebé –BHK);  plantas de tabaco transgénicas y animales transgénicos (cabras).</w:t>
      </w:r>
    </w:p>
    <w:p w:rsidR="00A17183" w:rsidRDefault="00A17183" w:rsidP="00E00865">
      <w:pPr>
        <w:spacing w:line="360" w:lineRule="auto"/>
        <w:jc w:val="both"/>
        <w:rPr>
          <w:rFonts w:ascii="Helvetica" w:hAnsi="Helvetica"/>
        </w:rPr>
      </w:pPr>
      <w:r>
        <w:rPr>
          <w:rFonts w:ascii="Helvetica" w:hAnsi="Helvetica"/>
        </w:rPr>
        <w:t>Varios fármacos biotecnológicos están en desarrollo y posiblemente ingresen al mercado en el 2012, algunos de ellos son: Pegaptanib para el tratamiento de edema macular diabético; NicVAx para dejar de fumar; laquinimod para el tratamiento de la esclerosis múltiple; pasireotide como terapia en enfermedad de Cushing; taliglucerasa alfa, enfermedad de Gaucher; aflibercept intravitreal, degeneración macular relacionada con la edad; ruxolitinib desórdenes mieloproliferativos, entre otros (Peng, 2011).</w:t>
      </w:r>
    </w:p>
    <w:p w:rsidR="00A17183" w:rsidRDefault="00A17183" w:rsidP="00E00865">
      <w:pPr>
        <w:spacing w:line="360" w:lineRule="auto"/>
        <w:jc w:val="both"/>
        <w:rPr>
          <w:rFonts w:ascii="Helvetica" w:hAnsi="Helvetica"/>
        </w:rPr>
      </w:pPr>
      <w:r>
        <w:rPr>
          <w:rFonts w:ascii="Helvetica" w:hAnsi="Helvetica"/>
        </w:rPr>
        <w:t>Una mención especial merece</w:t>
      </w:r>
      <w:r w:rsidR="00EB3F47">
        <w:rPr>
          <w:rFonts w:ascii="Helvetica" w:hAnsi="Helvetica"/>
        </w:rPr>
        <w:t>n</w:t>
      </w:r>
      <w:r>
        <w:rPr>
          <w:rFonts w:ascii="Helvetica" w:hAnsi="Helvetica"/>
        </w:rPr>
        <w:t xml:space="preserve"> las investigaciones que se adelantan en </w:t>
      </w:r>
      <w:r w:rsidRPr="008F43B0">
        <w:rPr>
          <w:rFonts w:ascii="Helvetica" w:hAnsi="Helvetica"/>
        </w:rPr>
        <w:t>las células madre</w:t>
      </w:r>
      <w:r>
        <w:rPr>
          <w:rFonts w:ascii="Helvetica" w:hAnsi="Helvetica"/>
        </w:rPr>
        <w:t>,</w:t>
      </w:r>
      <w:r w:rsidRPr="008F43B0">
        <w:rPr>
          <w:rFonts w:ascii="Helvetica" w:hAnsi="Helvetica"/>
        </w:rPr>
        <w:t xml:space="preserve"> </w:t>
      </w:r>
      <w:r>
        <w:rPr>
          <w:rFonts w:ascii="Helvetica" w:hAnsi="Helvetica"/>
        </w:rPr>
        <w:t xml:space="preserve">que </w:t>
      </w:r>
      <w:r w:rsidRPr="008F43B0">
        <w:rPr>
          <w:rFonts w:ascii="Helvetica" w:hAnsi="Helvetica"/>
        </w:rPr>
        <w:t>han</w:t>
      </w:r>
      <w:r>
        <w:rPr>
          <w:rFonts w:ascii="Helvetica" w:hAnsi="Helvetica"/>
        </w:rPr>
        <w:t xml:space="preserve"> generado un entusiasmo creciente y están</w:t>
      </w:r>
      <w:r w:rsidRPr="008F43B0">
        <w:rPr>
          <w:rFonts w:ascii="Helvetica" w:hAnsi="Helvetica"/>
        </w:rPr>
        <w:t xml:space="preserve"> revolucionando </w:t>
      </w:r>
      <w:r>
        <w:rPr>
          <w:rFonts w:ascii="Helvetica" w:hAnsi="Helvetica"/>
        </w:rPr>
        <w:t xml:space="preserve">el escenario </w:t>
      </w:r>
      <w:r w:rsidRPr="00437355">
        <w:rPr>
          <w:rFonts w:ascii="Helvetica" w:hAnsi="Helvetica"/>
        </w:rPr>
        <w:t xml:space="preserve">de </w:t>
      </w:r>
      <w:r w:rsidR="00EB3F47" w:rsidRPr="00437355">
        <w:rPr>
          <w:rFonts w:ascii="Helvetica" w:hAnsi="Helvetica"/>
        </w:rPr>
        <w:t xml:space="preserve">la </w:t>
      </w:r>
      <w:r w:rsidRPr="00437355">
        <w:rPr>
          <w:rFonts w:ascii="Helvetica" w:hAnsi="Helvetica"/>
        </w:rPr>
        <w:t>salud</w:t>
      </w:r>
      <w:r>
        <w:rPr>
          <w:rFonts w:ascii="Helvetica" w:hAnsi="Helvetica"/>
        </w:rPr>
        <w:t xml:space="preserve"> hacia la medicina regenerativa.  </w:t>
      </w:r>
    </w:p>
    <w:p w:rsidR="00A17183" w:rsidRPr="002E27CD" w:rsidRDefault="00A17183" w:rsidP="00E00865">
      <w:pPr>
        <w:spacing w:line="360" w:lineRule="auto"/>
        <w:jc w:val="both"/>
        <w:rPr>
          <w:rFonts w:ascii="Helvetica" w:hAnsi="Helvetica" w:cs="Arial"/>
          <w:lang w:eastAsia="es-ES_tradnl"/>
        </w:rPr>
      </w:pPr>
      <w:r>
        <w:rPr>
          <w:rFonts w:ascii="Helvetica" w:hAnsi="Helvetica"/>
          <w:bCs/>
        </w:rPr>
        <w:t>En cuanto al diseño y desarrollo de herramientas bioinformáticas en salud</w:t>
      </w:r>
      <w:r w:rsidR="00110762">
        <w:rPr>
          <w:rFonts w:ascii="Helvetica" w:hAnsi="Helvetica"/>
          <w:bCs/>
        </w:rPr>
        <w:t>,</w:t>
      </w:r>
      <w:r>
        <w:rPr>
          <w:rFonts w:ascii="Helvetica" w:hAnsi="Helvetica"/>
          <w:bCs/>
        </w:rPr>
        <w:t xml:space="preserve"> i</w:t>
      </w:r>
      <w:r w:rsidRPr="008F43B0">
        <w:rPr>
          <w:rFonts w:ascii="Helvetica" w:hAnsi="Helvetica"/>
          <w:bCs/>
        </w:rPr>
        <w:t>nvestigadores del Van Andel Research Institute (VARI)</w:t>
      </w:r>
      <w:r>
        <w:rPr>
          <w:rFonts w:ascii="Helvetica" w:hAnsi="Helvetica"/>
          <w:bCs/>
        </w:rPr>
        <w:t xml:space="preserve"> </w:t>
      </w:r>
      <w:r w:rsidRPr="008F43B0">
        <w:rPr>
          <w:rFonts w:ascii="Helvetica" w:hAnsi="Helvetica"/>
          <w:bCs/>
        </w:rPr>
        <w:t>han establecido un cambio de paradigma en salud, al evaluar el uso de un modelo computacional  predictivo basado en los</w:t>
      </w:r>
      <w:r>
        <w:rPr>
          <w:rFonts w:ascii="Helvetica" w:hAnsi="Helvetica"/>
          <w:bCs/>
        </w:rPr>
        <w:t xml:space="preserve"> perfiles de expresión del mRNA,</w:t>
      </w:r>
      <w:r w:rsidRPr="008F43B0">
        <w:rPr>
          <w:rFonts w:ascii="Helvetica" w:hAnsi="Helvetica"/>
          <w:bCs/>
        </w:rPr>
        <w:t xml:space="preserve"> de biopsias de neuroblastoma</w:t>
      </w:r>
      <w:r>
        <w:rPr>
          <w:rFonts w:ascii="Helvetica" w:hAnsi="Helvetica"/>
          <w:bCs/>
        </w:rPr>
        <w:t>, con la finalidad de apoyar la toma</w:t>
      </w:r>
      <w:r w:rsidRPr="008F43B0">
        <w:rPr>
          <w:rFonts w:ascii="Helvetica" w:hAnsi="Helvetica"/>
          <w:bCs/>
        </w:rPr>
        <w:t xml:space="preserve"> </w:t>
      </w:r>
      <w:r>
        <w:rPr>
          <w:rFonts w:ascii="Helvetica" w:hAnsi="Helvetica"/>
          <w:bCs/>
        </w:rPr>
        <w:t xml:space="preserve">decisiones terapéuticas, </w:t>
      </w:r>
      <w:r w:rsidRPr="008F43B0">
        <w:rPr>
          <w:rFonts w:ascii="Helvetica" w:hAnsi="Helvetica"/>
          <w:bCs/>
        </w:rPr>
        <w:t>en tiempo real</w:t>
      </w:r>
      <w:r>
        <w:rPr>
          <w:rFonts w:ascii="Helvetica" w:hAnsi="Helvetica"/>
          <w:bCs/>
        </w:rPr>
        <w:t>, para</w:t>
      </w:r>
      <w:r w:rsidRPr="008F43B0">
        <w:rPr>
          <w:rFonts w:ascii="Helvetica" w:hAnsi="Helvetica"/>
          <w:bCs/>
        </w:rPr>
        <w:t xml:space="preserve"> pacientes pediátricos con </w:t>
      </w:r>
      <w:r>
        <w:rPr>
          <w:rFonts w:ascii="Helvetica" w:hAnsi="Helvetica"/>
          <w:bCs/>
        </w:rPr>
        <w:t xml:space="preserve">esta patología. Estos análisis incluyen: </w:t>
      </w:r>
      <w:r w:rsidR="00B268D2">
        <w:rPr>
          <w:rFonts w:ascii="Helvetica" w:hAnsi="Helvetica"/>
          <w:bCs/>
        </w:rPr>
        <w:t>e</w:t>
      </w:r>
      <w:r w:rsidRPr="008F43B0">
        <w:rPr>
          <w:rFonts w:ascii="Helvetica" w:hAnsi="Helvetica"/>
          <w:bCs/>
        </w:rPr>
        <w:t>xpresión de biomarcadores</w:t>
      </w:r>
      <w:r>
        <w:rPr>
          <w:rFonts w:ascii="Helvetica" w:hAnsi="Helvetica"/>
          <w:bCs/>
        </w:rPr>
        <w:t xml:space="preserve"> y</w:t>
      </w:r>
      <w:r w:rsidRPr="008F43B0">
        <w:rPr>
          <w:rFonts w:ascii="Helvetica" w:hAnsi="Helvetica"/>
          <w:bCs/>
        </w:rPr>
        <w:t xml:space="preserve"> de blancos de fármacos, actividad de las redes de señalización </w:t>
      </w:r>
      <w:r>
        <w:rPr>
          <w:rFonts w:ascii="Helvetica" w:hAnsi="Helvetica"/>
          <w:bCs/>
        </w:rPr>
        <w:t>relacionadas con la patología y análisis</w:t>
      </w:r>
      <w:r w:rsidRPr="008F43B0">
        <w:rPr>
          <w:rFonts w:ascii="Helvetica" w:hAnsi="Helvetica"/>
          <w:bCs/>
        </w:rPr>
        <w:t xml:space="preserve"> de la </w:t>
      </w:r>
      <w:r w:rsidRPr="002E27CD">
        <w:rPr>
          <w:rFonts w:ascii="Helvetica" w:hAnsi="Helvetica"/>
          <w:bCs/>
        </w:rPr>
        <w:t>respuesta y sensibilidad de cada fármaco disponible para el tratamiento. En la construcción del modelo, de los 182 compuestos aprobados por la FDA, se incluyeron  aquellos que tenían establecidas dosis pediátricas. El resultado de esta prueba piloto fue la propuesta de un plan de tratamiento individualizado, que fue validado y aprobado por el cuerpo médico. El diseño de esta plataforma contó con la colaboración de médicos, farmacéuticos, genetistas,</w:t>
      </w:r>
      <w:r w:rsidR="007E2308">
        <w:rPr>
          <w:rFonts w:ascii="Helvetica" w:hAnsi="Helvetica"/>
          <w:bCs/>
        </w:rPr>
        <w:t xml:space="preserve"> </w:t>
      </w:r>
      <w:r w:rsidRPr="002E27CD">
        <w:rPr>
          <w:rFonts w:ascii="Helvetica" w:hAnsi="Helvetica"/>
          <w:bCs/>
        </w:rPr>
        <w:t>clínicos y profesionales de las ciencias de la computación, encargados de seleccionar, almacenar, analizar y perfilar los datos para el diseño y construcción de este sistema computacional (</w:t>
      </w:r>
      <w:r w:rsidRPr="002E27CD">
        <w:rPr>
          <w:rFonts w:ascii="Helvetica" w:hAnsi="Helvetica" w:cs="Arial"/>
          <w:lang w:eastAsia="es-ES_tradnl"/>
        </w:rPr>
        <w:t xml:space="preserve">Dimind, 2011). </w:t>
      </w:r>
    </w:p>
    <w:p w:rsidR="00A17183" w:rsidRPr="002E27CD" w:rsidRDefault="00A17183" w:rsidP="00E00865">
      <w:pPr>
        <w:spacing w:line="360" w:lineRule="auto"/>
        <w:jc w:val="both"/>
        <w:rPr>
          <w:rFonts w:ascii="Helvetica" w:hAnsi="Helvetica"/>
        </w:rPr>
      </w:pPr>
      <w:r w:rsidRPr="002E27CD">
        <w:rPr>
          <w:rFonts w:ascii="Helvetica" w:hAnsi="Helvetica"/>
          <w:bCs/>
        </w:rPr>
        <w:lastRenderedPageBreak/>
        <w:t>De cara al futuro y desde el trabajo interdisciplinario que es inherente a la biotecnología, es posible consolidar nuevas utopías, vislumbrar nichos de oportunidades, como a</w:t>
      </w:r>
      <w:r w:rsidRPr="002E27CD">
        <w:rPr>
          <w:rFonts w:ascii="Helvetica" w:hAnsi="Helvetica"/>
        </w:rPr>
        <w:t>limentos que funcionen como vacunas</w:t>
      </w:r>
      <w:r w:rsidR="00EF317C">
        <w:rPr>
          <w:rFonts w:ascii="Helvetica" w:hAnsi="Helvetica"/>
        </w:rPr>
        <w:t>,</w:t>
      </w:r>
      <w:r w:rsidRPr="002E27CD">
        <w:rPr>
          <w:rFonts w:ascii="Helvetica" w:hAnsi="Helvetica"/>
        </w:rPr>
        <w:t xml:space="preserve"> por ejemplo</w:t>
      </w:r>
      <w:r w:rsidR="00EF317C">
        <w:rPr>
          <w:rFonts w:ascii="Helvetica" w:hAnsi="Helvetica"/>
        </w:rPr>
        <w:t xml:space="preserve"> </w:t>
      </w:r>
      <w:r w:rsidR="00437355">
        <w:rPr>
          <w:rFonts w:ascii="Helvetica" w:hAnsi="Helvetica"/>
        </w:rPr>
        <w:t>una</w:t>
      </w:r>
      <w:r w:rsidRPr="002E27CD">
        <w:rPr>
          <w:rFonts w:ascii="Helvetica" w:hAnsi="Helvetica"/>
        </w:rPr>
        <w:t xml:space="preserve"> papa que al ser consumida vacune contra el cólera o un banano que proteja contra la hepatitis B; plantas de tabaco para producir anticuerpos monoclonales, terapias diseñadas con base en el conocimiento molecular de la enfermedad y el mecanismo de acción de los fármacos y la susceptibilidad genética del paciente. Las utopías se volverán realidades, si se construyen con conocimiento personalizado, ética, absoluta entrega y pasión</w:t>
      </w:r>
      <w:r w:rsidR="00EF317C">
        <w:rPr>
          <w:rFonts w:ascii="Helvetica" w:hAnsi="Helvetica"/>
        </w:rPr>
        <w:t>,</w:t>
      </w:r>
      <w:r w:rsidRPr="002E27CD">
        <w:rPr>
          <w:rFonts w:ascii="Helvetica" w:hAnsi="Helvetica"/>
        </w:rPr>
        <w:t xml:space="preserve"> lo que contribuirá a que la medicina personalizada sea una reapiadad de las próximas generaciones.</w:t>
      </w:r>
    </w:p>
    <w:p w:rsidR="00A17183" w:rsidRPr="002E27CD" w:rsidRDefault="00A17183" w:rsidP="00E00865">
      <w:pPr>
        <w:spacing w:line="360" w:lineRule="auto"/>
        <w:jc w:val="both"/>
        <w:rPr>
          <w:rFonts w:ascii="Helvetica" w:hAnsi="Helvetica"/>
        </w:rPr>
      </w:pPr>
    </w:p>
    <w:p w:rsidR="00A17183" w:rsidRPr="008F43B0" w:rsidRDefault="00A17183" w:rsidP="00E00865">
      <w:pPr>
        <w:spacing w:line="360" w:lineRule="auto"/>
        <w:jc w:val="both"/>
        <w:rPr>
          <w:rFonts w:ascii="Helvetica" w:hAnsi="Helvetica"/>
          <w:b/>
        </w:rPr>
      </w:pPr>
      <w:r w:rsidRPr="008F43B0">
        <w:rPr>
          <w:rFonts w:ascii="Helvetica" w:hAnsi="Helvetica"/>
          <w:b/>
        </w:rPr>
        <w:t>Referencias bibliográficas:</w:t>
      </w:r>
    </w:p>
    <w:p w:rsidR="00A17183" w:rsidRPr="009672A6" w:rsidRDefault="00A17183" w:rsidP="00E00865">
      <w:pPr>
        <w:spacing w:line="360" w:lineRule="auto"/>
        <w:jc w:val="both"/>
        <w:rPr>
          <w:rFonts w:ascii="Helvetica" w:hAnsi="Helvetica"/>
          <w:bCs/>
          <w:lang w:val="en-US"/>
        </w:rPr>
      </w:pPr>
      <w:proofErr w:type="gramStart"/>
      <w:r w:rsidRPr="007E5855">
        <w:rPr>
          <w:rFonts w:ascii="Helvetica" w:hAnsi="Helvetica"/>
          <w:lang w:val="en-US"/>
        </w:rPr>
        <w:t>Collins, D</w:t>
      </w:r>
      <w:r w:rsidR="007E5855">
        <w:rPr>
          <w:rFonts w:ascii="Helvetica" w:hAnsi="Helvetica"/>
          <w:lang w:val="en-US"/>
        </w:rPr>
        <w:t xml:space="preserve">. </w:t>
      </w:r>
      <w:r w:rsidRPr="007E5855">
        <w:rPr>
          <w:rFonts w:ascii="Helvetica" w:hAnsi="Helvetica"/>
          <w:lang w:val="en-US"/>
        </w:rPr>
        <w:t>M., O´Donovan, N., McGowan, P</w:t>
      </w:r>
      <w:r w:rsidR="007E5855">
        <w:rPr>
          <w:rFonts w:ascii="Helvetica" w:hAnsi="Helvetica"/>
          <w:lang w:val="en-US"/>
        </w:rPr>
        <w:t xml:space="preserve">. </w:t>
      </w:r>
      <w:r w:rsidRPr="007E5855">
        <w:rPr>
          <w:rFonts w:ascii="Helvetica" w:hAnsi="Helvetica"/>
          <w:lang w:val="en-US"/>
        </w:rPr>
        <w:t>M., O´Sullivan, F., Duffy, M</w:t>
      </w:r>
      <w:r w:rsidR="007E5855">
        <w:rPr>
          <w:rFonts w:ascii="Helvetica" w:hAnsi="Helvetica"/>
          <w:lang w:val="en-US"/>
        </w:rPr>
        <w:t xml:space="preserve">. </w:t>
      </w:r>
      <w:r w:rsidRPr="007E5855">
        <w:rPr>
          <w:rFonts w:ascii="Helvetica" w:hAnsi="Helvetica"/>
          <w:lang w:val="en-US"/>
        </w:rPr>
        <w:t>J.</w:t>
      </w:r>
      <w:r w:rsidR="007E5855" w:rsidRPr="007E5855">
        <w:rPr>
          <w:rFonts w:ascii="Helvetica" w:hAnsi="Helvetica"/>
          <w:lang w:val="en-US"/>
        </w:rPr>
        <w:t xml:space="preserve"> and</w:t>
      </w:r>
      <w:r w:rsidRPr="007E5855">
        <w:rPr>
          <w:rFonts w:ascii="Helvetica" w:hAnsi="Helvetica"/>
          <w:lang w:val="en-US"/>
        </w:rPr>
        <w:t xml:space="preserve"> Crown J. 2011.</w:t>
      </w:r>
      <w:proofErr w:type="gramEnd"/>
      <w:r w:rsidRPr="007E5855">
        <w:rPr>
          <w:rFonts w:ascii="Helvetica" w:hAnsi="Helvetica"/>
          <w:lang w:val="en-US"/>
        </w:rPr>
        <w:t xml:space="preserve"> </w:t>
      </w:r>
      <w:r w:rsidRPr="009672A6">
        <w:rPr>
          <w:rFonts w:ascii="Helvetica" w:hAnsi="Helvetica"/>
          <w:lang w:val="en-US"/>
        </w:rPr>
        <w:t xml:space="preserve">Trastuzumab induces antibody-dependent cell- mediated cytotoxicity (ADCC) in HER-2-non-amplified breast cancer cell lines. </w:t>
      </w:r>
      <w:proofErr w:type="gramStart"/>
      <w:r w:rsidRPr="009672A6">
        <w:rPr>
          <w:rFonts w:ascii="Helvetica" w:hAnsi="Helvetica"/>
          <w:i/>
          <w:lang w:val="en-US"/>
        </w:rPr>
        <w:t>Annals of Oncology</w:t>
      </w:r>
      <w:r w:rsidRPr="009672A6">
        <w:rPr>
          <w:rFonts w:ascii="Helvetica" w:hAnsi="Helvetica"/>
          <w:lang w:val="en-US"/>
        </w:rPr>
        <w:t>.</w:t>
      </w:r>
      <w:proofErr w:type="gramEnd"/>
      <w:r w:rsidRPr="009672A6">
        <w:rPr>
          <w:rFonts w:ascii="Helvetica" w:hAnsi="Helvetica"/>
          <w:lang w:val="en-US"/>
        </w:rPr>
        <w:t xml:space="preserve"> </w:t>
      </w:r>
      <w:r w:rsidRPr="009672A6">
        <w:rPr>
          <w:rFonts w:ascii="Helvetica" w:hAnsi="Helvetica"/>
          <w:bCs/>
          <w:lang w:val="en-US"/>
        </w:rPr>
        <w:t>Advance Access published November 5, 2011.</w:t>
      </w:r>
      <w:r w:rsidR="007E5855">
        <w:rPr>
          <w:rFonts w:ascii="Helvetica" w:hAnsi="Helvetica"/>
          <w:bCs/>
          <w:lang w:val="en-US"/>
        </w:rPr>
        <w:t xml:space="preserve"> </w:t>
      </w:r>
      <w:r w:rsidRPr="009672A6">
        <w:rPr>
          <w:rFonts w:ascii="Helvetica" w:hAnsi="Helvetica"/>
          <w:bCs/>
          <w:lang w:val="en-US"/>
        </w:rPr>
        <w:t>doi:10.1093/annonc/mdr484</w:t>
      </w:r>
      <w:r w:rsidRPr="009672A6">
        <w:rPr>
          <w:rFonts w:ascii="Helvetica" w:hAnsi="Helvetica"/>
          <w:b/>
          <w:bCs/>
          <w:lang w:val="en-US"/>
        </w:rPr>
        <w:t xml:space="preserve">. </w:t>
      </w:r>
      <w:r w:rsidRPr="009672A6">
        <w:rPr>
          <w:rFonts w:ascii="Helvetica" w:hAnsi="Helvetica"/>
          <w:bCs/>
          <w:lang w:val="en-US"/>
        </w:rPr>
        <w:t xml:space="preserve"> </w:t>
      </w:r>
    </w:p>
    <w:p w:rsidR="00A17183" w:rsidRPr="009672A6" w:rsidRDefault="00A17183" w:rsidP="00E00865">
      <w:pPr>
        <w:spacing w:line="360" w:lineRule="auto"/>
        <w:jc w:val="both"/>
        <w:rPr>
          <w:rFonts w:ascii="Helvetica" w:hAnsi="Helvetica"/>
          <w:bCs/>
          <w:lang w:val="en-US"/>
        </w:rPr>
      </w:pPr>
      <w:r w:rsidRPr="009672A6">
        <w:rPr>
          <w:rFonts w:ascii="Helvetica" w:hAnsi="Helvetica"/>
          <w:bCs/>
          <w:lang w:val="en-US"/>
        </w:rPr>
        <w:t>Dimind, P</w:t>
      </w:r>
      <w:r w:rsidR="007E5855">
        <w:rPr>
          <w:rFonts w:ascii="Helvetica" w:hAnsi="Helvetica"/>
          <w:bCs/>
          <w:lang w:val="en-US"/>
        </w:rPr>
        <w:t xml:space="preserve">. </w:t>
      </w:r>
      <w:r w:rsidRPr="009672A6">
        <w:rPr>
          <w:rFonts w:ascii="Helvetica" w:hAnsi="Helvetica"/>
          <w:bCs/>
          <w:lang w:val="en-US"/>
        </w:rPr>
        <w:t xml:space="preserve">F. 2011. Personalized Medicine Initiatives step into the cloud to Speedy up R&amp;D. </w:t>
      </w:r>
      <w:r w:rsidRPr="009672A6">
        <w:rPr>
          <w:rFonts w:ascii="Helvetica" w:hAnsi="Helvetica"/>
          <w:bCs/>
          <w:i/>
          <w:lang w:val="en-US"/>
        </w:rPr>
        <w:t>Genetic Engineering &amp; Biotechnology News</w:t>
      </w:r>
      <w:r w:rsidRPr="009672A6">
        <w:rPr>
          <w:rFonts w:ascii="Helvetica" w:hAnsi="Helvetica"/>
          <w:bCs/>
          <w:lang w:val="en-US"/>
        </w:rPr>
        <w:t xml:space="preserve">. </w:t>
      </w:r>
      <w:proofErr w:type="gramStart"/>
      <w:r w:rsidRPr="009672A6">
        <w:rPr>
          <w:rFonts w:ascii="Helvetica" w:hAnsi="Helvetica"/>
          <w:bCs/>
          <w:lang w:val="en-US"/>
        </w:rPr>
        <w:t>31</w:t>
      </w:r>
      <w:r w:rsidR="007E5855">
        <w:rPr>
          <w:rFonts w:ascii="Helvetica" w:hAnsi="Helvetica"/>
          <w:bCs/>
          <w:lang w:val="en-US"/>
        </w:rPr>
        <w:t xml:space="preserve"> </w:t>
      </w:r>
      <w:r w:rsidRPr="009672A6">
        <w:rPr>
          <w:rFonts w:ascii="Helvetica" w:hAnsi="Helvetica"/>
          <w:bCs/>
          <w:lang w:val="en-US"/>
        </w:rPr>
        <w:t>(21).</w:t>
      </w:r>
      <w:proofErr w:type="gramEnd"/>
      <w:r w:rsidRPr="009672A6">
        <w:rPr>
          <w:rFonts w:ascii="Helvetica" w:hAnsi="Helvetica"/>
          <w:bCs/>
          <w:lang w:val="en-US"/>
        </w:rPr>
        <w:t xml:space="preserve"> Nov. 21. Online http://www.genengnews.com/insight-and-intelligence/personalized-medicine-initiatives-step-into-the-cloud-to-speed-up-r-d/77899498/# </w:t>
      </w:r>
    </w:p>
    <w:p w:rsidR="00A17183" w:rsidRPr="009672A6" w:rsidRDefault="00A17183" w:rsidP="00E00865">
      <w:pPr>
        <w:spacing w:line="360" w:lineRule="auto"/>
        <w:jc w:val="both"/>
        <w:rPr>
          <w:rFonts w:ascii="Helvetica" w:hAnsi="Helvetica"/>
          <w:lang w:val="en-US"/>
        </w:rPr>
      </w:pPr>
      <w:proofErr w:type="gramStart"/>
      <w:r w:rsidRPr="009672A6">
        <w:rPr>
          <w:rFonts w:ascii="Helvetica" w:hAnsi="Helvetica"/>
          <w:lang w:val="en-US"/>
        </w:rPr>
        <w:t>Hughes, B. 2010.</w:t>
      </w:r>
      <w:proofErr w:type="gramEnd"/>
      <w:r w:rsidRPr="009672A6">
        <w:rPr>
          <w:rFonts w:ascii="Helvetica" w:hAnsi="Helvetica"/>
          <w:lang w:val="en-US"/>
        </w:rPr>
        <w:t xml:space="preserve"> Antibody</w:t>
      </w:r>
      <w:r w:rsidR="0072241F">
        <w:rPr>
          <w:rFonts w:ascii="Helvetica" w:hAnsi="Helvetica"/>
          <w:lang w:val="en-US"/>
        </w:rPr>
        <w:t>-</w:t>
      </w:r>
      <w:r w:rsidRPr="009672A6">
        <w:rPr>
          <w:rFonts w:ascii="Helvetica" w:hAnsi="Helvetica"/>
          <w:lang w:val="en-US"/>
        </w:rPr>
        <w:t xml:space="preserve">drug conjugates for cancer: poised to deliver? </w:t>
      </w:r>
      <w:r w:rsidRPr="009672A6">
        <w:rPr>
          <w:rFonts w:ascii="Helvetica" w:hAnsi="Helvetica"/>
          <w:i/>
          <w:lang w:val="en-US"/>
        </w:rPr>
        <w:t>Nature Reviews/ Drug Discovery</w:t>
      </w:r>
      <w:r w:rsidRPr="009672A6">
        <w:rPr>
          <w:rFonts w:ascii="Helvetica" w:hAnsi="Helvetica"/>
          <w:lang w:val="en-US"/>
        </w:rPr>
        <w:t xml:space="preserve"> 9:</w:t>
      </w:r>
      <w:r w:rsidR="00C75199">
        <w:rPr>
          <w:rFonts w:ascii="Helvetica" w:hAnsi="Helvetica"/>
          <w:lang w:val="en-US"/>
        </w:rPr>
        <w:t xml:space="preserve"> </w:t>
      </w:r>
      <w:r w:rsidRPr="009672A6">
        <w:rPr>
          <w:rFonts w:ascii="Helvetica" w:hAnsi="Helvetica"/>
          <w:lang w:val="en-US"/>
        </w:rPr>
        <w:t>665-667</w:t>
      </w:r>
      <w:r w:rsidR="00C75199">
        <w:rPr>
          <w:rFonts w:ascii="Helvetica" w:hAnsi="Helvetica"/>
          <w:lang w:val="en-US"/>
        </w:rPr>
        <w:t>.</w:t>
      </w:r>
    </w:p>
    <w:p w:rsidR="00A17183" w:rsidRPr="009672A6" w:rsidRDefault="00A17183" w:rsidP="00E00865">
      <w:pPr>
        <w:spacing w:line="360" w:lineRule="auto"/>
        <w:jc w:val="both"/>
        <w:rPr>
          <w:rFonts w:ascii="Helvetica" w:hAnsi="Helvetica"/>
          <w:lang w:val="en-US"/>
        </w:rPr>
      </w:pPr>
      <w:r w:rsidRPr="009672A6">
        <w:rPr>
          <w:rFonts w:ascii="Helvetica" w:hAnsi="Helvetica"/>
          <w:lang w:val="en-US"/>
        </w:rPr>
        <w:t xml:space="preserve">Ilyas Kamboh, M. 2004. </w:t>
      </w:r>
      <w:proofErr w:type="gramStart"/>
      <w:r w:rsidRPr="009672A6">
        <w:rPr>
          <w:rFonts w:ascii="Helvetica" w:hAnsi="Helvetica"/>
          <w:lang w:val="en-US"/>
        </w:rPr>
        <w:t>Molecular Genetics of Late-Onset Alzheimer’s Disease.</w:t>
      </w:r>
      <w:proofErr w:type="gramEnd"/>
      <w:r w:rsidRPr="009672A6">
        <w:rPr>
          <w:rFonts w:ascii="Helvetica" w:hAnsi="Helvetica"/>
          <w:lang w:val="en-US"/>
        </w:rPr>
        <w:t xml:space="preserve"> </w:t>
      </w:r>
      <w:r w:rsidRPr="009672A6">
        <w:rPr>
          <w:rFonts w:ascii="Helvetica" w:hAnsi="Helvetica"/>
          <w:i/>
          <w:lang w:val="en-US"/>
        </w:rPr>
        <w:t>Annals of Human Genetics</w:t>
      </w:r>
      <w:r w:rsidRPr="009672A6">
        <w:rPr>
          <w:rFonts w:ascii="Helvetica" w:hAnsi="Helvetica"/>
          <w:lang w:val="en-US"/>
        </w:rPr>
        <w:t xml:space="preserve"> 68: 381</w:t>
      </w:r>
      <w:r w:rsidR="00C75199">
        <w:rPr>
          <w:rFonts w:ascii="Helvetica" w:hAnsi="Helvetica"/>
          <w:lang w:val="en-US"/>
        </w:rPr>
        <w:t>-</w:t>
      </w:r>
      <w:r w:rsidRPr="009672A6">
        <w:rPr>
          <w:rFonts w:ascii="Helvetica" w:hAnsi="Helvetica"/>
          <w:lang w:val="en-US"/>
        </w:rPr>
        <w:t>404</w:t>
      </w:r>
      <w:r w:rsidR="00C75199">
        <w:rPr>
          <w:rFonts w:ascii="Helvetica" w:hAnsi="Helvetica"/>
          <w:lang w:val="en-US"/>
        </w:rPr>
        <w:t>.</w:t>
      </w:r>
    </w:p>
    <w:p w:rsidR="00A17183" w:rsidRPr="009672A6" w:rsidRDefault="00A17183" w:rsidP="00E00865">
      <w:pPr>
        <w:spacing w:line="360" w:lineRule="auto"/>
        <w:jc w:val="both"/>
        <w:rPr>
          <w:rFonts w:ascii="Helvetica" w:hAnsi="Helvetica"/>
          <w:b/>
          <w:lang w:val="en-US"/>
        </w:rPr>
      </w:pPr>
      <w:proofErr w:type="gramStart"/>
      <w:r w:rsidRPr="009672A6">
        <w:rPr>
          <w:rFonts w:ascii="Helvetica" w:hAnsi="Helvetica"/>
          <w:lang w:val="en-US"/>
        </w:rPr>
        <w:t>Kathiresan, S., Voight, B</w:t>
      </w:r>
      <w:r w:rsidR="0082035A">
        <w:rPr>
          <w:rFonts w:ascii="Helvetica" w:hAnsi="Helvetica"/>
          <w:lang w:val="en-US"/>
        </w:rPr>
        <w:t xml:space="preserve">. </w:t>
      </w:r>
      <w:r w:rsidRPr="009672A6">
        <w:rPr>
          <w:rFonts w:ascii="Helvetica" w:hAnsi="Helvetica"/>
          <w:lang w:val="en-US"/>
        </w:rPr>
        <w:t>F.</w:t>
      </w:r>
      <w:r w:rsidR="0072241F">
        <w:rPr>
          <w:rFonts w:ascii="Helvetica" w:hAnsi="Helvetica"/>
          <w:lang w:val="en-US"/>
        </w:rPr>
        <w:t>,</w:t>
      </w:r>
      <w:r w:rsidRPr="0072241F">
        <w:rPr>
          <w:rFonts w:ascii="Helvetica" w:hAnsi="Helvetica"/>
          <w:lang w:val="en-US"/>
        </w:rPr>
        <w:t xml:space="preserve"> </w:t>
      </w:r>
      <w:r w:rsidRPr="0072241F">
        <w:rPr>
          <w:rFonts w:ascii="Helvetica" w:hAnsi="Helvetica"/>
          <w:lang w:val="fr-FR"/>
        </w:rPr>
        <w:t xml:space="preserve">Purcell, S., </w:t>
      </w:r>
      <w:r w:rsidRPr="0072241F">
        <w:rPr>
          <w:rFonts w:ascii="Helvetica" w:hAnsi="Helvetica"/>
          <w:i/>
          <w:lang w:val="fr-FR"/>
        </w:rPr>
        <w:t>et al.</w:t>
      </w:r>
      <w:r w:rsidRPr="0072241F">
        <w:rPr>
          <w:rFonts w:ascii="Helvetica" w:hAnsi="Helvetica"/>
          <w:lang w:val="fr-FR"/>
        </w:rPr>
        <w:t xml:space="preserve"> 2009.</w:t>
      </w:r>
      <w:proofErr w:type="gramEnd"/>
      <w:r w:rsidRPr="0072241F">
        <w:rPr>
          <w:rFonts w:ascii="Helvetica" w:hAnsi="Helvetica"/>
          <w:lang w:val="fr-FR"/>
        </w:rPr>
        <w:t xml:space="preserve"> </w:t>
      </w:r>
      <w:proofErr w:type="gramStart"/>
      <w:r w:rsidRPr="009672A6">
        <w:rPr>
          <w:rFonts w:ascii="Helvetica" w:hAnsi="Helvetica"/>
          <w:lang w:val="en-US"/>
        </w:rPr>
        <w:t>Genome-wide association of early-onset myocardial infarction with single nucleotide polymorphisms and copy number variants.</w:t>
      </w:r>
      <w:proofErr w:type="gramEnd"/>
      <w:r w:rsidRPr="009672A6">
        <w:rPr>
          <w:rFonts w:ascii="Helvetica" w:hAnsi="Helvetica"/>
          <w:lang w:val="en-US"/>
        </w:rPr>
        <w:t xml:space="preserve"> </w:t>
      </w:r>
      <w:r w:rsidRPr="009672A6">
        <w:rPr>
          <w:rFonts w:ascii="Helvetica" w:hAnsi="Helvetica"/>
          <w:i/>
          <w:lang w:val="en-US"/>
        </w:rPr>
        <w:t>Nat</w:t>
      </w:r>
      <w:r w:rsidR="0082035A">
        <w:rPr>
          <w:rFonts w:ascii="Helvetica" w:hAnsi="Helvetica"/>
          <w:i/>
          <w:lang w:val="en-US"/>
        </w:rPr>
        <w:t>ure</w:t>
      </w:r>
      <w:r w:rsidRPr="009672A6">
        <w:rPr>
          <w:rFonts w:ascii="Helvetica" w:hAnsi="Helvetica"/>
          <w:i/>
          <w:lang w:val="en-US"/>
        </w:rPr>
        <w:t xml:space="preserve"> Genet</w:t>
      </w:r>
      <w:r w:rsidR="0082035A">
        <w:rPr>
          <w:rFonts w:ascii="Helvetica" w:hAnsi="Helvetica"/>
          <w:i/>
          <w:lang w:val="en-US"/>
        </w:rPr>
        <w:t>ics</w:t>
      </w:r>
      <w:r w:rsidRPr="009672A6">
        <w:rPr>
          <w:rFonts w:ascii="Helvetica" w:hAnsi="Helvetica"/>
          <w:lang w:val="en-US"/>
        </w:rPr>
        <w:t xml:space="preserve"> 41:</w:t>
      </w:r>
      <w:r w:rsidR="0082035A">
        <w:rPr>
          <w:rFonts w:ascii="Helvetica" w:hAnsi="Helvetica"/>
          <w:lang w:val="en-US"/>
        </w:rPr>
        <w:t xml:space="preserve"> </w:t>
      </w:r>
      <w:r w:rsidRPr="009672A6">
        <w:rPr>
          <w:rFonts w:ascii="Helvetica" w:hAnsi="Helvetica"/>
          <w:lang w:val="en-US"/>
        </w:rPr>
        <w:t>334-341</w:t>
      </w:r>
      <w:r w:rsidR="0082035A">
        <w:rPr>
          <w:rFonts w:ascii="Helvetica" w:hAnsi="Helvetica"/>
          <w:lang w:val="en-US"/>
        </w:rPr>
        <w:t>.</w:t>
      </w:r>
    </w:p>
    <w:p w:rsidR="00A17183" w:rsidRPr="009672A6" w:rsidRDefault="00A17183" w:rsidP="00E00865">
      <w:pPr>
        <w:spacing w:line="360" w:lineRule="auto"/>
        <w:jc w:val="both"/>
        <w:rPr>
          <w:rFonts w:ascii="Helvetica" w:hAnsi="Helvetica"/>
          <w:lang w:val="en-US"/>
        </w:rPr>
      </w:pPr>
      <w:r w:rsidRPr="003C113E">
        <w:rPr>
          <w:rFonts w:ascii="Helvetica" w:hAnsi="Helvetica"/>
          <w:lang w:val="es-CO"/>
        </w:rPr>
        <w:lastRenderedPageBreak/>
        <w:t>Lee, D</w:t>
      </w:r>
      <w:r w:rsidR="003C113E" w:rsidRPr="003C113E">
        <w:rPr>
          <w:rFonts w:ascii="Helvetica" w:hAnsi="Helvetica"/>
          <w:lang w:val="es-CO"/>
        </w:rPr>
        <w:t xml:space="preserve">. </w:t>
      </w:r>
      <w:r w:rsidRPr="003C113E">
        <w:rPr>
          <w:rFonts w:ascii="Helvetica" w:hAnsi="Helvetica"/>
          <w:lang w:val="es-CO"/>
        </w:rPr>
        <w:t>S., Pencina, M</w:t>
      </w:r>
      <w:r w:rsidR="003C113E" w:rsidRPr="003C113E">
        <w:rPr>
          <w:rFonts w:ascii="Helvetica" w:hAnsi="Helvetica"/>
          <w:lang w:val="es-CO"/>
        </w:rPr>
        <w:t xml:space="preserve">. </w:t>
      </w:r>
      <w:r w:rsidRPr="003C113E">
        <w:rPr>
          <w:rFonts w:ascii="Helvetica" w:hAnsi="Helvetica"/>
          <w:lang w:val="es-CO"/>
        </w:rPr>
        <w:t>J.</w:t>
      </w:r>
      <w:r w:rsidR="0072241F">
        <w:rPr>
          <w:rFonts w:ascii="Helvetica" w:hAnsi="Helvetica"/>
          <w:lang w:val="es-CO"/>
        </w:rPr>
        <w:t>,</w:t>
      </w:r>
      <w:r w:rsidRPr="003C113E">
        <w:rPr>
          <w:rFonts w:ascii="Helvetica" w:hAnsi="Helvetica"/>
          <w:lang w:val="es-CO"/>
        </w:rPr>
        <w:t xml:space="preserve"> Benjamin, E</w:t>
      </w:r>
      <w:r w:rsidR="003C113E">
        <w:rPr>
          <w:rFonts w:ascii="Helvetica" w:hAnsi="Helvetica"/>
          <w:lang w:val="es-CO"/>
        </w:rPr>
        <w:t xml:space="preserve">. </w:t>
      </w:r>
      <w:r w:rsidRPr="003C113E">
        <w:rPr>
          <w:rFonts w:ascii="Helvetica" w:hAnsi="Helvetica"/>
          <w:lang w:val="es-CO"/>
        </w:rPr>
        <w:t xml:space="preserve">J., </w:t>
      </w:r>
      <w:r w:rsidRPr="003C113E">
        <w:rPr>
          <w:rFonts w:ascii="Helvetica" w:hAnsi="Helvetica"/>
          <w:i/>
          <w:lang w:val="es-CO"/>
        </w:rPr>
        <w:t>et al</w:t>
      </w:r>
      <w:r w:rsidRPr="003C113E">
        <w:rPr>
          <w:rFonts w:ascii="Helvetica" w:hAnsi="Helvetica"/>
          <w:lang w:val="es-CO"/>
        </w:rPr>
        <w:t xml:space="preserve">. 2006. </w:t>
      </w:r>
      <w:r w:rsidRPr="009672A6">
        <w:rPr>
          <w:rFonts w:ascii="Helvetica" w:hAnsi="Helvetica"/>
          <w:lang w:val="en-US"/>
        </w:rPr>
        <w:t xml:space="preserve">Association of parental heart failure with risk of heart failure in offspring. </w:t>
      </w:r>
      <w:r w:rsidR="003C113E">
        <w:rPr>
          <w:rFonts w:ascii="Helvetica" w:hAnsi="Helvetica"/>
          <w:i/>
          <w:lang w:val="en-US"/>
        </w:rPr>
        <w:t xml:space="preserve">The </w:t>
      </w:r>
      <w:r w:rsidRPr="009672A6">
        <w:rPr>
          <w:rFonts w:ascii="Helvetica" w:hAnsi="Helvetica"/>
          <w:i/>
          <w:lang w:val="en-US"/>
        </w:rPr>
        <w:t>N</w:t>
      </w:r>
      <w:r w:rsidR="003C113E">
        <w:rPr>
          <w:rFonts w:ascii="Helvetica" w:hAnsi="Helvetica"/>
          <w:i/>
          <w:lang w:val="en-US"/>
        </w:rPr>
        <w:t>ew</w:t>
      </w:r>
      <w:r w:rsidRPr="009672A6">
        <w:rPr>
          <w:rFonts w:ascii="Helvetica" w:hAnsi="Helvetica"/>
          <w:i/>
          <w:lang w:val="en-US"/>
        </w:rPr>
        <w:t xml:space="preserve"> Engl</w:t>
      </w:r>
      <w:r w:rsidR="003C113E">
        <w:rPr>
          <w:rFonts w:ascii="Helvetica" w:hAnsi="Helvetica"/>
          <w:i/>
          <w:lang w:val="en-US"/>
        </w:rPr>
        <w:t>and</w:t>
      </w:r>
      <w:r w:rsidRPr="009672A6">
        <w:rPr>
          <w:rFonts w:ascii="Helvetica" w:hAnsi="Helvetica"/>
          <w:i/>
          <w:lang w:val="en-US"/>
        </w:rPr>
        <w:t xml:space="preserve"> J</w:t>
      </w:r>
      <w:r w:rsidR="003C113E">
        <w:rPr>
          <w:rFonts w:ascii="Helvetica" w:hAnsi="Helvetica"/>
          <w:i/>
          <w:lang w:val="en-US"/>
        </w:rPr>
        <w:t>ournal of</w:t>
      </w:r>
      <w:r w:rsidRPr="009672A6">
        <w:rPr>
          <w:rFonts w:ascii="Helvetica" w:hAnsi="Helvetica"/>
          <w:i/>
          <w:lang w:val="en-US"/>
        </w:rPr>
        <w:t xml:space="preserve"> Med</w:t>
      </w:r>
      <w:r w:rsidR="003C113E">
        <w:rPr>
          <w:rFonts w:ascii="Helvetica" w:hAnsi="Helvetica"/>
          <w:i/>
          <w:lang w:val="en-US"/>
        </w:rPr>
        <w:t>icine</w:t>
      </w:r>
      <w:r w:rsidRPr="009672A6">
        <w:rPr>
          <w:rFonts w:ascii="Helvetica" w:hAnsi="Helvetica"/>
          <w:lang w:val="en-US"/>
        </w:rPr>
        <w:t xml:space="preserve"> 355:</w:t>
      </w:r>
      <w:r w:rsidR="003C113E">
        <w:rPr>
          <w:rFonts w:ascii="Helvetica" w:hAnsi="Helvetica"/>
          <w:lang w:val="en-US"/>
        </w:rPr>
        <w:t xml:space="preserve"> </w:t>
      </w:r>
      <w:r w:rsidRPr="009672A6">
        <w:rPr>
          <w:rFonts w:ascii="Helvetica" w:hAnsi="Helvetica"/>
          <w:lang w:val="en-US"/>
        </w:rPr>
        <w:t>138-147</w:t>
      </w:r>
      <w:r w:rsidR="003C113E">
        <w:rPr>
          <w:rFonts w:ascii="Helvetica" w:hAnsi="Helvetica"/>
          <w:lang w:val="en-US"/>
        </w:rPr>
        <w:t>.</w:t>
      </w:r>
    </w:p>
    <w:p w:rsidR="00A17183" w:rsidRPr="009672A6" w:rsidRDefault="00A17183" w:rsidP="00E00865">
      <w:pPr>
        <w:spacing w:line="360" w:lineRule="auto"/>
        <w:jc w:val="both"/>
        <w:rPr>
          <w:rFonts w:ascii="Helvetica" w:hAnsi="Helvetica"/>
          <w:lang w:val="en-US"/>
        </w:rPr>
      </w:pPr>
      <w:r w:rsidRPr="00457B14">
        <w:rPr>
          <w:rFonts w:ascii="Helvetica" w:hAnsi="Helvetica"/>
          <w:lang w:val="fr-FR"/>
        </w:rPr>
        <w:t>Lewis Phillips, G</w:t>
      </w:r>
      <w:r w:rsidR="00FE09A8" w:rsidRPr="00457B14">
        <w:rPr>
          <w:rFonts w:ascii="Helvetica" w:hAnsi="Helvetica"/>
          <w:lang w:val="fr-FR"/>
        </w:rPr>
        <w:t xml:space="preserve">. </w:t>
      </w:r>
      <w:r w:rsidRPr="00457B14">
        <w:rPr>
          <w:rFonts w:ascii="Helvetica" w:hAnsi="Helvetica"/>
          <w:lang w:val="fr-FR"/>
        </w:rPr>
        <w:t>D., Li, G., Dugger, D., Crocker, L</w:t>
      </w:r>
      <w:r w:rsidR="00FE09A8" w:rsidRPr="00457B14">
        <w:rPr>
          <w:rFonts w:ascii="Helvetica" w:hAnsi="Helvetica"/>
          <w:lang w:val="fr-FR"/>
        </w:rPr>
        <w:t xml:space="preserve">. </w:t>
      </w:r>
      <w:r w:rsidRPr="00457B14">
        <w:rPr>
          <w:rFonts w:ascii="Helvetica" w:hAnsi="Helvetica"/>
          <w:lang w:val="fr-FR"/>
        </w:rPr>
        <w:t>M.</w:t>
      </w:r>
      <w:r w:rsidR="00457B14" w:rsidRPr="00457B14">
        <w:rPr>
          <w:rFonts w:ascii="Helvetica" w:hAnsi="Helvetica"/>
          <w:lang w:val="fr-FR"/>
        </w:rPr>
        <w:t>,</w:t>
      </w:r>
      <w:r w:rsidRPr="00457B14">
        <w:rPr>
          <w:rFonts w:ascii="Helvetica" w:hAnsi="Helvetica"/>
          <w:lang w:val="fr-FR"/>
        </w:rPr>
        <w:t xml:space="preserve"> </w:t>
      </w:r>
      <w:r w:rsidRPr="00457B14">
        <w:rPr>
          <w:rFonts w:ascii="Helvetica" w:hAnsi="Helvetica"/>
          <w:i/>
          <w:lang w:val="fr-FR"/>
        </w:rPr>
        <w:t>et al</w:t>
      </w:r>
      <w:r w:rsidRPr="00FE09A8">
        <w:rPr>
          <w:rFonts w:ascii="Helvetica" w:hAnsi="Helvetica"/>
          <w:lang w:val="fr-FR"/>
        </w:rPr>
        <w:t xml:space="preserve">. 2008. </w:t>
      </w:r>
      <w:r w:rsidRPr="009672A6">
        <w:rPr>
          <w:rFonts w:ascii="Helvetica" w:hAnsi="Helvetica"/>
          <w:bCs/>
          <w:lang w:val="en-US"/>
        </w:rPr>
        <w:t xml:space="preserve">Targeting HER2-Positive Breast Cancer with Trastuzumab-DM1, an Antibody–Cytotoxic Drug Conjugate. </w:t>
      </w:r>
      <w:r w:rsidRPr="009672A6">
        <w:rPr>
          <w:rFonts w:ascii="Helvetica" w:hAnsi="Helvetica"/>
          <w:bCs/>
          <w:i/>
          <w:lang w:val="en-US"/>
        </w:rPr>
        <w:t>Cancer Research</w:t>
      </w:r>
      <w:r w:rsidRPr="009672A6">
        <w:rPr>
          <w:rFonts w:ascii="Helvetica" w:hAnsi="Helvetica"/>
          <w:bCs/>
          <w:lang w:val="en-US"/>
        </w:rPr>
        <w:t xml:space="preserve"> 68</w:t>
      </w:r>
      <w:r w:rsidR="00FE09A8">
        <w:rPr>
          <w:rFonts w:ascii="Helvetica" w:hAnsi="Helvetica"/>
          <w:bCs/>
          <w:lang w:val="en-US"/>
        </w:rPr>
        <w:t xml:space="preserve"> </w:t>
      </w:r>
      <w:r w:rsidRPr="009672A6">
        <w:rPr>
          <w:rFonts w:ascii="Helvetica" w:hAnsi="Helvetica"/>
          <w:bCs/>
          <w:lang w:val="en-US"/>
        </w:rPr>
        <w:t>(22): 9280-9290</w:t>
      </w:r>
      <w:r w:rsidR="00FE09A8">
        <w:rPr>
          <w:rFonts w:ascii="Helvetica" w:hAnsi="Helvetica"/>
          <w:bCs/>
          <w:lang w:val="en-US"/>
        </w:rPr>
        <w:t>.</w:t>
      </w:r>
    </w:p>
    <w:p w:rsidR="00A17183" w:rsidRPr="009672A6" w:rsidRDefault="00A17183" w:rsidP="00E00865">
      <w:pPr>
        <w:spacing w:line="360" w:lineRule="auto"/>
        <w:jc w:val="both"/>
        <w:rPr>
          <w:rFonts w:ascii="Helvetica" w:hAnsi="Helvetica"/>
          <w:lang w:val="en-US"/>
        </w:rPr>
      </w:pPr>
      <w:r w:rsidRPr="00457B14">
        <w:rPr>
          <w:rFonts w:ascii="Helvetica" w:hAnsi="Helvetica"/>
          <w:lang w:val="de-DE"/>
        </w:rPr>
        <w:t>Lindblad-Toh, K., Garber, M., Zuk, O., Lin, M</w:t>
      </w:r>
      <w:r w:rsidR="00457B14" w:rsidRPr="00457B14">
        <w:rPr>
          <w:rFonts w:ascii="Helvetica" w:hAnsi="Helvetica"/>
          <w:lang w:val="de-DE"/>
        </w:rPr>
        <w:t xml:space="preserve">. </w:t>
      </w:r>
      <w:r w:rsidRPr="00457B14">
        <w:rPr>
          <w:rFonts w:ascii="Helvetica" w:hAnsi="Helvetica"/>
          <w:lang w:val="de-DE"/>
        </w:rPr>
        <w:t>F., Parker, B</w:t>
      </w:r>
      <w:r w:rsidR="00457B14" w:rsidRPr="00457B14">
        <w:rPr>
          <w:rFonts w:ascii="Helvetica" w:hAnsi="Helvetica"/>
          <w:lang w:val="de-DE"/>
        </w:rPr>
        <w:t xml:space="preserve">. </w:t>
      </w:r>
      <w:r w:rsidRPr="00457B14">
        <w:rPr>
          <w:rFonts w:ascii="Helvetica" w:hAnsi="Helvetica"/>
          <w:lang w:val="de-DE"/>
        </w:rPr>
        <w:t>J., Washietl, S., Kheradpour, P.</w:t>
      </w:r>
      <w:r w:rsidR="00C2006F">
        <w:rPr>
          <w:rFonts w:ascii="Helvetica" w:hAnsi="Helvetica"/>
          <w:lang w:val="de-DE"/>
        </w:rPr>
        <w:t>,</w:t>
      </w:r>
      <w:r w:rsidRPr="00457B14">
        <w:rPr>
          <w:rFonts w:ascii="Helvetica" w:hAnsi="Helvetica"/>
          <w:lang w:val="de-DE"/>
        </w:rPr>
        <w:t xml:space="preserve"> </w:t>
      </w:r>
      <w:r w:rsidRPr="00457B14">
        <w:rPr>
          <w:rFonts w:ascii="Helvetica" w:hAnsi="Helvetica"/>
          <w:i/>
          <w:lang w:val="de-DE"/>
        </w:rPr>
        <w:t>et al</w:t>
      </w:r>
      <w:r w:rsidRPr="00457B14">
        <w:rPr>
          <w:rFonts w:ascii="Helvetica" w:hAnsi="Helvetica"/>
          <w:lang w:val="de-DE"/>
        </w:rPr>
        <w:t xml:space="preserve">. 2011. </w:t>
      </w:r>
      <w:proofErr w:type="gramStart"/>
      <w:r w:rsidRPr="009672A6">
        <w:rPr>
          <w:rFonts w:ascii="Helvetica" w:hAnsi="Helvetica"/>
          <w:lang w:val="en-US"/>
        </w:rPr>
        <w:t>A high-resolution map of human evolutionary constraint using 29 mammals.</w:t>
      </w:r>
      <w:proofErr w:type="gramEnd"/>
      <w:r w:rsidRPr="009672A6">
        <w:rPr>
          <w:rFonts w:ascii="Helvetica" w:hAnsi="Helvetica"/>
          <w:lang w:val="en-US"/>
        </w:rPr>
        <w:t xml:space="preserve"> </w:t>
      </w:r>
      <w:r w:rsidRPr="009672A6">
        <w:rPr>
          <w:rFonts w:ascii="Helvetica" w:hAnsi="Helvetica"/>
          <w:i/>
          <w:iCs/>
          <w:lang w:val="en-US"/>
        </w:rPr>
        <w:t xml:space="preserve">Nature </w:t>
      </w:r>
      <w:r w:rsidRPr="009672A6">
        <w:rPr>
          <w:rFonts w:ascii="Helvetica" w:hAnsi="Helvetica"/>
          <w:bCs/>
          <w:lang w:val="en-US"/>
        </w:rPr>
        <w:t>478</w:t>
      </w:r>
      <w:r w:rsidRPr="009672A6">
        <w:rPr>
          <w:rFonts w:ascii="Helvetica" w:hAnsi="Helvetica"/>
          <w:lang w:val="en-US"/>
        </w:rPr>
        <w:t>: 476</w:t>
      </w:r>
      <w:r w:rsidR="00C2006F">
        <w:rPr>
          <w:rFonts w:ascii="Helvetica" w:hAnsi="Helvetica"/>
          <w:lang w:val="en-US"/>
        </w:rPr>
        <w:t>-</w:t>
      </w:r>
      <w:r w:rsidRPr="009672A6">
        <w:rPr>
          <w:rFonts w:ascii="Helvetica" w:hAnsi="Helvetica"/>
          <w:lang w:val="en-US"/>
        </w:rPr>
        <w:t>482</w:t>
      </w:r>
      <w:r w:rsidR="00C2006F">
        <w:rPr>
          <w:rFonts w:ascii="Helvetica" w:hAnsi="Helvetica"/>
          <w:lang w:val="en-US"/>
        </w:rPr>
        <w:t>.</w:t>
      </w:r>
    </w:p>
    <w:p w:rsidR="00A17183" w:rsidRPr="009672A6" w:rsidRDefault="00A17183" w:rsidP="00E00865">
      <w:pPr>
        <w:spacing w:line="360" w:lineRule="auto"/>
        <w:jc w:val="both"/>
        <w:rPr>
          <w:rFonts w:ascii="Helvetica" w:hAnsi="Helvetica"/>
          <w:bCs/>
          <w:lang w:val="en-US"/>
        </w:rPr>
      </w:pPr>
      <w:proofErr w:type="gramStart"/>
      <w:r w:rsidRPr="009672A6">
        <w:rPr>
          <w:rFonts w:ascii="Helvetica" w:hAnsi="Helvetica"/>
          <w:lang w:val="en-US"/>
        </w:rPr>
        <w:t xml:space="preserve">Lopus, M., Oroudjev, E., Wilson, L., </w:t>
      </w:r>
      <w:r w:rsidRPr="009672A6">
        <w:rPr>
          <w:rFonts w:ascii="Helvetica" w:hAnsi="Helvetica"/>
          <w:i/>
          <w:lang w:val="en-US"/>
        </w:rPr>
        <w:t>et al.</w:t>
      </w:r>
      <w:r w:rsidRPr="009672A6">
        <w:rPr>
          <w:rFonts w:ascii="Helvetica" w:hAnsi="Helvetica"/>
          <w:lang w:val="en-US"/>
        </w:rPr>
        <w:t xml:space="preserve"> 2011.</w:t>
      </w:r>
      <w:proofErr w:type="gramEnd"/>
      <w:r w:rsidRPr="009672A6">
        <w:rPr>
          <w:rFonts w:ascii="Helvetica" w:hAnsi="Helvetica"/>
          <w:lang w:val="en-US"/>
        </w:rPr>
        <w:t xml:space="preserve"> </w:t>
      </w:r>
      <w:r w:rsidRPr="009672A6">
        <w:rPr>
          <w:rFonts w:ascii="Helvetica" w:hAnsi="Helvetica"/>
          <w:bCs/>
          <w:lang w:val="en-US"/>
        </w:rPr>
        <w:t xml:space="preserve">Maytansine and Cellular Metabolites of Antibody-Maytansinoid Conjugates Strongly Suppress Microtubule Dynamics by Binding to Microtubules. </w:t>
      </w:r>
      <w:r w:rsidRPr="009672A6">
        <w:rPr>
          <w:rFonts w:ascii="Helvetica" w:hAnsi="Helvetica"/>
          <w:bCs/>
          <w:i/>
          <w:iCs/>
          <w:lang w:val="en-US"/>
        </w:rPr>
        <w:t>Mol</w:t>
      </w:r>
      <w:r w:rsidR="005C3A46">
        <w:rPr>
          <w:rFonts w:ascii="Helvetica" w:hAnsi="Helvetica"/>
          <w:bCs/>
          <w:i/>
          <w:iCs/>
          <w:lang w:val="en-US"/>
        </w:rPr>
        <w:t>ecular</w:t>
      </w:r>
      <w:r w:rsidRPr="009672A6">
        <w:rPr>
          <w:rFonts w:ascii="Helvetica" w:hAnsi="Helvetica"/>
          <w:bCs/>
          <w:i/>
          <w:iCs/>
          <w:lang w:val="en-US"/>
        </w:rPr>
        <w:t xml:space="preserve"> Cancer Ther</w:t>
      </w:r>
      <w:r w:rsidR="005C3A46">
        <w:rPr>
          <w:rFonts w:ascii="Helvetica" w:hAnsi="Helvetica"/>
          <w:bCs/>
          <w:i/>
          <w:iCs/>
          <w:lang w:val="en-US"/>
        </w:rPr>
        <w:t>apeutics</w:t>
      </w:r>
      <w:r w:rsidRPr="009672A6">
        <w:rPr>
          <w:rFonts w:ascii="Helvetica" w:hAnsi="Helvetica"/>
          <w:bCs/>
          <w:i/>
          <w:iCs/>
          <w:lang w:val="en-US"/>
        </w:rPr>
        <w:t xml:space="preserve"> </w:t>
      </w:r>
      <w:r w:rsidRPr="009672A6">
        <w:rPr>
          <w:rFonts w:ascii="Helvetica" w:hAnsi="Helvetica"/>
          <w:bCs/>
          <w:lang w:val="en-US"/>
        </w:rPr>
        <w:t>9:</w:t>
      </w:r>
      <w:r w:rsidR="005C3A46">
        <w:rPr>
          <w:rFonts w:ascii="Helvetica" w:hAnsi="Helvetica"/>
          <w:bCs/>
          <w:lang w:val="en-US"/>
        </w:rPr>
        <w:t xml:space="preserve"> </w:t>
      </w:r>
      <w:r w:rsidRPr="009672A6">
        <w:rPr>
          <w:rFonts w:ascii="Helvetica" w:hAnsi="Helvetica"/>
          <w:bCs/>
          <w:lang w:val="en-US"/>
        </w:rPr>
        <w:t>2689-2699</w:t>
      </w:r>
      <w:r w:rsidR="005C3A46">
        <w:rPr>
          <w:rFonts w:ascii="Helvetica" w:hAnsi="Helvetica"/>
          <w:bCs/>
          <w:lang w:val="en-US"/>
        </w:rPr>
        <w:t>.</w:t>
      </w:r>
    </w:p>
    <w:p w:rsidR="00A17183" w:rsidRPr="009672A6" w:rsidRDefault="00A17183" w:rsidP="00E00865">
      <w:pPr>
        <w:spacing w:line="360" w:lineRule="auto"/>
        <w:jc w:val="both"/>
        <w:rPr>
          <w:rFonts w:ascii="Helvetica" w:hAnsi="Helvetica"/>
          <w:lang w:val="en-US"/>
        </w:rPr>
      </w:pPr>
      <w:proofErr w:type="gramStart"/>
      <w:r w:rsidRPr="00031FE9">
        <w:rPr>
          <w:rFonts w:ascii="Helvetica" w:hAnsi="Helvetica"/>
          <w:lang w:val="en-US"/>
        </w:rPr>
        <w:t>LoRusso</w:t>
      </w:r>
      <w:r w:rsidRPr="009672A6">
        <w:rPr>
          <w:rFonts w:ascii="Helvetica" w:hAnsi="Helvetica"/>
          <w:lang w:val="en-US"/>
        </w:rPr>
        <w:t>, P</w:t>
      </w:r>
      <w:r w:rsidR="00CE4F33">
        <w:rPr>
          <w:rFonts w:ascii="Helvetica" w:hAnsi="Helvetica"/>
          <w:lang w:val="en-US"/>
        </w:rPr>
        <w:t xml:space="preserve">. </w:t>
      </w:r>
      <w:r w:rsidRPr="009672A6">
        <w:rPr>
          <w:rFonts w:ascii="Helvetica" w:hAnsi="Helvetica"/>
          <w:lang w:val="en-US"/>
        </w:rPr>
        <w:t>M., Weiss, D., Guardino, E., Girish, S.</w:t>
      </w:r>
      <w:r w:rsidR="00031FE9">
        <w:rPr>
          <w:rFonts w:ascii="Helvetica" w:hAnsi="Helvetica"/>
          <w:lang w:val="en-US"/>
        </w:rPr>
        <w:t xml:space="preserve"> and</w:t>
      </w:r>
      <w:r w:rsidRPr="009672A6">
        <w:rPr>
          <w:rFonts w:ascii="Helvetica" w:hAnsi="Helvetica"/>
          <w:lang w:val="en-US"/>
        </w:rPr>
        <w:t xml:space="preserve"> Sliwkowsky, M</w:t>
      </w:r>
      <w:r w:rsidR="00CE4F33">
        <w:rPr>
          <w:rFonts w:ascii="Helvetica" w:hAnsi="Helvetica"/>
          <w:lang w:val="en-US"/>
        </w:rPr>
        <w:t xml:space="preserve">. </w:t>
      </w:r>
      <w:r w:rsidRPr="009672A6">
        <w:rPr>
          <w:rFonts w:ascii="Helvetica" w:hAnsi="Helvetica"/>
          <w:lang w:val="en-US"/>
        </w:rPr>
        <w:t>X. 2011.</w:t>
      </w:r>
      <w:proofErr w:type="gramEnd"/>
      <w:r w:rsidRPr="009672A6">
        <w:rPr>
          <w:rFonts w:ascii="Helvetica" w:hAnsi="Helvetica"/>
          <w:lang w:val="en-US"/>
        </w:rPr>
        <w:t xml:space="preserve"> </w:t>
      </w:r>
      <w:r w:rsidRPr="009672A6">
        <w:rPr>
          <w:rFonts w:ascii="Helvetica" w:hAnsi="Helvetica"/>
          <w:bCs/>
          <w:lang w:val="en-US"/>
        </w:rPr>
        <w:t xml:space="preserve">Trastuzumab Emtansine: A Unique Antibody-Drug Conjugate in Development for Human Epidermal Growth Factor Receptor 2–Positive Cancer. </w:t>
      </w:r>
      <w:r w:rsidRPr="009672A6">
        <w:rPr>
          <w:rFonts w:ascii="Helvetica" w:hAnsi="Helvetica"/>
          <w:lang w:val="en-US"/>
        </w:rPr>
        <w:t xml:space="preserve"> </w:t>
      </w:r>
      <w:r w:rsidRPr="009672A6">
        <w:rPr>
          <w:rFonts w:ascii="Helvetica" w:hAnsi="Helvetica"/>
          <w:i/>
          <w:lang w:val="en-US"/>
        </w:rPr>
        <w:t>Clin</w:t>
      </w:r>
      <w:r w:rsidR="00031FE9">
        <w:rPr>
          <w:rFonts w:ascii="Helvetica" w:hAnsi="Helvetica"/>
          <w:i/>
          <w:lang w:val="en-US"/>
        </w:rPr>
        <w:t>ical</w:t>
      </w:r>
      <w:r w:rsidRPr="009672A6">
        <w:rPr>
          <w:rFonts w:ascii="Helvetica" w:hAnsi="Helvetica"/>
          <w:i/>
          <w:lang w:val="en-US"/>
        </w:rPr>
        <w:t xml:space="preserve"> Cancer Res</w:t>
      </w:r>
      <w:r w:rsidR="00031FE9">
        <w:rPr>
          <w:rFonts w:ascii="Helvetica" w:hAnsi="Helvetica"/>
          <w:i/>
          <w:lang w:val="en-US"/>
        </w:rPr>
        <w:t>earch</w:t>
      </w:r>
      <w:r w:rsidRPr="009672A6">
        <w:rPr>
          <w:rFonts w:ascii="Helvetica" w:hAnsi="Helvetica"/>
          <w:lang w:val="en-US"/>
        </w:rPr>
        <w:t xml:space="preserve"> 17:</w:t>
      </w:r>
      <w:r w:rsidR="00031FE9">
        <w:rPr>
          <w:rFonts w:ascii="Helvetica" w:hAnsi="Helvetica"/>
          <w:lang w:val="en-US"/>
        </w:rPr>
        <w:t xml:space="preserve"> </w:t>
      </w:r>
      <w:r w:rsidRPr="009672A6">
        <w:rPr>
          <w:rFonts w:ascii="Helvetica" w:hAnsi="Helvetica"/>
          <w:lang w:val="en-US"/>
        </w:rPr>
        <w:t xml:space="preserve">6437. </w:t>
      </w:r>
      <w:proofErr w:type="gramStart"/>
      <w:r w:rsidRPr="009672A6">
        <w:rPr>
          <w:rFonts w:ascii="Helvetica" w:hAnsi="Helvetica"/>
          <w:bCs/>
          <w:lang w:val="en-US"/>
        </w:rPr>
        <w:t>doi</w:t>
      </w:r>
      <w:proofErr w:type="gramEnd"/>
      <w:r w:rsidRPr="009672A6">
        <w:rPr>
          <w:rFonts w:ascii="Helvetica" w:hAnsi="Helvetica"/>
          <w:bCs/>
          <w:lang w:val="en-US"/>
        </w:rPr>
        <w:t>: 10.1158/1078-0432.CCR-11-0762)</w:t>
      </w:r>
      <w:r w:rsidR="00031FE9">
        <w:rPr>
          <w:rFonts w:ascii="Helvetica" w:hAnsi="Helvetica"/>
          <w:bCs/>
          <w:lang w:val="en-US"/>
        </w:rPr>
        <w:t>.</w:t>
      </w:r>
    </w:p>
    <w:p w:rsidR="00A17183" w:rsidRPr="009672A6" w:rsidRDefault="00A17183" w:rsidP="00E00865">
      <w:pPr>
        <w:spacing w:line="360" w:lineRule="auto"/>
        <w:jc w:val="both"/>
        <w:rPr>
          <w:rFonts w:ascii="Helvetica" w:hAnsi="Helvetica"/>
          <w:lang w:val="en-US"/>
        </w:rPr>
      </w:pPr>
      <w:r w:rsidRPr="009672A6">
        <w:rPr>
          <w:rFonts w:ascii="Helvetica" w:hAnsi="Helvetica"/>
          <w:lang w:val="en-US"/>
        </w:rPr>
        <w:t>Mathias, R</w:t>
      </w:r>
      <w:r w:rsidR="00031FE9">
        <w:rPr>
          <w:rFonts w:ascii="Helvetica" w:hAnsi="Helvetica"/>
          <w:lang w:val="en-US"/>
        </w:rPr>
        <w:t xml:space="preserve">. </w:t>
      </w:r>
      <w:r w:rsidRPr="009672A6">
        <w:rPr>
          <w:rFonts w:ascii="Helvetica" w:hAnsi="Helvetica"/>
          <w:lang w:val="en-US"/>
        </w:rPr>
        <w:t>A., Grant, A</w:t>
      </w:r>
      <w:r w:rsidR="00031FE9">
        <w:rPr>
          <w:rFonts w:ascii="Helvetica" w:hAnsi="Helvetica"/>
          <w:lang w:val="en-US"/>
        </w:rPr>
        <w:t xml:space="preserve">. </w:t>
      </w:r>
      <w:r w:rsidRPr="009672A6">
        <w:rPr>
          <w:rFonts w:ascii="Helvetica" w:hAnsi="Helvetica"/>
          <w:lang w:val="en-US"/>
        </w:rPr>
        <w:t xml:space="preserve">V., Rafaels, N., Hand, T., Gao, L., Vergara, C., Tsai, </w:t>
      </w:r>
      <w:proofErr w:type="gramStart"/>
      <w:r w:rsidRPr="009672A6">
        <w:rPr>
          <w:rFonts w:ascii="Helvetica" w:hAnsi="Helvetica"/>
          <w:lang w:val="en-US"/>
        </w:rPr>
        <w:t>YJ.,</w:t>
      </w:r>
      <w:proofErr w:type="gramEnd"/>
      <w:r w:rsidRPr="009672A6">
        <w:rPr>
          <w:rFonts w:ascii="Helvetica" w:hAnsi="Helvetica"/>
          <w:lang w:val="en-US"/>
        </w:rPr>
        <w:t xml:space="preserve"> </w:t>
      </w:r>
      <w:r w:rsidRPr="009672A6">
        <w:rPr>
          <w:rFonts w:ascii="Helvetica" w:hAnsi="Helvetica"/>
          <w:i/>
          <w:lang w:val="en-US"/>
        </w:rPr>
        <w:t>et al.</w:t>
      </w:r>
      <w:r w:rsidRPr="009672A6">
        <w:rPr>
          <w:rFonts w:ascii="Helvetica" w:hAnsi="Helvetica"/>
          <w:lang w:val="en-US"/>
        </w:rPr>
        <w:t xml:space="preserve"> 2010. A genome-wide association study on African-ancestry populations for asthma. </w:t>
      </w:r>
      <w:r w:rsidR="006F5DDB">
        <w:rPr>
          <w:rFonts w:ascii="Helvetica" w:hAnsi="Helvetica"/>
          <w:i/>
          <w:lang w:val="en-US"/>
        </w:rPr>
        <w:t xml:space="preserve">The </w:t>
      </w:r>
      <w:r w:rsidRPr="009672A6">
        <w:rPr>
          <w:rFonts w:ascii="Helvetica" w:hAnsi="Helvetica"/>
          <w:i/>
          <w:lang w:val="en-US"/>
        </w:rPr>
        <w:t>J</w:t>
      </w:r>
      <w:r w:rsidR="00031FE9">
        <w:rPr>
          <w:rFonts w:ascii="Helvetica" w:hAnsi="Helvetica"/>
          <w:i/>
          <w:lang w:val="en-US"/>
        </w:rPr>
        <w:t>ournal of</w:t>
      </w:r>
      <w:r w:rsidRPr="009672A6">
        <w:rPr>
          <w:rFonts w:ascii="Helvetica" w:hAnsi="Helvetica"/>
          <w:i/>
          <w:lang w:val="en-US"/>
        </w:rPr>
        <w:t xml:space="preserve"> Allergy </w:t>
      </w:r>
      <w:r w:rsidR="00031FE9">
        <w:rPr>
          <w:rFonts w:ascii="Helvetica" w:hAnsi="Helvetica"/>
          <w:i/>
          <w:lang w:val="en-US"/>
        </w:rPr>
        <w:t xml:space="preserve">and </w:t>
      </w:r>
      <w:r w:rsidRPr="009672A6">
        <w:rPr>
          <w:rFonts w:ascii="Helvetica" w:hAnsi="Helvetica"/>
          <w:i/>
          <w:lang w:val="en-US"/>
        </w:rPr>
        <w:t>Clin</w:t>
      </w:r>
      <w:r w:rsidR="00031FE9">
        <w:rPr>
          <w:rFonts w:ascii="Helvetica" w:hAnsi="Helvetica"/>
          <w:i/>
          <w:lang w:val="en-US"/>
        </w:rPr>
        <w:t>ical</w:t>
      </w:r>
      <w:r w:rsidRPr="009672A6">
        <w:rPr>
          <w:rFonts w:ascii="Helvetica" w:hAnsi="Helvetica"/>
          <w:i/>
          <w:lang w:val="en-US"/>
        </w:rPr>
        <w:t xml:space="preserve"> Immunol</w:t>
      </w:r>
      <w:r w:rsidR="00031FE9">
        <w:rPr>
          <w:rFonts w:ascii="Helvetica" w:hAnsi="Helvetica"/>
          <w:i/>
          <w:lang w:val="en-US"/>
        </w:rPr>
        <w:t>ogy</w:t>
      </w:r>
      <w:r w:rsidRPr="009672A6">
        <w:rPr>
          <w:rFonts w:ascii="Helvetica" w:hAnsi="Helvetica"/>
          <w:lang w:val="en-US"/>
        </w:rPr>
        <w:t xml:space="preserve"> 125</w:t>
      </w:r>
      <w:r w:rsidR="00031FE9">
        <w:rPr>
          <w:rFonts w:ascii="Helvetica" w:hAnsi="Helvetica"/>
          <w:lang w:val="en-US"/>
        </w:rPr>
        <w:t xml:space="preserve"> </w:t>
      </w:r>
      <w:r w:rsidRPr="009672A6">
        <w:rPr>
          <w:rFonts w:ascii="Helvetica" w:hAnsi="Helvetica"/>
          <w:lang w:val="en-US"/>
        </w:rPr>
        <w:t>(2):</w:t>
      </w:r>
      <w:r w:rsidR="00031FE9">
        <w:rPr>
          <w:rFonts w:ascii="Helvetica" w:hAnsi="Helvetica"/>
          <w:lang w:val="en-US"/>
        </w:rPr>
        <w:t xml:space="preserve"> </w:t>
      </w:r>
      <w:r w:rsidRPr="009672A6">
        <w:rPr>
          <w:rFonts w:ascii="Helvetica" w:hAnsi="Helvetica"/>
          <w:lang w:val="en-US"/>
        </w:rPr>
        <w:t xml:space="preserve"> 336-346</w:t>
      </w:r>
      <w:r w:rsidR="00031FE9">
        <w:rPr>
          <w:rFonts w:ascii="Helvetica" w:hAnsi="Helvetica"/>
          <w:lang w:val="en-US"/>
        </w:rPr>
        <w:t>.</w:t>
      </w:r>
    </w:p>
    <w:p w:rsidR="00A17183" w:rsidRPr="009672A6" w:rsidRDefault="00A17183" w:rsidP="00E00865">
      <w:pPr>
        <w:spacing w:line="360" w:lineRule="auto"/>
        <w:jc w:val="both"/>
        <w:rPr>
          <w:rFonts w:ascii="Helvetica" w:hAnsi="Helvetica"/>
          <w:lang w:val="en-US"/>
        </w:rPr>
      </w:pPr>
      <w:r w:rsidRPr="009672A6">
        <w:rPr>
          <w:rFonts w:ascii="Helvetica" w:hAnsi="Helvetica"/>
          <w:lang w:val="en-US"/>
        </w:rPr>
        <w:t>Misiak, R</w:t>
      </w:r>
      <w:r w:rsidR="006F5DDB">
        <w:rPr>
          <w:rFonts w:ascii="Helvetica" w:hAnsi="Helvetica"/>
          <w:lang w:val="en-US"/>
        </w:rPr>
        <w:t xml:space="preserve">. </w:t>
      </w:r>
      <w:r w:rsidRPr="009672A6">
        <w:rPr>
          <w:rFonts w:ascii="Helvetica" w:hAnsi="Helvetica"/>
          <w:lang w:val="en-US"/>
        </w:rPr>
        <w:t>T.</w:t>
      </w:r>
      <w:proofErr w:type="gramStart"/>
      <w:r w:rsidRPr="009672A6">
        <w:rPr>
          <w:rFonts w:ascii="Helvetica" w:hAnsi="Helvetica"/>
          <w:lang w:val="en-US"/>
        </w:rPr>
        <w:t>,  Wegienka</w:t>
      </w:r>
      <w:proofErr w:type="gramEnd"/>
      <w:r w:rsidRPr="009672A6">
        <w:rPr>
          <w:rFonts w:ascii="Helvetica" w:hAnsi="Helvetica"/>
          <w:lang w:val="en-US"/>
        </w:rPr>
        <w:t>, G.</w:t>
      </w:r>
      <w:r w:rsidR="006F5DDB">
        <w:rPr>
          <w:rFonts w:ascii="Helvetica" w:hAnsi="Helvetica"/>
          <w:lang w:val="en-US"/>
        </w:rPr>
        <w:t xml:space="preserve"> and</w:t>
      </w:r>
      <w:r w:rsidRPr="009672A6">
        <w:rPr>
          <w:rFonts w:ascii="Helvetica" w:hAnsi="Helvetica"/>
          <w:lang w:val="en-US"/>
        </w:rPr>
        <w:t xml:space="preserve"> Zoratti, E. 2010. Are Specific Allergen Sensitivities Inherited? </w:t>
      </w:r>
      <w:r w:rsidRPr="009672A6">
        <w:rPr>
          <w:rFonts w:ascii="Helvetica" w:hAnsi="Helvetica"/>
          <w:i/>
          <w:lang w:val="en-US"/>
        </w:rPr>
        <w:t>Curr</w:t>
      </w:r>
      <w:r w:rsidR="00F12F77">
        <w:rPr>
          <w:rFonts w:ascii="Helvetica" w:hAnsi="Helvetica"/>
          <w:i/>
          <w:lang w:val="en-US"/>
        </w:rPr>
        <w:t>ent</w:t>
      </w:r>
      <w:r w:rsidRPr="009672A6">
        <w:rPr>
          <w:rFonts w:ascii="Helvetica" w:hAnsi="Helvetica"/>
          <w:i/>
          <w:lang w:val="en-US"/>
        </w:rPr>
        <w:t xml:space="preserve"> Allergy </w:t>
      </w:r>
      <w:r w:rsidR="00F12F77">
        <w:rPr>
          <w:rFonts w:ascii="Helvetica" w:hAnsi="Helvetica"/>
          <w:i/>
          <w:lang w:val="en-US"/>
        </w:rPr>
        <w:t xml:space="preserve">and </w:t>
      </w:r>
      <w:r w:rsidRPr="009672A6">
        <w:rPr>
          <w:rFonts w:ascii="Helvetica" w:hAnsi="Helvetica"/>
          <w:i/>
          <w:lang w:val="en-US"/>
        </w:rPr>
        <w:t>Asthma Rep</w:t>
      </w:r>
      <w:r w:rsidR="00F12F77">
        <w:rPr>
          <w:rFonts w:ascii="Helvetica" w:hAnsi="Helvetica"/>
          <w:i/>
          <w:lang w:val="en-US"/>
        </w:rPr>
        <w:t>orts</w:t>
      </w:r>
      <w:r w:rsidRPr="009672A6">
        <w:rPr>
          <w:rFonts w:ascii="Helvetica" w:hAnsi="Helvetica"/>
          <w:lang w:val="en-US"/>
        </w:rPr>
        <w:t xml:space="preserve"> 10:</w:t>
      </w:r>
      <w:r w:rsidR="00F12F77">
        <w:rPr>
          <w:rFonts w:ascii="Helvetica" w:hAnsi="Helvetica"/>
          <w:lang w:val="en-US"/>
        </w:rPr>
        <w:t xml:space="preserve"> </w:t>
      </w:r>
      <w:r w:rsidRPr="009672A6">
        <w:rPr>
          <w:rFonts w:ascii="Helvetica" w:hAnsi="Helvetica"/>
          <w:lang w:val="en-US"/>
        </w:rPr>
        <w:t>336</w:t>
      </w:r>
      <w:r w:rsidR="00F12F77">
        <w:rPr>
          <w:rFonts w:ascii="Helvetica" w:hAnsi="Helvetica"/>
          <w:lang w:val="en-US"/>
        </w:rPr>
        <w:t>-</w:t>
      </w:r>
      <w:r w:rsidRPr="009672A6">
        <w:rPr>
          <w:rFonts w:ascii="Helvetica" w:hAnsi="Helvetica"/>
          <w:lang w:val="en-US"/>
        </w:rPr>
        <w:t>339</w:t>
      </w:r>
      <w:r w:rsidR="00F12F77">
        <w:rPr>
          <w:rFonts w:ascii="Helvetica" w:hAnsi="Helvetica"/>
          <w:lang w:val="en-US"/>
        </w:rPr>
        <w:t>.</w:t>
      </w:r>
    </w:p>
    <w:p w:rsidR="00A17183" w:rsidRPr="009672A6" w:rsidRDefault="00A17183" w:rsidP="00E00865">
      <w:pPr>
        <w:spacing w:line="360" w:lineRule="auto"/>
        <w:jc w:val="both"/>
        <w:rPr>
          <w:rFonts w:ascii="Helvetica" w:hAnsi="Helvetica"/>
          <w:lang w:val="en-US"/>
        </w:rPr>
      </w:pPr>
      <w:proofErr w:type="gramStart"/>
      <w:r w:rsidRPr="009672A6">
        <w:rPr>
          <w:rFonts w:ascii="Helvetica" w:hAnsi="Helvetica"/>
          <w:lang w:val="en-US"/>
        </w:rPr>
        <w:t>O´Donnell, Ch</w:t>
      </w:r>
      <w:r w:rsidR="00E07F9B">
        <w:rPr>
          <w:rFonts w:ascii="Helvetica" w:hAnsi="Helvetica"/>
          <w:lang w:val="en-US"/>
        </w:rPr>
        <w:t xml:space="preserve">. </w:t>
      </w:r>
      <w:r w:rsidRPr="009672A6">
        <w:rPr>
          <w:rFonts w:ascii="Helvetica" w:hAnsi="Helvetica"/>
          <w:lang w:val="en-US"/>
        </w:rPr>
        <w:t>J. and Nabel, E</w:t>
      </w:r>
      <w:r w:rsidR="00E07F9B">
        <w:rPr>
          <w:rFonts w:ascii="Helvetica" w:hAnsi="Helvetica"/>
          <w:lang w:val="en-US"/>
        </w:rPr>
        <w:t xml:space="preserve">. </w:t>
      </w:r>
      <w:r w:rsidRPr="009672A6">
        <w:rPr>
          <w:rFonts w:ascii="Helvetica" w:hAnsi="Helvetica"/>
          <w:lang w:val="en-US"/>
        </w:rPr>
        <w:t>G. 2011.</w:t>
      </w:r>
      <w:proofErr w:type="gramEnd"/>
      <w:r w:rsidRPr="009672A6">
        <w:rPr>
          <w:rFonts w:ascii="Helvetica" w:hAnsi="Helvetica"/>
          <w:lang w:val="en-US"/>
        </w:rPr>
        <w:t xml:space="preserve"> </w:t>
      </w:r>
      <w:proofErr w:type="gramStart"/>
      <w:r w:rsidRPr="009672A6">
        <w:rPr>
          <w:rFonts w:ascii="Helvetica" w:hAnsi="Helvetica"/>
          <w:lang w:val="en-US"/>
        </w:rPr>
        <w:t>Genomics of Cardiovascular Disease.</w:t>
      </w:r>
      <w:proofErr w:type="gramEnd"/>
      <w:r w:rsidRPr="009672A6">
        <w:rPr>
          <w:rFonts w:ascii="Helvetica" w:hAnsi="Helvetica"/>
          <w:lang w:val="en-US"/>
        </w:rPr>
        <w:t xml:space="preserve"> </w:t>
      </w:r>
      <w:r w:rsidR="00E07F9B">
        <w:rPr>
          <w:rFonts w:ascii="Helvetica" w:hAnsi="Helvetica"/>
          <w:i/>
          <w:lang w:val="en-US"/>
        </w:rPr>
        <w:t xml:space="preserve">The </w:t>
      </w:r>
      <w:r w:rsidR="00E07F9B" w:rsidRPr="009672A6">
        <w:rPr>
          <w:rFonts w:ascii="Helvetica" w:hAnsi="Helvetica"/>
          <w:i/>
          <w:lang w:val="en-US"/>
        </w:rPr>
        <w:t>N</w:t>
      </w:r>
      <w:r w:rsidR="00E07F9B">
        <w:rPr>
          <w:rFonts w:ascii="Helvetica" w:hAnsi="Helvetica"/>
          <w:i/>
          <w:lang w:val="en-US"/>
        </w:rPr>
        <w:t>ew</w:t>
      </w:r>
      <w:r w:rsidR="00E07F9B" w:rsidRPr="009672A6">
        <w:rPr>
          <w:rFonts w:ascii="Helvetica" w:hAnsi="Helvetica"/>
          <w:i/>
          <w:lang w:val="en-US"/>
        </w:rPr>
        <w:t xml:space="preserve"> Engl</w:t>
      </w:r>
      <w:r w:rsidR="00E07F9B">
        <w:rPr>
          <w:rFonts w:ascii="Helvetica" w:hAnsi="Helvetica"/>
          <w:i/>
          <w:lang w:val="en-US"/>
        </w:rPr>
        <w:t>and</w:t>
      </w:r>
      <w:r w:rsidR="00E07F9B" w:rsidRPr="009672A6">
        <w:rPr>
          <w:rFonts w:ascii="Helvetica" w:hAnsi="Helvetica"/>
          <w:i/>
          <w:lang w:val="en-US"/>
        </w:rPr>
        <w:t xml:space="preserve"> J</w:t>
      </w:r>
      <w:r w:rsidR="00E07F9B">
        <w:rPr>
          <w:rFonts w:ascii="Helvetica" w:hAnsi="Helvetica"/>
          <w:i/>
          <w:lang w:val="en-US"/>
        </w:rPr>
        <w:t>ournal of</w:t>
      </w:r>
      <w:r w:rsidR="00E07F9B" w:rsidRPr="009672A6">
        <w:rPr>
          <w:rFonts w:ascii="Helvetica" w:hAnsi="Helvetica"/>
          <w:i/>
          <w:lang w:val="en-US"/>
        </w:rPr>
        <w:t xml:space="preserve"> Med</w:t>
      </w:r>
      <w:r w:rsidR="00E07F9B">
        <w:rPr>
          <w:rFonts w:ascii="Helvetica" w:hAnsi="Helvetica"/>
          <w:i/>
          <w:lang w:val="en-US"/>
        </w:rPr>
        <w:t>icine</w:t>
      </w:r>
      <w:r w:rsidRPr="009672A6">
        <w:rPr>
          <w:rFonts w:ascii="Helvetica" w:hAnsi="Helvetica"/>
          <w:lang w:val="en-US"/>
        </w:rPr>
        <w:t xml:space="preserve"> 365</w:t>
      </w:r>
      <w:r w:rsidR="00E07F9B">
        <w:rPr>
          <w:rFonts w:ascii="Helvetica" w:hAnsi="Helvetica"/>
          <w:lang w:val="en-US"/>
        </w:rPr>
        <w:t xml:space="preserve"> </w:t>
      </w:r>
      <w:r w:rsidRPr="009672A6">
        <w:rPr>
          <w:rFonts w:ascii="Helvetica" w:hAnsi="Helvetica"/>
          <w:lang w:val="en-US"/>
        </w:rPr>
        <w:t>(22): 2098-2109</w:t>
      </w:r>
      <w:r w:rsidR="00E07F9B">
        <w:rPr>
          <w:rFonts w:ascii="Helvetica" w:hAnsi="Helvetica"/>
          <w:lang w:val="en-US"/>
        </w:rPr>
        <w:t>.</w:t>
      </w:r>
    </w:p>
    <w:p w:rsidR="00A17183" w:rsidRPr="009672A6" w:rsidRDefault="00A17183" w:rsidP="00E00865">
      <w:pPr>
        <w:spacing w:line="360" w:lineRule="auto"/>
        <w:jc w:val="both"/>
        <w:rPr>
          <w:rFonts w:ascii="Helvetica" w:hAnsi="Helvetica"/>
          <w:lang w:val="en-US"/>
        </w:rPr>
      </w:pPr>
      <w:proofErr w:type="gramStart"/>
      <w:r w:rsidRPr="009672A6">
        <w:rPr>
          <w:rFonts w:ascii="Helvetica" w:hAnsi="Helvetica"/>
          <w:lang w:val="en-US"/>
        </w:rPr>
        <w:t>Peng, W. 2011.</w:t>
      </w:r>
      <w:proofErr w:type="gramEnd"/>
      <w:r w:rsidRPr="009672A6">
        <w:rPr>
          <w:rFonts w:ascii="Helvetica" w:hAnsi="Helvetica"/>
          <w:lang w:val="en-US"/>
        </w:rPr>
        <w:t xml:space="preserve"> Drug pipeline: Q311. </w:t>
      </w:r>
      <w:r w:rsidRPr="009672A6">
        <w:rPr>
          <w:rFonts w:ascii="Helvetica" w:hAnsi="Helvetica"/>
          <w:i/>
          <w:lang w:val="en-US"/>
        </w:rPr>
        <w:t>Nature Biotechnology</w:t>
      </w:r>
      <w:r w:rsidRPr="009672A6">
        <w:rPr>
          <w:rFonts w:ascii="Helvetica" w:hAnsi="Helvetica"/>
          <w:lang w:val="en-US"/>
        </w:rPr>
        <w:t xml:space="preserve"> 29</w:t>
      </w:r>
      <w:r w:rsidR="00D670D2">
        <w:rPr>
          <w:rFonts w:ascii="Helvetica" w:hAnsi="Helvetica"/>
          <w:lang w:val="en-US"/>
        </w:rPr>
        <w:t xml:space="preserve"> </w:t>
      </w:r>
      <w:r w:rsidRPr="009672A6">
        <w:rPr>
          <w:rFonts w:ascii="Helvetica" w:hAnsi="Helvetica"/>
          <w:lang w:val="en-US"/>
        </w:rPr>
        <w:t>(10): 859</w:t>
      </w:r>
      <w:r w:rsidR="00D670D2">
        <w:rPr>
          <w:rFonts w:ascii="Helvetica" w:hAnsi="Helvetica"/>
          <w:lang w:val="en-US"/>
        </w:rPr>
        <w:t>.</w:t>
      </w:r>
    </w:p>
    <w:p w:rsidR="00A17183" w:rsidRPr="009672A6" w:rsidRDefault="00A17183" w:rsidP="00E00865">
      <w:pPr>
        <w:spacing w:line="360" w:lineRule="auto"/>
        <w:jc w:val="both"/>
        <w:rPr>
          <w:rFonts w:ascii="Helvetica" w:hAnsi="Helvetica" w:cs="Arial"/>
          <w:szCs w:val="26"/>
          <w:lang w:val="en-US" w:eastAsia="es-ES_tradnl"/>
        </w:rPr>
      </w:pPr>
      <w:r w:rsidRPr="009672A6">
        <w:rPr>
          <w:rFonts w:ascii="Helvetica" w:hAnsi="Helvetica" w:cs="Arial"/>
          <w:szCs w:val="26"/>
          <w:lang w:val="en-US" w:eastAsia="es-ES_tradnl"/>
        </w:rPr>
        <w:t xml:space="preserve">Von Minckwitz, G., Zielinski, C., Maarteense, E., </w:t>
      </w:r>
      <w:r w:rsidRPr="009672A6">
        <w:rPr>
          <w:rFonts w:ascii="Helvetica" w:hAnsi="Helvetica" w:cs="Arial"/>
          <w:i/>
          <w:szCs w:val="26"/>
          <w:lang w:val="en-US" w:eastAsia="es-ES_tradnl"/>
        </w:rPr>
        <w:t>et al.</w:t>
      </w:r>
      <w:r w:rsidRPr="009672A6">
        <w:rPr>
          <w:rFonts w:ascii="Helvetica" w:hAnsi="Helvetica" w:cs="Arial"/>
          <w:szCs w:val="26"/>
          <w:lang w:val="en-US" w:eastAsia="es-ES_tradnl"/>
        </w:rPr>
        <w:t xml:space="preserve"> 2008. Capecitabine vs. capecitabine + trastuzumab in patients with HER2-positive metastatic breast cancer progressing during trastuzumab treatment: The TBP phase III study </w:t>
      </w:r>
      <w:r w:rsidRPr="009672A6">
        <w:rPr>
          <w:rFonts w:ascii="Helvetica" w:hAnsi="Helvetica" w:cs="Arial"/>
          <w:szCs w:val="26"/>
          <w:lang w:val="en-US" w:eastAsia="es-ES_tradnl"/>
        </w:rPr>
        <w:lastRenderedPageBreak/>
        <w:t xml:space="preserve">(GBG 26/BIG 3-05) </w:t>
      </w:r>
      <w:r w:rsidRPr="009672A6">
        <w:rPr>
          <w:rFonts w:ascii="Helvetica" w:hAnsi="Helvetica" w:cs="Arial"/>
          <w:i/>
          <w:szCs w:val="26"/>
          <w:lang w:val="en-US" w:eastAsia="es-ES_tradnl"/>
        </w:rPr>
        <w:t>Journal of Clinical Oncology,</w:t>
      </w:r>
      <w:r w:rsidRPr="009672A6">
        <w:rPr>
          <w:rFonts w:ascii="Helvetica" w:hAnsi="Helvetica" w:cs="Arial"/>
          <w:szCs w:val="26"/>
          <w:lang w:val="en-US" w:eastAsia="es-ES_tradnl"/>
        </w:rPr>
        <w:t xml:space="preserve"> 2008 ASCO Annual Meeting Proceedings (Post-Meeting Edition). Vol 26, No 15S (May 20 Supplement), 2008:</w:t>
      </w:r>
      <w:r w:rsidR="00A25B37">
        <w:rPr>
          <w:rFonts w:ascii="Helvetica" w:hAnsi="Helvetica" w:cs="Arial"/>
          <w:szCs w:val="26"/>
          <w:lang w:val="en-US" w:eastAsia="es-ES_tradnl"/>
        </w:rPr>
        <w:t xml:space="preserve"> </w:t>
      </w:r>
      <w:r w:rsidRPr="009672A6">
        <w:rPr>
          <w:rFonts w:ascii="Helvetica" w:hAnsi="Helvetica" w:cs="Arial"/>
          <w:szCs w:val="26"/>
          <w:lang w:val="en-US" w:eastAsia="es-ES_tradnl"/>
        </w:rPr>
        <w:t>1025)</w:t>
      </w:r>
      <w:r w:rsidR="00A25B37">
        <w:rPr>
          <w:rFonts w:ascii="Helvetica" w:hAnsi="Helvetica" w:cs="Arial"/>
          <w:szCs w:val="26"/>
          <w:lang w:val="en-US" w:eastAsia="es-ES_tradnl"/>
        </w:rPr>
        <w:t>.</w:t>
      </w:r>
      <w:r w:rsidRPr="009672A6">
        <w:rPr>
          <w:rFonts w:ascii="Helvetica" w:hAnsi="Helvetica" w:cs="Arial"/>
          <w:szCs w:val="26"/>
          <w:lang w:val="en-US" w:eastAsia="es-ES_tradnl"/>
        </w:rPr>
        <w:t xml:space="preserve"> </w:t>
      </w:r>
    </w:p>
    <w:p w:rsidR="00A17183" w:rsidRPr="009672A6" w:rsidRDefault="00A17183" w:rsidP="00E00865">
      <w:pPr>
        <w:spacing w:line="360" w:lineRule="auto"/>
        <w:jc w:val="both"/>
        <w:rPr>
          <w:rFonts w:ascii="Helvetica" w:hAnsi="Helvetica"/>
          <w:lang w:val="en-US"/>
        </w:rPr>
      </w:pPr>
      <w:proofErr w:type="gramStart"/>
      <w:r w:rsidRPr="009672A6">
        <w:rPr>
          <w:rFonts w:ascii="Helvetica" w:hAnsi="Helvetica"/>
          <w:lang w:val="en-US"/>
        </w:rPr>
        <w:t xml:space="preserve">Vukelja, S., Rugo, H., Vogel, C., </w:t>
      </w:r>
      <w:r w:rsidRPr="009672A6">
        <w:rPr>
          <w:rFonts w:ascii="Helvetica" w:hAnsi="Helvetica"/>
          <w:i/>
          <w:lang w:val="en-US"/>
        </w:rPr>
        <w:t>et al.</w:t>
      </w:r>
      <w:r w:rsidRPr="009672A6">
        <w:rPr>
          <w:rFonts w:ascii="Helvetica" w:hAnsi="Helvetica"/>
          <w:lang w:val="en-US"/>
        </w:rPr>
        <w:t xml:space="preserve"> 2009.</w:t>
      </w:r>
      <w:proofErr w:type="gramEnd"/>
      <w:r w:rsidRPr="009672A6">
        <w:rPr>
          <w:rFonts w:ascii="Helvetica" w:hAnsi="Helvetica"/>
          <w:lang w:val="en-US"/>
        </w:rPr>
        <w:t xml:space="preserve"> </w:t>
      </w:r>
      <w:proofErr w:type="gramStart"/>
      <w:r w:rsidRPr="009672A6">
        <w:rPr>
          <w:rFonts w:ascii="Helvetica" w:hAnsi="Helvetica"/>
          <w:lang w:val="en-US"/>
        </w:rPr>
        <w:t>A phase II study of trastuzumab-DM1, a first-in-class HER2 antibody-drug conjugate, in patients with HER2+ metastatic breast cancer.</w:t>
      </w:r>
      <w:proofErr w:type="gramEnd"/>
      <w:r w:rsidRPr="009672A6">
        <w:rPr>
          <w:rFonts w:ascii="Helvetica" w:hAnsi="Helvetica"/>
          <w:lang w:val="en-US"/>
        </w:rPr>
        <w:t xml:space="preserve"> </w:t>
      </w:r>
      <w:r w:rsidRPr="009672A6">
        <w:rPr>
          <w:rFonts w:ascii="Helvetica" w:hAnsi="Helvetica"/>
          <w:i/>
          <w:iCs/>
          <w:lang w:val="en-US"/>
        </w:rPr>
        <w:t>Cancer Res</w:t>
      </w:r>
      <w:r w:rsidR="009E2377">
        <w:rPr>
          <w:rFonts w:ascii="Helvetica" w:hAnsi="Helvetica"/>
          <w:i/>
          <w:iCs/>
          <w:lang w:val="en-US"/>
        </w:rPr>
        <w:t>earch</w:t>
      </w:r>
      <w:r w:rsidRPr="009672A6">
        <w:rPr>
          <w:rFonts w:ascii="Helvetica" w:hAnsi="Helvetica"/>
          <w:lang w:val="en-US"/>
        </w:rPr>
        <w:t xml:space="preserve"> 2009;</w:t>
      </w:r>
      <w:r w:rsidR="009E2377">
        <w:rPr>
          <w:rFonts w:ascii="Helvetica" w:hAnsi="Helvetica"/>
          <w:lang w:val="en-US"/>
        </w:rPr>
        <w:t xml:space="preserve"> </w:t>
      </w:r>
      <w:r w:rsidRPr="009672A6">
        <w:rPr>
          <w:rFonts w:ascii="Helvetica" w:hAnsi="Helvetica"/>
          <w:lang w:val="en-US"/>
        </w:rPr>
        <w:t>69</w:t>
      </w:r>
      <w:r w:rsidR="009E2377">
        <w:rPr>
          <w:rFonts w:ascii="Helvetica" w:hAnsi="Helvetica"/>
          <w:lang w:val="en-US"/>
        </w:rPr>
        <w:t xml:space="preserve"> </w:t>
      </w:r>
      <w:r w:rsidRPr="009672A6">
        <w:rPr>
          <w:rFonts w:ascii="Helvetica" w:hAnsi="Helvetica"/>
          <w:lang w:val="en-US"/>
        </w:rPr>
        <w:t>(suppl 2):</w:t>
      </w:r>
      <w:r w:rsidR="009E2377">
        <w:rPr>
          <w:rFonts w:ascii="Helvetica" w:hAnsi="Helvetica"/>
          <w:lang w:val="en-US"/>
        </w:rPr>
        <w:t xml:space="preserve"> </w:t>
      </w:r>
      <w:r w:rsidRPr="009672A6">
        <w:rPr>
          <w:rFonts w:ascii="Helvetica" w:hAnsi="Helvetica"/>
          <w:lang w:val="en-US"/>
        </w:rPr>
        <w:t>71s: Abstract 33</w:t>
      </w:r>
      <w:r w:rsidR="009E2377">
        <w:rPr>
          <w:rFonts w:ascii="Helvetica" w:hAnsi="Helvetica"/>
          <w:lang w:val="en-US"/>
        </w:rPr>
        <w:t>.</w:t>
      </w:r>
    </w:p>
    <w:p w:rsidR="00A17183" w:rsidRPr="009672A6" w:rsidRDefault="00A17183" w:rsidP="00E00865">
      <w:pPr>
        <w:spacing w:line="360" w:lineRule="auto"/>
        <w:jc w:val="both"/>
        <w:rPr>
          <w:rFonts w:ascii="Helvetica" w:hAnsi="Helvetica"/>
          <w:lang w:val="en-US"/>
        </w:rPr>
      </w:pPr>
      <w:r w:rsidRPr="009672A6">
        <w:rPr>
          <w:rFonts w:ascii="Helvetica" w:hAnsi="Helvetica"/>
          <w:lang w:val="en-US"/>
        </w:rPr>
        <w:t>Witonsky</w:t>
      </w:r>
      <w:r w:rsidRPr="009672A6">
        <w:rPr>
          <w:rFonts w:ascii="Helvetica" w:hAnsi="Helvetica"/>
          <w:b/>
          <w:lang w:val="en-US"/>
        </w:rPr>
        <w:t>,</w:t>
      </w:r>
      <w:r w:rsidRPr="009672A6">
        <w:rPr>
          <w:rFonts w:ascii="Helvetica" w:hAnsi="Helvetica"/>
          <w:lang w:val="en-US"/>
        </w:rPr>
        <w:t xml:space="preserve"> J. 2011. </w:t>
      </w:r>
      <w:proofErr w:type="gramStart"/>
      <w:r w:rsidRPr="009672A6">
        <w:rPr>
          <w:rFonts w:ascii="Helvetica" w:hAnsi="Helvetica"/>
          <w:bCs/>
          <w:lang w:val="en-US"/>
        </w:rPr>
        <w:t>Infectious Disease Molecular Diagnostics.</w:t>
      </w:r>
      <w:proofErr w:type="gramEnd"/>
      <w:r w:rsidRPr="009672A6">
        <w:rPr>
          <w:rFonts w:ascii="Helvetica" w:hAnsi="Helvetica"/>
          <w:bCs/>
          <w:lang w:val="en-US"/>
        </w:rPr>
        <w:t xml:space="preserve"> </w:t>
      </w:r>
      <w:proofErr w:type="gramStart"/>
      <w:r w:rsidRPr="009672A6">
        <w:rPr>
          <w:rFonts w:ascii="Helvetica" w:hAnsi="Helvetica"/>
          <w:bCs/>
          <w:i/>
          <w:lang w:val="en-US"/>
        </w:rPr>
        <w:t>Genetic Engineering</w:t>
      </w:r>
      <w:r w:rsidR="00ED7CE7">
        <w:rPr>
          <w:rFonts w:ascii="Helvetica" w:hAnsi="Helvetica"/>
          <w:bCs/>
          <w:i/>
          <w:lang w:val="en-US"/>
        </w:rPr>
        <w:t xml:space="preserve"> </w:t>
      </w:r>
      <w:r w:rsidRPr="009672A6">
        <w:rPr>
          <w:rFonts w:ascii="Helvetica" w:hAnsi="Helvetica"/>
          <w:bCs/>
          <w:i/>
          <w:lang w:val="en-US"/>
        </w:rPr>
        <w:t>&amp; Biotechnology News</w:t>
      </w:r>
      <w:r w:rsidRPr="009672A6">
        <w:rPr>
          <w:rFonts w:ascii="Helvetica" w:hAnsi="Helvetica"/>
          <w:bCs/>
          <w:lang w:val="en-US"/>
        </w:rPr>
        <w:t>.</w:t>
      </w:r>
      <w:proofErr w:type="gramEnd"/>
      <w:r w:rsidRPr="009672A6">
        <w:rPr>
          <w:rFonts w:ascii="Helvetica" w:hAnsi="Helvetica"/>
          <w:bCs/>
          <w:lang w:val="en-US"/>
        </w:rPr>
        <w:t xml:space="preserve"> </w:t>
      </w:r>
      <w:proofErr w:type="gramStart"/>
      <w:r w:rsidRPr="009672A6">
        <w:rPr>
          <w:rFonts w:ascii="Helvetica" w:hAnsi="Helvetica"/>
          <w:bCs/>
          <w:lang w:val="en-US"/>
        </w:rPr>
        <w:t>31</w:t>
      </w:r>
      <w:r w:rsidR="00ED7CE7">
        <w:rPr>
          <w:rFonts w:ascii="Helvetica" w:hAnsi="Helvetica"/>
          <w:bCs/>
          <w:lang w:val="en-US"/>
        </w:rPr>
        <w:t xml:space="preserve"> </w:t>
      </w:r>
      <w:r w:rsidRPr="009672A6">
        <w:rPr>
          <w:rFonts w:ascii="Helvetica" w:hAnsi="Helvetica"/>
          <w:bCs/>
          <w:lang w:val="en-US"/>
        </w:rPr>
        <w:t>(20).</w:t>
      </w:r>
      <w:proofErr w:type="gramEnd"/>
      <w:r w:rsidRPr="009672A6">
        <w:rPr>
          <w:rFonts w:ascii="Helvetica" w:hAnsi="Helvetica"/>
          <w:bCs/>
          <w:lang w:val="en-US"/>
        </w:rPr>
        <w:t xml:space="preserve"> </w:t>
      </w:r>
      <w:proofErr w:type="gramStart"/>
      <w:r w:rsidRPr="009672A6">
        <w:rPr>
          <w:rFonts w:ascii="Helvetica" w:hAnsi="Helvetica"/>
          <w:bCs/>
          <w:lang w:val="en-US"/>
        </w:rPr>
        <w:t>Noviembre 15.</w:t>
      </w:r>
      <w:proofErr w:type="gramEnd"/>
      <w:r w:rsidRPr="009672A6">
        <w:rPr>
          <w:rFonts w:ascii="Helvetica" w:hAnsi="Helvetica"/>
          <w:bCs/>
          <w:lang w:val="en-US"/>
        </w:rPr>
        <w:t xml:space="preserve"> </w:t>
      </w:r>
      <w:proofErr w:type="gramStart"/>
      <w:r w:rsidRPr="009672A6">
        <w:rPr>
          <w:rFonts w:ascii="Helvetica" w:hAnsi="Helvetica"/>
          <w:bCs/>
          <w:lang w:val="en-US"/>
        </w:rPr>
        <w:t>online</w:t>
      </w:r>
      <w:proofErr w:type="gramEnd"/>
      <w:r w:rsidRPr="009672A6">
        <w:rPr>
          <w:rFonts w:ascii="Helvetica" w:hAnsi="Helvetica"/>
          <w:bCs/>
          <w:lang w:val="en-US"/>
        </w:rPr>
        <w:t xml:space="preserve">: </w:t>
      </w:r>
      <w:hyperlink r:id="rId7" w:history="1">
        <w:r w:rsidRPr="009672A6">
          <w:rPr>
            <w:rStyle w:val="Hipervnculo"/>
            <w:rFonts w:ascii="Helvetica" w:hAnsi="Helvetica"/>
            <w:bCs/>
            <w:lang w:val="en-US"/>
          </w:rPr>
          <w:t>http://www.genengnews.com/gen-articles/infectious-disease-molecular-diagnostics/3918/?kwrd=Molecular%20Diagnostics</w:t>
        </w:r>
      </w:hyperlink>
    </w:p>
    <w:p w:rsidR="00A17183" w:rsidRPr="00631D3A" w:rsidRDefault="00A17183" w:rsidP="00E00865">
      <w:pPr>
        <w:spacing w:line="360" w:lineRule="auto"/>
        <w:jc w:val="both"/>
        <w:rPr>
          <w:rFonts w:ascii="Helvetica" w:hAnsi="Helvetica"/>
          <w:bCs/>
        </w:rPr>
      </w:pPr>
      <w:r w:rsidRPr="009672A6">
        <w:rPr>
          <w:rFonts w:ascii="Helvetica" w:hAnsi="Helvetica"/>
          <w:bCs/>
          <w:lang w:val="en-US"/>
        </w:rPr>
        <w:t xml:space="preserve">Wonga, H., Leung, R., Kwong, A., </w:t>
      </w:r>
      <w:r w:rsidRPr="009672A6">
        <w:rPr>
          <w:rFonts w:ascii="Helvetica" w:hAnsi="Helvetica"/>
          <w:bCs/>
          <w:i/>
          <w:lang w:val="en-US"/>
        </w:rPr>
        <w:t>et al.</w:t>
      </w:r>
      <w:r w:rsidRPr="009672A6">
        <w:rPr>
          <w:rFonts w:ascii="Helvetica" w:hAnsi="Helvetica"/>
          <w:bCs/>
          <w:lang w:val="en-US"/>
        </w:rPr>
        <w:t xml:space="preserve"> 2011. </w:t>
      </w:r>
      <w:proofErr w:type="gramStart"/>
      <w:r w:rsidRPr="009672A6">
        <w:rPr>
          <w:rFonts w:ascii="Helvetica" w:hAnsi="Helvetica"/>
          <w:bCs/>
          <w:lang w:val="en-US"/>
        </w:rPr>
        <w:t>Integrating Molecular Mechanisms and Clinical Evidence in the Management of Trastuzumab Resistant or Refractory HER-2+ Metastatic Breast Cancer.</w:t>
      </w:r>
      <w:proofErr w:type="gramEnd"/>
      <w:r w:rsidRPr="009672A6">
        <w:rPr>
          <w:rFonts w:ascii="Helvetica" w:hAnsi="Helvetica"/>
          <w:bCs/>
          <w:lang w:val="en-US"/>
        </w:rPr>
        <w:t xml:space="preserve"> </w:t>
      </w:r>
      <w:r w:rsidRPr="00631D3A">
        <w:rPr>
          <w:rFonts w:ascii="Helvetica" w:hAnsi="Helvetica"/>
          <w:bCs/>
          <w:i/>
        </w:rPr>
        <w:t>The Oncologist</w:t>
      </w:r>
      <w:r w:rsidRPr="00631D3A">
        <w:rPr>
          <w:rFonts w:ascii="Helvetica" w:hAnsi="Helvetica"/>
          <w:bCs/>
        </w:rPr>
        <w:t xml:space="preserve"> 16</w:t>
      </w:r>
      <w:r w:rsidR="00EE45EB">
        <w:rPr>
          <w:rFonts w:ascii="Helvetica" w:hAnsi="Helvetica"/>
          <w:bCs/>
        </w:rPr>
        <w:t xml:space="preserve"> </w:t>
      </w:r>
      <w:r w:rsidRPr="00631D3A">
        <w:rPr>
          <w:rFonts w:ascii="Helvetica" w:hAnsi="Helvetica"/>
          <w:bCs/>
        </w:rPr>
        <w:t>(11): 1535-1546</w:t>
      </w:r>
      <w:r w:rsidR="00EE45EB">
        <w:rPr>
          <w:rFonts w:ascii="Helvetica" w:hAnsi="Helvetica"/>
          <w:bCs/>
        </w:rPr>
        <w:t>.</w:t>
      </w:r>
    </w:p>
    <w:p w:rsidR="002A1096" w:rsidRDefault="002A1096" w:rsidP="00E00865">
      <w:pPr>
        <w:spacing w:line="360" w:lineRule="auto"/>
        <w:rPr>
          <w:rFonts w:ascii="Helvetica" w:hAnsi="Helvetica"/>
        </w:rPr>
      </w:pPr>
    </w:p>
    <w:p w:rsidR="002A1096" w:rsidRDefault="002A1096" w:rsidP="00E00865">
      <w:pPr>
        <w:spacing w:line="360" w:lineRule="auto"/>
        <w:rPr>
          <w:rFonts w:ascii="Helvetica" w:hAnsi="Helvetica"/>
        </w:rPr>
      </w:pPr>
    </w:p>
    <w:p w:rsidR="00A17183" w:rsidRDefault="009672A6" w:rsidP="00E00865">
      <w:pPr>
        <w:spacing w:line="360" w:lineRule="auto"/>
        <w:rPr>
          <w:rFonts w:ascii="Helvetica" w:hAnsi="Helvetica"/>
        </w:rPr>
      </w:pPr>
      <w:r>
        <w:rPr>
          <w:rFonts w:ascii="Helvetica" w:hAnsi="Helvetica"/>
        </w:rPr>
        <w:t>Créditos de carátula</w:t>
      </w:r>
    </w:p>
    <w:p w:rsidR="009672A6" w:rsidRDefault="009672A6" w:rsidP="00E00865">
      <w:pPr>
        <w:spacing w:line="360" w:lineRule="auto"/>
        <w:rPr>
          <w:rFonts w:ascii="Helvetica" w:hAnsi="Helvetica"/>
        </w:rPr>
      </w:pPr>
      <w:r>
        <w:rPr>
          <w:rFonts w:ascii="Helvetica" w:hAnsi="Helvetica"/>
        </w:rPr>
        <w:t>Grupo de Investigación en Toxinas Biológicas</w:t>
      </w:r>
    </w:p>
    <w:p w:rsidR="009672A6" w:rsidRDefault="009672A6" w:rsidP="00E00865">
      <w:pPr>
        <w:spacing w:line="360" w:lineRule="auto"/>
        <w:rPr>
          <w:rFonts w:ascii="Helvetica" w:hAnsi="Helvetica"/>
        </w:rPr>
      </w:pPr>
      <w:r>
        <w:rPr>
          <w:rFonts w:ascii="Helvetica" w:hAnsi="Helvetica"/>
        </w:rPr>
        <w:t>Agradecimiento carátula:</w:t>
      </w:r>
    </w:p>
    <w:p w:rsidR="009672A6" w:rsidRDefault="009672A6" w:rsidP="00E00865">
      <w:pPr>
        <w:spacing w:line="360" w:lineRule="auto"/>
        <w:rPr>
          <w:rFonts w:ascii="Helvetica" w:hAnsi="Helvetica"/>
        </w:rPr>
      </w:pPr>
    </w:p>
    <w:p w:rsidR="009672A6" w:rsidRDefault="009672A6" w:rsidP="00E00865">
      <w:pPr>
        <w:spacing w:line="360" w:lineRule="auto"/>
        <w:rPr>
          <w:rFonts w:ascii="Helvetica" w:hAnsi="Helvetica"/>
        </w:rPr>
      </w:pPr>
      <w:r>
        <w:rPr>
          <w:rFonts w:ascii="Helvetica" w:hAnsi="Helvetica"/>
        </w:rPr>
        <w:t>María Teresa Reguero Reza</w:t>
      </w:r>
    </w:p>
    <w:p w:rsidR="009672A6" w:rsidRDefault="009672A6" w:rsidP="00E00865">
      <w:pPr>
        <w:spacing w:line="360" w:lineRule="auto"/>
        <w:rPr>
          <w:rFonts w:ascii="Helvetica" w:hAnsi="Helvetica"/>
        </w:rPr>
      </w:pPr>
      <w:r>
        <w:rPr>
          <w:rFonts w:ascii="Helvetica" w:hAnsi="Helvetica"/>
        </w:rPr>
        <w:t>Instituto de Biotecnología</w:t>
      </w:r>
    </w:p>
    <w:p w:rsidR="009672A6" w:rsidRPr="008F43B0" w:rsidRDefault="009672A6" w:rsidP="00E00865">
      <w:pPr>
        <w:spacing w:line="360" w:lineRule="auto"/>
        <w:rPr>
          <w:rFonts w:ascii="Helvetica" w:hAnsi="Helvetica"/>
        </w:rPr>
      </w:pPr>
      <w:r>
        <w:rPr>
          <w:rFonts w:ascii="Helvetica" w:hAnsi="Helvetica"/>
        </w:rPr>
        <w:t>Universidad Nacional de Colombia</w:t>
      </w:r>
    </w:p>
    <w:sectPr w:rsidR="009672A6" w:rsidRPr="008F43B0" w:rsidSect="00A17183">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48467D"/>
    <w:multiLevelType w:val="hybridMultilevel"/>
    <w:tmpl w:val="2F1CB92C"/>
    <w:lvl w:ilvl="0" w:tplc="5FC2328C">
      <w:start w:val="1"/>
      <w:numFmt w:val="bullet"/>
      <w:lvlText w:val=""/>
      <w:lvlJc w:val="left"/>
      <w:pPr>
        <w:tabs>
          <w:tab w:val="num" w:pos="720"/>
        </w:tabs>
        <w:ind w:left="720" w:hanging="360"/>
      </w:pPr>
      <w:rPr>
        <w:rFonts w:ascii="Wingdings" w:hAnsi="Wingdings" w:hint="default"/>
      </w:rPr>
    </w:lvl>
    <w:lvl w:ilvl="1" w:tplc="84645B2C" w:tentative="1">
      <w:start w:val="1"/>
      <w:numFmt w:val="bullet"/>
      <w:lvlText w:val=""/>
      <w:lvlJc w:val="left"/>
      <w:pPr>
        <w:tabs>
          <w:tab w:val="num" w:pos="1440"/>
        </w:tabs>
        <w:ind w:left="1440" w:hanging="360"/>
      </w:pPr>
      <w:rPr>
        <w:rFonts w:ascii="Wingdings" w:hAnsi="Wingdings" w:hint="default"/>
      </w:rPr>
    </w:lvl>
    <w:lvl w:ilvl="2" w:tplc="3AECDA32" w:tentative="1">
      <w:start w:val="1"/>
      <w:numFmt w:val="bullet"/>
      <w:lvlText w:val=""/>
      <w:lvlJc w:val="left"/>
      <w:pPr>
        <w:tabs>
          <w:tab w:val="num" w:pos="2160"/>
        </w:tabs>
        <w:ind w:left="2160" w:hanging="360"/>
      </w:pPr>
      <w:rPr>
        <w:rFonts w:ascii="Wingdings" w:hAnsi="Wingdings" w:hint="default"/>
      </w:rPr>
    </w:lvl>
    <w:lvl w:ilvl="3" w:tplc="33628A0A" w:tentative="1">
      <w:start w:val="1"/>
      <w:numFmt w:val="bullet"/>
      <w:lvlText w:val=""/>
      <w:lvlJc w:val="left"/>
      <w:pPr>
        <w:tabs>
          <w:tab w:val="num" w:pos="2880"/>
        </w:tabs>
        <w:ind w:left="2880" w:hanging="360"/>
      </w:pPr>
      <w:rPr>
        <w:rFonts w:ascii="Wingdings" w:hAnsi="Wingdings" w:hint="default"/>
      </w:rPr>
    </w:lvl>
    <w:lvl w:ilvl="4" w:tplc="1D0A73C6" w:tentative="1">
      <w:start w:val="1"/>
      <w:numFmt w:val="bullet"/>
      <w:lvlText w:val=""/>
      <w:lvlJc w:val="left"/>
      <w:pPr>
        <w:tabs>
          <w:tab w:val="num" w:pos="3600"/>
        </w:tabs>
        <w:ind w:left="3600" w:hanging="360"/>
      </w:pPr>
      <w:rPr>
        <w:rFonts w:ascii="Wingdings" w:hAnsi="Wingdings" w:hint="default"/>
      </w:rPr>
    </w:lvl>
    <w:lvl w:ilvl="5" w:tplc="CEA2C4DA" w:tentative="1">
      <w:start w:val="1"/>
      <w:numFmt w:val="bullet"/>
      <w:lvlText w:val=""/>
      <w:lvlJc w:val="left"/>
      <w:pPr>
        <w:tabs>
          <w:tab w:val="num" w:pos="4320"/>
        </w:tabs>
        <w:ind w:left="4320" w:hanging="360"/>
      </w:pPr>
      <w:rPr>
        <w:rFonts w:ascii="Wingdings" w:hAnsi="Wingdings" w:hint="default"/>
      </w:rPr>
    </w:lvl>
    <w:lvl w:ilvl="6" w:tplc="5EF43356" w:tentative="1">
      <w:start w:val="1"/>
      <w:numFmt w:val="bullet"/>
      <w:lvlText w:val=""/>
      <w:lvlJc w:val="left"/>
      <w:pPr>
        <w:tabs>
          <w:tab w:val="num" w:pos="5040"/>
        </w:tabs>
        <w:ind w:left="5040" w:hanging="360"/>
      </w:pPr>
      <w:rPr>
        <w:rFonts w:ascii="Wingdings" w:hAnsi="Wingdings" w:hint="default"/>
      </w:rPr>
    </w:lvl>
    <w:lvl w:ilvl="7" w:tplc="B0E84256" w:tentative="1">
      <w:start w:val="1"/>
      <w:numFmt w:val="bullet"/>
      <w:lvlText w:val=""/>
      <w:lvlJc w:val="left"/>
      <w:pPr>
        <w:tabs>
          <w:tab w:val="num" w:pos="5760"/>
        </w:tabs>
        <w:ind w:left="5760" w:hanging="360"/>
      </w:pPr>
      <w:rPr>
        <w:rFonts w:ascii="Wingdings" w:hAnsi="Wingdings" w:hint="default"/>
      </w:rPr>
    </w:lvl>
    <w:lvl w:ilvl="8" w:tplc="6B8099D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3F01"/>
  <w:stylePaneSortMethod w:val="0000"/>
  <w:trackRevisions/>
  <w:defaultTabStop w:val="708"/>
  <w:hyphenationZone w:val="425"/>
  <w:drawingGridHorizontalSpacing w:val="360"/>
  <w:drawingGridVerticalSpacing w:val="360"/>
  <w:displayHorizontalDrawingGridEvery w:val="0"/>
  <w:displayVerticalDrawingGridEvery w:val="0"/>
  <w:characterSpacingControl w:val="doNotCompress"/>
  <w:compat/>
  <w:rsids>
    <w:rsidRoot w:val="007B59A3"/>
    <w:rsid w:val="00031FE9"/>
    <w:rsid w:val="00035CA2"/>
    <w:rsid w:val="00036753"/>
    <w:rsid w:val="00072C74"/>
    <w:rsid w:val="0008156B"/>
    <w:rsid w:val="000E0FFC"/>
    <w:rsid w:val="00110762"/>
    <w:rsid w:val="001776AB"/>
    <w:rsid w:val="00187AF8"/>
    <w:rsid w:val="001B567D"/>
    <w:rsid w:val="001E012F"/>
    <w:rsid w:val="001F2575"/>
    <w:rsid w:val="0020045C"/>
    <w:rsid w:val="00207727"/>
    <w:rsid w:val="002336C3"/>
    <w:rsid w:val="002A1096"/>
    <w:rsid w:val="002A63DE"/>
    <w:rsid w:val="002B379F"/>
    <w:rsid w:val="00335BEC"/>
    <w:rsid w:val="00351DEB"/>
    <w:rsid w:val="0036206A"/>
    <w:rsid w:val="003C113E"/>
    <w:rsid w:val="003C5911"/>
    <w:rsid w:val="00405FE6"/>
    <w:rsid w:val="00437355"/>
    <w:rsid w:val="00457B14"/>
    <w:rsid w:val="00474570"/>
    <w:rsid w:val="004C300E"/>
    <w:rsid w:val="00584D48"/>
    <w:rsid w:val="005871E5"/>
    <w:rsid w:val="005C079F"/>
    <w:rsid w:val="005C3A46"/>
    <w:rsid w:val="005D49A3"/>
    <w:rsid w:val="006215D7"/>
    <w:rsid w:val="006F5DDB"/>
    <w:rsid w:val="00702E50"/>
    <w:rsid w:val="00704EC3"/>
    <w:rsid w:val="0072241F"/>
    <w:rsid w:val="007443AE"/>
    <w:rsid w:val="007B2D42"/>
    <w:rsid w:val="007E2308"/>
    <w:rsid w:val="007E5855"/>
    <w:rsid w:val="0082035A"/>
    <w:rsid w:val="008920DD"/>
    <w:rsid w:val="008A0E12"/>
    <w:rsid w:val="008A4FEE"/>
    <w:rsid w:val="008D696C"/>
    <w:rsid w:val="0094721B"/>
    <w:rsid w:val="009672A6"/>
    <w:rsid w:val="009E2377"/>
    <w:rsid w:val="009F41AF"/>
    <w:rsid w:val="009F457F"/>
    <w:rsid w:val="00A03A69"/>
    <w:rsid w:val="00A17183"/>
    <w:rsid w:val="00A25B37"/>
    <w:rsid w:val="00A45B1B"/>
    <w:rsid w:val="00A63EAD"/>
    <w:rsid w:val="00B268D2"/>
    <w:rsid w:val="00B62E2C"/>
    <w:rsid w:val="00BA180A"/>
    <w:rsid w:val="00BE1D99"/>
    <w:rsid w:val="00C2006F"/>
    <w:rsid w:val="00C75199"/>
    <w:rsid w:val="00CE4F33"/>
    <w:rsid w:val="00CE670E"/>
    <w:rsid w:val="00D17FE4"/>
    <w:rsid w:val="00D670D2"/>
    <w:rsid w:val="00D928C2"/>
    <w:rsid w:val="00DE0247"/>
    <w:rsid w:val="00E00865"/>
    <w:rsid w:val="00E07F9B"/>
    <w:rsid w:val="00E10D47"/>
    <w:rsid w:val="00E16307"/>
    <w:rsid w:val="00E353B7"/>
    <w:rsid w:val="00E5681C"/>
    <w:rsid w:val="00E6250C"/>
    <w:rsid w:val="00E95DDE"/>
    <w:rsid w:val="00EA2A3E"/>
    <w:rsid w:val="00EB3F47"/>
    <w:rsid w:val="00ED7CE7"/>
    <w:rsid w:val="00EE45EB"/>
    <w:rsid w:val="00EF0EC1"/>
    <w:rsid w:val="00EF317C"/>
    <w:rsid w:val="00F027FF"/>
    <w:rsid w:val="00F12F77"/>
    <w:rsid w:val="00FE09A8"/>
  </w:rsids>
  <m:mathPr>
    <m:mathFont m:val="Cambria Math"/>
    <m:brkBin m:val="before"/>
    <m:brkBinSub m:val="--"/>
    <m:smallFrac m:val="off"/>
    <m:dispDef m:val="off"/>
    <m:lMargin m:val="0"/>
    <m:rMargin m:val="0"/>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F4982"/>
    <w:pPr>
      <w:spacing w:after="200"/>
    </w:pPr>
    <w:rPr>
      <w:sz w:val="24"/>
      <w:szCs w:val="24"/>
      <w:lang w:val="es-ES_tradnl" w:eastAsia="en-US"/>
    </w:rPr>
  </w:style>
  <w:style w:type="character" w:default="1" w:styleId="Fuentedeprrafopredeter">
    <w:name w:val="Default Paragraph Font"/>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basedOn w:val="Fuentedeprrafopredeter"/>
    <w:rsid w:val="00F81DD1"/>
    <w:rPr>
      <w:color w:val="0000FF"/>
      <w:u w:val="single"/>
    </w:rPr>
  </w:style>
  <w:style w:type="character" w:styleId="Hipervnculovisitado">
    <w:name w:val="FollowedHyperlink"/>
    <w:basedOn w:val="Fuentedeprrafopredeter"/>
    <w:rsid w:val="00F81DD1"/>
    <w:rPr>
      <w:color w:val="800080"/>
      <w:u w:val="single"/>
    </w:rPr>
  </w:style>
  <w:style w:type="paragraph" w:styleId="Listavistosa-nfasis1">
    <w:name w:val="Colorful List Accent 1"/>
    <w:basedOn w:val="Normal"/>
    <w:uiPriority w:val="34"/>
    <w:qFormat/>
    <w:rsid w:val="009D7149"/>
    <w:pPr>
      <w:spacing w:line="276" w:lineRule="auto"/>
      <w:ind w:left="720"/>
      <w:contextualSpacing/>
    </w:pPr>
    <w:rPr>
      <w:rFonts w:ascii="Calibri" w:eastAsia="Calibri" w:hAnsi="Calibri"/>
      <w:sz w:val="22"/>
      <w:szCs w:val="22"/>
      <w:lang w:val="es-CO"/>
    </w:rPr>
  </w:style>
  <w:style w:type="paragraph" w:styleId="Textodeglobo">
    <w:name w:val="Balloon Text"/>
    <w:basedOn w:val="Normal"/>
    <w:link w:val="TextodegloboCar"/>
    <w:rsid w:val="007E5855"/>
    <w:pPr>
      <w:spacing w:after="0"/>
    </w:pPr>
    <w:rPr>
      <w:rFonts w:ascii="Tahoma" w:hAnsi="Tahoma" w:cs="Tahoma"/>
      <w:sz w:val="16"/>
      <w:szCs w:val="16"/>
    </w:rPr>
  </w:style>
  <w:style w:type="character" w:customStyle="1" w:styleId="TextodegloboCar">
    <w:name w:val="Texto de globo Car"/>
    <w:basedOn w:val="Fuentedeprrafopredeter"/>
    <w:link w:val="Textodeglobo"/>
    <w:rsid w:val="007E5855"/>
    <w:rPr>
      <w:rFonts w:ascii="Tahoma" w:hAnsi="Tahoma" w:cs="Tahoma"/>
      <w:sz w:val="16"/>
      <w:szCs w:val="16"/>
      <w:lang w:val="es-ES_tradnl" w:eastAsia="en-US"/>
    </w:rPr>
  </w:style>
  <w:style w:type="character" w:styleId="Refdecomentario">
    <w:name w:val="annotation reference"/>
    <w:basedOn w:val="Fuentedeprrafopredeter"/>
    <w:rsid w:val="008D696C"/>
    <w:rPr>
      <w:sz w:val="16"/>
      <w:szCs w:val="16"/>
    </w:rPr>
  </w:style>
  <w:style w:type="paragraph" w:styleId="Textocomentario">
    <w:name w:val="annotation text"/>
    <w:basedOn w:val="Normal"/>
    <w:link w:val="TextocomentarioCar"/>
    <w:rsid w:val="008D696C"/>
    <w:rPr>
      <w:sz w:val="20"/>
      <w:szCs w:val="20"/>
    </w:rPr>
  </w:style>
  <w:style w:type="character" w:customStyle="1" w:styleId="TextocomentarioCar">
    <w:name w:val="Texto comentario Car"/>
    <w:basedOn w:val="Fuentedeprrafopredeter"/>
    <w:link w:val="Textocomentario"/>
    <w:rsid w:val="008D696C"/>
    <w:rPr>
      <w:lang w:val="es-ES_tradnl" w:eastAsia="en-US"/>
    </w:rPr>
  </w:style>
  <w:style w:type="paragraph" w:styleId="Asuntodelcomentario">
    <w:name w:val="annotation subject"/>
    <w:basedOn w:val="Textocomentario"/>
    <w:next w:val="Textocomentario"/>
    <w:link w:val="AsuntodelcomentarioCar"/>
    <w:rsid w:val="008D696C"/>
    <w:rPr>
      <w:b/>
      <w:bCs/>
    </w:rPr>
  </w:style>
  <w:style w:type="character" w:customStyle="1" w:styleId="AsuntodelcomentarioCar">
    <w:name w:val="Asunto del comentario Car"/>
    <w:basedOn w:val="TextocomentarioCar"/>
    <w:link w:val="Asuntodelcomentario"/>
    <w:rsid w:val="008D696C"/>
    <w:rPr>
      <w:b/>
      <w:bCs/>
    </w:rPr>
  </w:style>
</w:styles>
</file>

<file path=word/webSettings.xml><?xml version="1.0" encoding="utf-8"?>
<w:webSettings xmlns:r="http://schemas.openxmlformats.org/officeDocument/2006/relationships" xmlns:w="http://schemas.openxmlformats.org/wordprocessingml/2006/main">
  <w:divs>
    <w:div w:id="540551876">
      <w:bodyDiv w:val="1"/>
      <w:marLeft w:val="0"/>
      <w:marRight w:val="0"/>
      <w:marTop w:val="0"/>
      <w:marBottom w:val="0"/>
      <w:divBdr>
        <w:top w:val="none" w:sz="0" w:space="0" w:color="auto"/>
        <w:left w:val="none" w:sz="0" w:space="0" w:color="auto"/>
        <w:bottom w:val="none" w:sz="0" w:space="0" w:color="auto"/>
        <w:right w:val="none" w:sz="0" w:space="0" w:color="auto"/>
      </w:divBdr>
    </w:div>
    <w:div w:id="688609348">
      <w:bodyDiv w:val="1"/>
      <w:marLeft w:val="0"/>
      <w:marRight w:val="0"/>
      <w:marTop w:val="0"/>
      <w:marBottom w:val="0"/>
      <w:divBdr>
        <w:top w:val="none" w:sz="0" w:space="0" w:color="auto"/>
        <w:left w:val="none" w:sz="0" w:space="0" w:color="auto"/>
        <w:bottom w:val="none" w:sz="0" w:space="0" w:color="auto"/>
        <w:right w:val="none" w:sz="0" w:space="0" w:color="auto"/>
      </w:divBdr>
    </w:div>
    <w:div w:id="1126630084">
      <w:bodyDiv w:val="1"/>
      <w:marLeft w:val="0"/>
      <w:marRight w:val="0"/>
      <w:marTop w:val="0"/>
      <w:marBottom w:val="0"/>
      <w:divBdr>
        <w:top w:val="none" w:sz="0" w:space="0" w:color="auto"/>
        <w:left w:val="none" w:sz="0" w:space="0" w:color="auto"/>
        <w:bottom w:val="none" w:sz="0" w:space="0" w:color="auto"/>
        <w:right w:val="none" w:sz="0" w:space="0" w:color="auto"/>
      </w:divBdr>
    </w:div>
    <w:div w:id="1208221804">
      <w:bodyDiv w:val="1"/>
      <w:marLeft w:val="0"/>
      <w:marRight w:val="0"/>
      <w:marTop w:val="0"/>
      <w:marBottom w:val="0"/>
      <w:divBdr>
        <w:top w:val="none" w:sz="0" w:space="0" w:color="auto"/>
        <w:left w:val="none" w:sz="0" w:space="0" w:color="auto"/>
        <w:bottom w:val="none" w:sz="0" w:space="0" w:color="auto"/>
        <w:right w:val="none" w:sz="0" w:space="0" w:color="auto"/>
      </w:divBdr>
      <w:divsChild>
        <w:div w:id="1361323102">
          <w:marLeft w:val="547"/>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nengnews.com/gen-articles/infectious-disease-molecular-diagnostics/3918/?kwrd=Molecular%20Diagnosti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tregureror@unal.edu.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16BC-3358-488E-AEF1-9A933FC1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3160</Words>
  <Characters>17386</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Nacional de Colombia</Company>
  <LinksUpToDate>false</LinksUpToDate>
  <CharactersWithSpaces>20505</CharactersWithSpaces>
  <SharedDoc>false</SharedDoc>
  <HLinks>
    <vt:vector size="12" baseType="variant">
      <vt:variant>
        <vt:i4>7536736</vt:i4>
      </vt:variant>
      <vt:variant>
        <vt:i4>3</vt:i4>
      </vt:variant>
      <vt:variant>
        <vt:i4>0</vt:i4>
      </vt:variant>
      <vt:variant>
        <vt:i4>5</vt:i4>
      </vt:variant>
      <vt:variant>
        <vt:lpwstr>http://www.genengnews.com/gen-articles/infectious-disease-molecular-diagnostics/3918/?kwrd=Molecular%20Diagnostics</vt:lpwstr>
      </vt:variant>
      <vt:variant>
        <vt:lpwstr/>
      </vt:variant>
      <vt:variant>
        <vt:i4>7798805</vt:i4>
      </vt:variant>
      <vt:variant>
        <vt:i4>0</vt:i4>
      </vt:variant>
      <vt:variant>
        <vt:i4>0</vt:i4>
      </vt:variant>
      <vt:variant>
        <vt:i4>5</vt:i4>
      </vt:variant>
      <vt:variant>
        <vt:lpwstr>mailto:mtregureror@unal.edu.co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Reguro</dc:creator>
  <cp:keywords/>
  <cp:lastModifiedBy>Universidad Nacional de Colombia</cp:lastModifiedBy>
  <cp:revision>2</cp:revision>
  <dcterms:created xsi:type="dcterms:W3CDTF">2012-01-19T19:17:00Z</dcterms:created>
  <dcterms:modified xsi:type="dcterms:W3CDTF">2012-01-19T19:17:00Z</dcterms:modified>
</cp:coreProperties>
</file>