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E0602" w:rsidRPr="00A41929" w:rsidRDefault="003E0602" w:rsidP="005E78F1">
      <w:pPr>
        <w:autoSpaceDE w:val="0"/>
        <w:autoSpaceDN w:val="0"/>
        <w:adjustRightInd w:val="0"/>
        <w:jc w:val="both"/>
        <w:rPr>
          <w:b/>
          <w:color w:val="000000"/>
          <w:sz w:val="22"/>
          <w:szCs w:val="22"/>
        </w:rPr>
      </w:pPr>
      <w:r w:rsidRPr="00A41929">
        <w:rPr>
          <w:b/>
          <w:color w:val="000000"/>
          <w:sz w:val="22"/>
          <w:szCs w:val="22"/>
        </w:rPr>
        <w:t xml:space="preserve">Nueva alternativa para la </w:t>
      </w:r>
      <w:proofErr w:type="spellStart"/>
      <w:r w:rsidRPr="00A41929">
        <w:rPr>
          <w:b/>
          <w:color w:val="000000"/>
          <w:sz w:val="22"/>
          <w:szCs w:val="22"/>
        </w:rPr>
        <w:t>micropropagación</w:t>
      </w:r>
      <w:proofErr w:type="spellEnd"/>
      <w:r w:rsidRPr="00A41929">
        <w:rPr>
          <w:b/>
          <w:color w:val="000000"/>
          <w:sz w:val="22"/>
          <w:szCs w:val="22"/>
        </w:rPr>
        <w:t xml:space="preserve"> en inmersión temporal del cultivar de plátano vianda "INIVITPV-2011"(AAB)</w:t>
      </w:r>
    </w:p>
    <w:p w:rsidR="003E0602" w:rsidRPr="00A41929" w:rsidRDefault="003E0602">
      <w:pPr>
        <w:autoSpaceDE w:val="0"/>
        <w:autoSpaceDN w:val="0"/>
        <w:adjustRightInd w:val="0"/>
        <w:jc w:val="both"/>
        <w:rPr>
          <w:b/>
          <w:sz w:val="22"/>
          <w:szCs w:val="22"/>
        </w:rPr>
      </w:pPr>
    </w:p>
    <w:p w:rsidR="003E0602" w:rsidRPr="00A41929" w:rsidRDefault="003E0602">
      <w:pPr>
        <w:autoSpaceDE w:val="0"/>
        <w:autoSpaceDN w:val="0"/>
        <w:adjustRightInd w:val="0"/>
        <w:jc w:val="both"/>
        <w:rPr>
          <w:b/>
          <w:color w:val="000000"/>
          <w:sz w:val="22"/>
          <w:szCs w:val="22"/>
          <w:lang w:val="en-GB"/>
        </w:rPr>
      </w:pPr>
      <w:proofErr w:type="gramStart"/>
      <w:r w:rsidRPr="00A41929">
        <w:rPr>
          <w:b/>
          <w:color w:val="000000"/>
          <w:sz w:val="22"/>
          <w:szCs w:val="22"/>
          <w:lang w:val="en-GB"/>
        </w:rPr>
        <w:t xml:space="preserve">New alternative for </w:t>
      </w:r>
      <w:proofErr w:type="spellStart"/>
      <w:r w:rsidRPr="00A41929">
        <w:rPr>
          <w:b/>
          <w:color w:val="000000"/>
          <w:sz w:val="22"/>
          <w:szCs w:val="22"/>
          <w:lang w:val="en-GB"/>
        </w:rPr>
        <w:t>micropropagation</w:t>
      </w:r>
      <w:proofErr w:type="spellEnd"/>
      <w:r w:rsidRPr="00A41929">
        <w:rPr>
          <w:b/>
          <w:color w:val="000000"/>
          <w:sz w:val="22"/>
          <w:szCs w:val="22"/>
          <w:lang w:val="en-GB"/>
        </w:rPr>
        <w:t xml:space="preserve"> in temporary immersion system of plantain cultivar "INIVITPV-2011" (AAB).</w:t>
      </w:r>
      <w:proofErr w:type="gramEnd"/>
    </w:p>
    <w:p w:rsidR="003E0602" w:rsidRPr="00A41929" w:rsidRDefault="003E0602">
      <w:pPr>
        <w:jc w:val="both"/>
        <w:rPr>
          <w:bCs/>
          <w:sz w:val="22"/>
          <w:szCs w:val="22"/>
          <w:lang w:val="en-GB"/>
        </w:rPr>
      </w:pPr>
    </w:p>
    <w:p w:rsidR="003E0602" w:rsidRPr="00A41929" w:rsidRDefault="009112E6">
      <w:pPr>
        <w:jc w:val="both"/>
        <w:rPr>
          <w:bCs/>
          <w:sz w:val="22"/>
          <w:szCs w:val="22"/>
          <w:lang w:val="es-CO"/>
        </w:rPr>
      </w:pPr>
      <w:r w:rsidRPr="00A41929">
        <w:rPr>
          <w:bCs/>
          <w:sz w:val="22"/>
          <w:szCs w:val="22"/>
          <w:lang w:val="es-CO"/>
        </w:rPr>
        <w:t xml:space="preserve">Milagros </w:t>
      </w:r>
      <w:proofErr w:type="spellStart"/>
      <w:r w:rsidRPr="00A41929">
        <w:rPr>
          <w:bCs/>
          <w:sz w:val="22"/>
          <w:szCs w:val="22"/>
          <w:lang w:val="es-CO"/>
        </w:rPr>
        <w:t>Basail</w:t>
      </w:r>
      <w:proofErr w:type="spellEnd"/>
      <w:r w:rsidRPr="00A41929">
        <w:rPr>
          <w:bCs/>
          <w:sz w:val="22"/>
          <w:szCs w:val="22"/>
          <w:lang w:val="es-CO"/>
        </w:rPr>
        <w:t xml:space="preserve"> Pérez</w:t>
      </w:r>
      <w:r w:rsidRPr="00A41929">
        <w:rPr>
          <w:bCs/>
          <w:sz w:val="22"/>
          <w:szCs w:val="22"/>
          <w:vertAlign w:val="superscript"/>
          <w:lang w:val="es-CO"/>
        </w:rPr>
        <w:t>*</w:t>
      </w:r>
      <w:proofErr w:type="gramStart"/>
      <w:r w:rsidRPr="00A41929">
        <w:rPr>
          <w:bCs/>
          <w:sz w:val="22"/>
          <w:szCs w:val="22"/>
          <w:vertAlign w:val="superscript"/>
          <w:lang w:val="es-CO"/>
        </w:rPr>
        <w:t>,*</w:t>
      </w:r>
      <w:proofErr w:type="gramEnd"/>
      <w:r w:rsidRPr="00A41929">
        <w:rPr>
          <w:bCs/>
          <w:sz w:val="22"/>
          <w:szCs w:val="22"/>
          <w:vertAlign w:val="superscript"/>
          <w:lang w:val="es-CO"/>
        </w:rPr>
        <w:t>*</w:t>
      </w:r>
      <w:r w:rsidRPr="00A41929">
        <w:rPr>
          <w:bCs/>
          <w:sz w:val="22"/>
          <w:szCs w:val="22"/>
          <w:lang w:val="es-CO"/>
        </w:rPr>
        <w:t>, Victor Medero Vega</w:t>
      </w:r>
      <w:r w:rsidRPr="00A41929">
        <w:rPr>
          <w:bCs/>
          <w:sz w:val="22"/>
          <w:szCs w:val="22"/>
          <w:vertAlign w:val="superscript"/>
          <w:lang w:val="es-CO"/>
        </w:rPr>
        <w:t>*</w:t>
      </w:r>
      <w:r w:rsidRPr="00A41929">
        <w:rPr>
          <w:bCs/>
          <w:sz w:val="22"/>
          <w:szCs w:val="22"/>
          <w:lang w:val="es-CO"/>
        </w:rPr>
        <w:t xml:space="preserve">, </w:t>
      </w:r>
      <w:proofErr w:type="spellStart"/>
      <w:r w:rsidRPr="00A41929">
        <w:rPr>
          <w:bCs/>
          <w:sz w:val="22"/>
          <w:szCs w:val="22"/>
          <w:lang w:val="es-CO"/>
        </w:rPr>
        <w:t>Marlenys</w:t>
      </w:r>
      <w:proofErr w:type="spellEnd"/>
      <w:r w:rsidRPr="00A41929">
        <w:rPr>
          <w:bCs/>
          <w:sz w:val="22"/>
          <w:szCs w:val="22"/>
          <w:lang w:val="es-CO"/>
        </w:rPr>
        <w:t xml:space="preserve"> Torres Delgado</w:t>
      </w:r>
      <w:r w:rsidRPr="00A41929">
        <w:rPr>
          <w:bCs/>
          <w:sz w:val="22"/>
          <w:szCs w:val="22"/>
          <w:vertAlign w:val="superscript"/>
          <w:lang w:val="es-CO"/>
        </w:rPr>
        <w:t>*</w:t>
      </w:r>
      <w:r w:rsidRPr="00A41929">
        <w:rPr>
          <w:bCs/>
          <w:sz w:val="22"/>
          <w:szCs w:val="22"/>
          <w:lang w:val="es-CO"/>
        </w:rPr>
        <w:t>, Jorge López Torres</w:t>
      </w:r>
      <w:r w:rsidRPr="00A41929">
        <w:rPr>
          <w:bCs/>
          <w:sz w:val="22"/>
          <w:szCs w:val="22"/>
          <w:vertAlign w:val="superscript"/>
          <w:lang w:val="es-CO"/>
        </w:rPr>
        <w:t>*</w:t>
      </w:r>
      <w:r w:rsidRPr="00A41929">
        <w:rPr>
          <w:bCs/>
          <w:sz w:val="22"/>
          <w:szCs w:val="22"/>
          <w:lang w:val="es-CO"/>
        </w:rPr>
        <w:t xml:space="preserve">, </w:t>
      </w:r>
      <w:proofErr w:type="spellStart"/>
      <w:r w:rsidRPr="00A41929">
        <w:rPr>
          <w:bCs/>
          <w:sz w:val="22"/>
          <w:szCs w:val="22"/>
          <w:lang w:val="es-CO"/>
        </w:rPr>
        <w:t>Arletys</w:t>
      </w:r>
      <w:proofErr w:type="spellEnd"/>
      <w:r w:rsidRPr="00A41929">
        <w:rPr>
          <w:bCs/>
          <w:sz w:val="22"/>
          <w:szCs w:val="22"/>
          <w:lang w:val="es-CO"/>
        </w:rPr>
        <w:t xml:space="preserve"> Santos Pino</w:t>
      </w:r>
      <w:r w:rsidRPr="00A41929">
        <w:rPr>
          <w:bCs/>
          <w:sz w:val="22"/>
          <w:szCs w:val="22"/>
          <w:vertAlign w:val="superscript"/>
          <w:lang w:val="es-CO"/>
        </w:rPr>
        <w:t>*</w:t>
      </w:r>
      <w:r w:rsidRPr="00A41929">
        <w:rPr>
          <w:bCs/>
          <w:sz w:val="22"/>
          <w:szCs w:val="22"/>
          <w:lang w:val="es-CO"/>
        </w:rPr>
        <w:t xml:space="preserve">, </w:t>
      </w:r>
      <w:proofErr w:type="spellStart"/>
      <w:r w:rsidRPr="00A41929">
        <w:rPr>
          <w:bCs/>
          <w:sz w:val="22"/>
          <w:szCs w:val="22"/>
          <w:lang w:val="es-CO"/>
        </w:rPr>
        <w:t>Aymé</w:t>
      </w:r>
      <w:proofErr w:type="spellEnd"/>
      <w:r w:rsidRPr="00A41929">
        <w:rPr>
          <w:bCs/>
          <w:sz w:val="22"/>
          <w:szCs w:val="22"/>
          <w:lang w:val="es-CO"/>
        </w:rPr>
        <w:t xml:space="preserve"> Rayas Cabrera</w:t>
      </w:r>
      <w:r w:rsidRPr="00A41929">
        <w:rPr>
          <w:bCs/>
          <w:sz w:val="22"/>
          <w:szCs w:val="22"/>
          <w:vertAlign w:val="superscript"/>
          <w:lang w:val="es-CO"/>
        </w:rPr>
        <w:t>*</w:t>
      </w:r>
      <w:r w:rsidRPr="00A41929">
        <w:rPr>
          <w:bCs/>
          <w:sz w:val="22"/>
          <w:szCs w:val="22"/>
          <w:lang w:val="es-CO"/>
        </w:rPr>
        <w:t xml:space="preserve">, </w:t>
      </w:r>
      <w:proofErr w:type="spellStart"/>
      <w:r w:rsidRPr="00A41929">
        <w:rPr>
          <w:bCs/>
          <w:sz w:val="22"/>
          <w:szCs w:val="22"/>
          <w:lang w:val="es-CO"/>
        </w:rPr>
        <w:t>Maricel</w:t>
      </w:r>
      <w:proofErr w:type="spellEnd"/>
      <w:r w:rsidRPr="00A41929">
        <w:rPr>
          <w:bCs/>
          <w:sz w:val="22"/>
          <w:szCs w:val="22"/>
          <w:lang w:val="es-CO"/>
        </w:rPr>
        <w:t xml:space="preserve"> </w:t>
      </w:r>
      <w:proofErr w:type="spellStart"/>
      <w:r w:rsidRPr="00A41929">
        <w:rPr>
          <w:bCs/>
          <w:sz w:val="22"/>
          <w:szCs w:val="22"/>
          <w:lang w:val="es-CO"/>
        </w:rPr>
        <w:t>Bauta</w:t>
      </w:r>
      <w:proofErr w:type="spellEnd"/>
      <w:r w:rsidRPr="00A41929">
        <w:rPr>
          <w:bCs/>
          <w:sz w:val="22"/>
          <w:szCs w:val="22"/>
          <w:lang w:val="es-CO"/>
        </w:rPr>
        <w:t xml:space="preserve"> Toledo</w:t>
      </w:r>
      <w:r w:rsidRPr="00A41929">
        <w:rPr>
          <w:bCs/>
          <w:sz w:val="22"/>
          <w:szCs w:val="22"/>
          <w:vertAlign w:val="superscript"/>
          <w:lang w:val="es-CO"/>
        </w:rPr>
        <w:t>*</w:t>
      </w:r>
      <w:r w:rsidRPr="00A41929">
        <w:rPr>
          <w:bCs/>
          <w:sz w:val="22"/>
          <w:szCs w:val="22"/>
          <w:lang w:val="es-CO"/>
        </w:rPr>
        <w:t xml:space="preserve">, </w:t>
      </w:r>
      <w:proofErr w:type="spellStart"/>
      <w:r w:rsidRPr="00A41929">
        <w:rPr>
          <w:bCs/>
          <w:sz w:val="22"/>
          <w:szCs w:val="22"/>
          <w:lang w:val="es-CO"/>
        </w:rPr>
        <w:t>Yoel</w:t>
      </w:r>
      <w:proofErr w:type="spellEnd"/>
      <w:r w:rsidRPr="00A41929">
        <w:rPr>
          <w:bCs/>
          <w:sz w:val="22"/>
          <w:szCs w:val="22"/>
          <w:lang w:val="es-CO"/>
        </w:rPr>
        <w:t xml:space="preserve"> </w:t>
      </w:r>
      <w:proofErr w:type="spellStart"/>
      <w:r w:rsidRPr="00A41929">
        <w:rPr>
          <w:bCs/>
          <w:sz w:val="22"/>
          <w:szCs w:val="22"/>
          <w:lang w:val="es-CO"/>
        </w:rPr>
        <w:t>Beovidez</w:t>
      </w:r>
      <w:proofErr w:type="spellEnd"/>
      <w:r w:rsidRPr="00A41929">
        <w:rPr>
          <w:bCs/>
          <w:sz w:val="22"/>
          <w:szCs w:val="22"/>
          <w:lang w:val="es-CO"/>
        </w:rPr>
        <w:t xml:space="preserve"> García</w:t>
      </w:r>
      <w:r w:rsidRPr="00A41929">
        <w:rPr>
          <w:bCs/>
          <w:sz w:val="22"/>
          <w:szCs w:val="22"/>
          <w:vertAlign w:val="superscript"/>
          <w:lang w:val="es-CO"/>
        </w:rPr>
        <w:t>*</w:t>
      </w:r>
      <w:r w:rsidRPr="00A41929">
        <w:rPr>
          <w:bCs/>
          <w:sz w:val="22"/>
          <w:szCs w:val="22"/>
          <w:lang w:val="es-CO"/>
        </w:rPr>
        <w:t xml:space="preserve">, </w:t>
      </w:r>
      <w:proofErr w:type="spellStart"/>
      <w:r w:rsidRPr="00A41929">
        <w:rPr>
          <w:bCs/>
          <w:sz w:val="22"/>
          <w:szCs w:val="22"/>
          <w:lang w:val="es-CO"/>
        </w:rPr>
        <w:t>Alexi</w:t>
      </w:r>
      <w:proofErr w:type="spellEnd"/>
      <w:r w:rsidRPr="00A41929">
        <w:rPr>
          <w:bCs/>
          <w:sz w:val="22"/>
          <w:szCs w:val="22"/>
          <w:lang w:val="es-CO"/>
        </w:rPr>
        <w:t xml:space="preserve"> Ortega Ortiz</w:t>
      </w:r>
      <w:r w:rsidRPr="00A41929">
        <w:rPr>
          <w:bCs/>
          <w:sz w:val="22"/>
          <w:szCs w:val="22"/>
          <w:vertAlign w:val="superscript"/>
          <w:lang w:val="es-CO"/>
        </w:rPr>
        <w:t>*</w:t>
      </w:r>
      <w:r w:rsidRPr="00A41929">
        <w:rPr>
          <w:bCs/>
          <w:sz w:val="22"/>
          <w:szCs w:val="22"/>
          <w:lang w:val="es-CO"/>
        </w:rPr>
        <w:t>.</w:t>
      </w:r>
    </w:p>
    <w:p w:rsidR="003E0602" w:rsidRPr="00A41929" w:rsidRDefault="009112E6">
      <w:pPr>
        <w:jc w:val="both"/>
        <w:rPr>
          <w:bCs/>
          <w:sz w:val="22"/>
          <w:szCs w:val="22"/>
          <w:lang w:val="es-CO"/>
        </w:rPr>
      </w:pPr>
      <w:r w:rsidRPr="00A41929">
        <w:rPr>
          <w:bCs/>
          <w:sz w:val="22"/>
          <w:szCs w:val="22"/>
          <w:vertAlign w:val="superscript"/>
          <w:lang w:val="es-CO"/>
        </w:rPr>
        <w:t>*</w:t>
      </w:r>
      <w:r w:rsidRPr="00A41929">
        <w:rPr>
          <w:bCs/>
          <w:sz w:val="22"/>
          <w:szCs w:val="22"/>
          <w:lang w:val="es-CO"/>
        </w:rPr>
        <w:t>Instituto Nacional de Investigaciones en Viandas Tropicales (INIVIT), Apartado 6, Santo Domingo CP. 53000, Villa Clara, Cuba.</w:t>
      </w:r>
    </w:p>
    <w:p w:rsidR="003E0602" w:rsidRPr="00A41929" w:rsidRDefault="009112E6">
      <w:pPr>
        <w:jc w:val="both"/>
        <w:rPr>
          <w:sz w:val="22"/>
          <w:szCs w:val="22"/>
        </w:rPr>
      </w:pPr>
      <w:r w:rsidRPr="00A41929">
        <w:rPr>
          <w:sz w:val="22"/>
          <w:szCs w:val="22"/>
          <w:lang w:val="es-CO"/>
        </w:rPr>
        <w:t xml:space="preserve"> </w:t>
      </w:r>
      <w:r w:rsidRPr="00A41929">
        <w:rPr>
          <w:bCs/>
          <w:sz w:val="22"/>
          <w:szCs w:val="22"/>
          <w:vertAlign w:val="superscript"/>
          <w:lang w:val="es-CO"/>
        </w:rPr>
        <w:t>**</w:t>
      </w:r>
      <w:proofErr w:type="spellStart"/>
      <w:r w:rsidRPr="00A41929">
        <w:rPr>
          <w:sz w:val="22"/>
          <w:szCs w:val="22"/>
          <w:lang w:val="es-CO"/>
        </w:rPr>
        <w:t>MSc.</w:t>
      </w:r>
      <w:proofErr w:type="spellEnd"/>
      <w:r w:rsidRPr="00A41929">
        <w:rPr>
          <w:sz w:val="22"/>
          <w:szCs w:val="22"/>
          <w:lang w:val="es-CO"/>
        </w:rPr>
        <w:t xml:space="preserve"> Autor para correspondencia: e-mail: </w:t>
      </w:r>
      <w:r w:rsidR="000F72CC" w:rsidRPr="000F72CC">
        <w:rPr>
          <w:sz w:val="22"/>
          <w:szCs w:val="22"/>
          <w:lang w:val="es-CO"/>
        </w:rPr>
        <w:t>sit.biotec@inivit.cu</w:t>
      </w:r>
      <w:r w:rsidRPr="00A41929">
        <w:rPr>
          <w:sz w:val="22"/>
          <w:szCs w:val="22"/>
          <w:lang w:val="es-CO"/>
        </w:rPr>
        <w:t xml:space="preserve">. </w:t>
      </w:r>
      <w:r w:rsidR="003E0602" w:rsidRPr="00A41929">
        <w:rPr>
          <w:sz w:val="22"/>
          <w:szCs w:val="22"/>
        </w:rPr>
        <w:t>Cuba.</w:t>
      </w:r>
    </w:p>
    <w:p w:rsidR="003E0602" w:rsidRPr="00A41929" w:rsidRDefault="003E0602">
      <w:pPr>
        <w:jc w:val="both"/>
        <w:rPr>
          <w:bCs/>
          <w:sz w:val="22"/>
          <w:szCs w:val="22"/>
        </w:rPr>
      </w:pPr>
    </w:p>
    <w:p w:rsidR="003E0602" w:rsidRPr="00A41929" w:rsidRDefault="003E0602">
      <w:pPr>
        <w:jc w:val="both"/>
        <w:outlineLvl w:val="0"/>
        <w:rPr>
          <w:b/>
          <w:bCs/>
          <w:sz w:val="22"/>
          <w:szCs w:val="22"/>
        </w:rPr>
      </w:pPr>
      <w:r w:rsidRPr="00A41929">
        <w:rPr>
          <w:b/>
          <w:bCs/>
          <w:sz w:val="22"/>
          <w:szCs w:val="22"/>
        </w:rPr>
        <w:t>Resumen</w:t>
      </w:r>
    </w:p>
    <w:p w:rsidR="003E0602" w:rsidRPr="00A41929" w:rsidRDefault="003E0602">
      <w:pPr>
        <w:jc w:val="both"/>
        <w:outlineLvl w:val="0"/>
        <w:rPr>
          <w:b/>
          <w:bCs/>
          <w:sz w:val="22"/>
          <w:szCs w:val="22"/>
        </w:rPr>
      </w:pPr>
    </w:p>
    <w:p w:rsidR="003E0602" w:rsidRPr="00A41929" w:rsidRDefault="003E0602">
      <w:pPr>
        <w:pStyle w:val="Textoindependiente3"/>
        <w:spacing w:line="240" w:lineRule="auto"/>
        <w:ind w:left="62"/>
        <w:rPr>
          <w:bCs/>
          <w:sz w:val="22"/>
          <w:szCs w:val="22"/>
        </w:rPr>
      </w:pPr>
      <w:r w:rsidRPr="00A41929">
        <w:rPr>
          <w:bCs/>
          <w:sz w:val="22"/>
          <w:szCs w:val="22"/>
        </w:rPr>
        <w:t xml:space="preserve">El trabajo fue desarrollado en el Laboratorio de Biotecnología Vegetal del Instituto de Investigaciones en Viandas Tropicales (INIVIT) con el objetivo de incrementar el coeficiente de multiplicación en el cultivar de plátano vianda "INIVITPV-2011" (AAB) en el Sistema de Inmersión Temporal (SIT). Se estudiaron diferentes tiempos de inmersión (10, 20 (control) y 30 minutos) y frecuencias de inmersión (3, 6 (control) y 8 horas) en frascos </w:t>
      </w:r>
      <w:proofErr w:type="spellStart"/>
      <w:r w:rsidRPr="00A41929">
        <w:rPr>
          <w:bCs/>
          <w:sz w:val="22"/>
          <w:szCs w:val="22"/>
        </w:rPr>
        <w:t>Nalgene</w:t>
      </w:r>
      <w:proofErr w:type="spellEnd"/>
      <w:r w:rsidRPr="00A41929">
        <w:rPr>
          <w:bCs/>
          <w:sz w:val="22"/>
          <w:szCs w:val="22"/>
        </w:rPr>
        <w:t xml:space="preserve"> de </w:t>
      </w:r>
      <w:smartTag w:uri="urn:schemas-microsoft-com:office:smarttags" w:element="metricconverter">
        <w:smartTagPr>
          <w:attr w:name="ProductID" w:val="10 L"/>
        </w:smartTagPr>
        <w:r w:rsidRPr="00A41929">
          <w:rPr>
            <w:bCs/>
            <w:sz w:val="22"/>
            <w:szCs w:val="22"/>
          </w:rPr>
          <w:t>10 L</w:t>
        </w:r>
      </w:smartTag>
      <w:r w:rsidRPr="00A41929">
        <w:rPr>
          <w:bCs/>
          <w:sz w:val="22"/>
          <w:szCs w:val="22"/>
        </w:rPr>
        <w:t xml:space="preserve"> de capacidad, se estudió además el volumen de medio de cultivo por </w:t>
      </w:r>
      <w:proofErr w:type="spellStart"/>
      <w:r w:rsidRPr="00A41929">
        <w:rPr>
          <w:bCs/>
          <w:sz w:val="22"/>
          <w:szCs w:val="22"/>
        </w:rPr>
        <w:t>explante</w:t>
      </w:r>
      <w:proofErr w:type="spellEnd"/>
      <w:r w:rsidRPr="00A41929">
        <w:rPr>
          <w:bCs/>
          <w:sz w:val="22"/>
          <w:szCs w:val="22"/>
        </w:rPr>
        <w:t xml:space="preserve"> (20, 40 (control) y 60  ml de medio de cultivo/</w:t>
      </w:r>
      <w:proofErr w:type="spellStart"/>
      <w:r w:rsidRPr="00A41929">
        <w:rPr>
          <w:bCs/>
          <w:sz w:val="22"/>
          <w:szCs w:val="22"/>
        </w:rPr>
        <w:t>explante</w:t>
      </w:r>
      <w:proofErr w:type="spellEnd"/>
      <w:r w:rsidRPr="00A41929">
        <w:rPr>
          <w:bCs/>
          <w:sz w:val="22"/>
          <w:szCs w:val="22"/>
        </w:rPr>
        <w:t xml:space="preserve">), así como el tiempo de </w:t>
      </w:r>
      <w:proofErr w:type="spellStart"/>
      <w:r w:rsidRPr="00A41929">
        <w:rPr>
          <w:bCs/>
          <w:sz w:val="22"/>
          <w:szCs w:val="22"/>
        </w:rPr>
        <w:t>subcultivo</w:t>
      </w:r>
      <w:proofErr w:type="spellEnd"/>
      <w:r w:rsidRPr="00A41929">
        <w:rPr>
          <w:bCs/>
          <w:sz w:val="22"/>
          <w:szCs w:val="22"/>
        </w:rPr>
        <w:t xml:space="preserve"> (15, 18, 21 (control) y 25 días)  y la densidad de </w:t>
      </w:r>
      <w:proofErr w:type="spellStart"/>
      <w:r w:rsidRPr="00A41929">
        <w:rPr>
          <w:bCs/>
          <w:sz w:val="22"/>
          <w:szCs w:val="22"/>
        </w:rPr>
        <w:t>explantes</w:t>
      </w:r>
      <w:proofErr w:type="spellEnd"/>
      <w:r w:rsidRPr="00A41929">
        <w:rPr>
          <w:bCs/>
          <w:sz w:val="22"/>
          <w:szCs w:val="22"/>
        </w:rPr>
        <w:t xml:space="preserve"> por frasco (20, 40 (control), 60 y 80 </w:t>
      </w:r>
      <w:proofErr w:type="spellStart"/>
      <w:r w:rsidRPr="00A41929">
        <w:rPr>
          <w:bCs/>
          <w:sz w:val="22"/>
          <w:szCs w:val="22"/>
        </w:rPr>
        <w:t>explantes</w:t>
      </w:r>
      <w:proofErr w:type="spellEnd"/>
      <w:r w:rsidRPr="00A41929">
        <w:rPr>
          <w:bCs/>
          <w:sz w:val="22"/>
          <w:szCs w:val="22"/>
        </w:rPr>
        <w:t>/frasco de cultivo). S</w:t>
      </w:r>
      <w:r w:rsidRPr="00A41929">
        <w:rPr>
          <w:sz w:val="22"/>
          <w:szCs w:val="22"/>
        </w:rPr>
        <w:t>e utilizó el medio de cultivo de multiplicación MS suplementado 2,0 mg.L</w:t>
      </w:r>
      <w:r w:rsidRPr="00A41929">
        <w:rPr>
          <w:sz w:val="22"/>
          <w:szCs w:val="22"/>
          <w:vertAlign w:val="superscript"/>
        </w:rPr>
        <w:t>-1</w:t>
      </w:r>
      <w:r w:rsidRPr="00A41929">
        <w:rPr>
          <w:sz w:val="22"/>
          <w:szCs w:val="22"/>
        </w:rPr>
        <w:t xml:space="preserve"> de 6-BAP; 3,5 mg.L</w:t>
      </w:r>
      <w:r w:rsidRPr="00A41929">
        <w:rPr>
          <w:sz w:val="22"/>
          <w:szCs w:val="22"/>
          <w:vertAlign w:val="superscript"/>
        </w:rPr>
        <w:t>-1</w:t>
      </w:r>
      <w:r w:rsidRPr="00A41929">
        <w:rPr>
          <w:sz w:val="22"/>
          <w:szCs w:val="22"/>
        </w:rPr>
        <w:t xml:space="preserve">de AIA; </w:t>
      </w:r>
      <w:smartTag w:uri="urn:schemas-microsoft-com:office:smarttags" w:element="metricconverter">
        <w:smartTagPr>
          <w:attr w:name="ProductID" w:val="30,0 g"/>
        </w:smartTagPr>
        <w:r w:rsidRPr="00A41929">
          <w:rPr>
            <w:sz w:val="22"/>
            <w:szCs w:val="22"/>
          </w:rPr>
          <w:t>30,0 g</w:t>
        </w:r>
      </w:smartTag>
      <w:r w:rsidRPr="00A41929">
        <w:rPr>
          <w:sz w:val="22"/>
          <w:szCs w:val="22"/>
        </w:rPr>
        <w:t>.L</w:t>
      </w:r>
      <w:r w:rsidRPr="00A41929">
        <w:rPr>
          <w:sz w:val="22"/>
          <w:szCs w:val="22"/>
          <w:vertAlign w:val="superscript"/>
        </w:rPr>
        <w:t>-1</w:t>
      </w:r>
      <w:r w:rsidRPr="00A41929">
        <w:rPr>
          <w:sz w:val="22"/>
          <w:szCs w:val="22"/>
        </w:rPr>
        <w:t xml:space="preserve"> de sacarosa; 10,0 mg.L</w:t>
      </w:r>
      <w:r w:rsidRPr="00A41929">
        <w:rPr>
          <w:sz w:val="22"/>
          <w:szCs w:val="22"/>
          <w:vertAlign w:val="superscript"/>
        </w:rPr>
        <w:t>-1</w:t>
      </w:r>
      <w:r w:rsidRPr="00A41929">
        <w:rPr>
          <w:sz w:val="22"/>
          <w:szCs w:val="22"/>
        </w:rPr>
        <w:t xml:space="preserve"> de ácido ascórbico. </w:t>
      </w:r>
      <w:r w:rsidRPr="00A41929">
        <w:rPr>
          <w:bCs/>
          <w:sz w:val="22"/>
          <w:szCs w:val="22"/>
        </w:rPr>
        <w:t xml:space="preserve">Los resultados obtenidos permitieron establecer una metodología para la </w:t>
      </w:r>
      <w:proofErr w:type="spellStart"/>
      <w:r w:rsidRPr="00A41929">
        <w:rPr>
          <w:bCs/>
          <w:sz w:val="22"/>
          <w:szCs w:val="22"/>
        </w:rPr>
        <w:t>micropropagación</w:t>
      </w:r>
      <w:proofErr w:type="spellEnd"/>
      <w:r w:rsidRPr="00A41929">
        <w:rPr>
          <w:bCs/>
          <w:sz w:val="22"/>
          <w:szCs w:val="22"/>
        </w:rPr>
        <w:t xml:space="preserve"> en el Sistema de Inmersión Temporal del cultivar de plátano vianda "INIVITPV-2011" (AAB) la cual consistió en utilizar un tiempo de inmersión de 10 minutos con una frecuencia cada 3 horas, es decir, 8 inmersiones al día, además para cada frasco de </w:t>
      </w:r>
      <w:smartTag w:uri="urn:schemas-microsoft-com:office:smarttags" w:element="metricconverter">
        <w:smartTagPr>
          <w:attr w:name="ProductID" w:val="10 L"/>
        </w:smartTagPr>
        <w:r w:rsidRPr="00A41929">
          <w:rPr>
            <w:bCs/>
            <w:sz w:val="22"/>
            <w:szCs w:val="22"/>
          </w:rPr>
          <w:t>10 L</w:t>
        </w:r>
      </w:smartTag>
      <w:r w:rsidRPr="00A41929">
        <w:rPr>
          <w:bCs/>
          <w:sz w:val="22"/>
          <w:szCs w:val="22"/>
        </w:rPr>
        <w:t xml:space="preserve"> se inocularon 60 </w:t>
      </w:r>
      <w:proofErr w:type="spellStart"/>
      <w:r w:rsidRPr="00A41929">
        <w:rPr>
          <w:bCs/>
          <w:sz w:val="22"/>
          <w:szCs w:val="22"/>
        </w:rPr>
        <w:t>explantes</w:t>
      </w:r>
      <w:proofErr w:type="spellEnd"/>
      <w:r w:rsidRPr="00A41929">
        <w:rPr>
          <w:bCs/>
          <w:sz w:val="22"/>
          <w:szCs w:val="22"/>
        </w:rPr>
        <w:t xml:space="preserve"> y la renovación con 3600 ml de medio de cultivo y un tiempo de cultivo de 18 días permitió alcanzar la mayor productividad del material en fase de multiplicación. Estos resultados, utilizando el Sistema de Inmersión Temporal permitieron establecer una metodología eficiente para la </w:t>
      </w:r>
      <w:proofErr w:type="spellStart"/>
      <w:r w:rsidRPr="00A41929">
        <w:rPr>
          <w:bCs/>
          <w:sz w:val="22"/>
          <w:szCs w:val="22"/>
        </w:rPr>
        <w:t>micropropagación</w:t>
      </w:r>
      <w:proofErr w:type="spellEnd"/>
      <w:r w:rsidRPr="00A41929">
        <w:rPr>
          <w:bCs/>
          <w:sz w:val="22"/>
          <w:szCs w:val="22"/>
        </w:rPr>
        <w:t xml:space="preserve"> del cultivar de plátano vianda "INIVITPV-2011" (AAB).</w:t>
      </w:r>
    </w:p>
    <w:p w:rsidR="003E0602" w:rsidRPr="00A41929" w:rsidRDefault="003E0602">
      <w:pPr>
        <w:pStyle w:val="Textoindependiente3"/>
        <w:spacing w:line="240" w:lineRule="auto"/>
        <w:ind w:left="62"/>
        <w:rPr>
          <w:bCs/>
          <w:sz w:val="22"/>
          <w:szCs w:val="22"/>
        </w:rPr>
      </w:pPr>
    </w:p>
    <w:p w:rsidR="003E0602" w:rsidRPr="00A41929" w:rsidRDefault="003E0602">
      <w:pPr>
        <w:autoSpaceDE w:val="0"/>
        <w:autoSpaceDN w:val="0"/>
        <w:adjustRightInd w:val="0"/>
        <w:rPr>
          <w:sz w:val="22"/>
          <w:szCs w:val="22"/>
        </w:rPr>
      </w:pPr>
      <w:r w:rsidRPr="00A41929">
        <w:rPr>
          <w:b/>
          <w:sz w:val="22"/>
          <w:szCs w:val="22"/>
        </w:rPr>
        <w:t>Palabras claves:</w:t>
      </w:r>
      <w:r w:rsidRPr="00A41929">
        <w:rPr>
          <w:sz w:val="22"/>
          <w:szCs w:val="22"/>
        </w:rPr>
        <w:t xml:space="preserve"> propagación </w:t>
      </w:r>
      <w:r w:rsidRPr="00A41929">
        <w:rPr>
          <w:i/>
          <w:sz w:val="22"/>
          <w:szCs w:val="22"/>
        </w:rPr>
        <w:t>in vitro</w:t>
      </w:r>
      <w:r w:rsidRPr="00A41929">
        <w:rPr>
          <w:sz w:val="22"/>
          <w:szCs w:val="22"/>
        </w:rPr>
        <w:t>,  tiempo, frecuencia, inmersión, multiplicación.</w:t>
      </w:r>
    </w:p>
    <w:p w:rsidR="003E0602" w:rsidRPr="00A41929" w:rsidRDefault="003E0602">
      <w:pPr>
        <w:autoSpaceDE w:val="0"/>
        <w:autoSpaceDN w:val="0"/>
        <w:adjustRightInd w:val="0"/>
        <w:rPr>
          <w:bCs/>
          <w:sz w:val="22"/>
          <w:szCs w:val="22"/>
        </w:rPr>
      </w:pPr>
    </w:p>
    <w:p w:rsidR="003E0602" w:rsidRPr="00A41929" w:rsidRDefault="003E0602">
      <w:pPr>
        <w:jc w:val="both"/>
        <w:outlineLvl w:val="0"/>
        <w:rPr>
          <w:b/>
          <w:bCs/>
          <w:sz w:val="22"/>
          <w:szCs w:val="22"/>
          <w:lang w:val="en-GB"/>
        </w:rPr>
      </w:pPr>
      <w:r w:rsidRPr="00A41929">
        <w:rPr>
          <w:b/>
          <w:bCs/>
          <w:sz w:val="22"/>
          <w:szCs w:val="22"/>
          <w:lang w:val="en-GB"/>
        </w:rPr>
        <w:t>Abstract</w:t>
      </w:r>
    </w:p>
    <w:p w:rsidR="003E0602" w:rsidRPr="00A41929" w:rsidRDefault="003E0602">
      <w:pPr>
        <w:jc w:val="both"/>
        <w:outlineLvl w:val="0"/>
        <w:rPr>
          <w:b/>
          <w:bCs/>
          <w:sz w:val="22"/>
          <w:szCs w:val="22"/>
          <w:lang w:val="en-GB"/>
        </w:rPr>
      </w:pPr>
    </w:p>
    <w:p w:rsidR="003E0602" w:rsidRPr="00A41929" w:rsidRDefault="003E0602">
      <w:pPr>
        <w:jc w:val="both"/>
        <w:rPr>
          <w:bCs/>
          <w:sz w:val="22"/>
          <w:szCs w:val="22"/>
          <w:lang w:val="en-GB"/>
        </w:rPr>
      </w:pPr>
      <w:r w:rsidRPr="00A41929">
        <w:rPr>
          <w:bCs/>
          <w:sz w:val="22"/>
          <w:szCs w:val="22"/>
          <w:lang w:val="en-GB"/>
        </w:rPr>
        <w:t xml:space="preserve">This work was developed at the Plant Biotechnology Laboratory from the Research Institute of Tropical Root and Tuber Crops (INIVIT) in order to increase the multiplication coefficient in plantain cultivar "INIVITPV-2011" (AAB) in Temporary Immersion Systems (TIS). Different immersion times (10, 20 (control) and 30 minutes) and immersion frequencies (3, 6 (control) and 8 </w:t>
      </w:r>
      <w:proofErr w:type="gramStart"/>
      <w:r w:rsidRPr="00A41929">
        <w:rPr>
          <w:bCs/>
          <w:sz w:val="22"/>
          <w:szCs w:val="22"/>
          <w:lang w:val="en-GB"/>
        </w:rPr>
        <w:t>hours</w:t>
      </w:r>
      <w:proofErr w:type="gramEnd"/>
      <w:r w:rsidRPr="00A41929">
        <w:rPr>
          <w:bCs/>
          <w:sz w:val="22"/>
          <w:szCs w:val="22"/>
          <w:lang w:val="en-GB"/>
        </w:rPr>
        <w:t xml:space="preserve">) in </w:t>
      </w:r>
      <w:smartTag w:uri="urn:schemas-microsoft-com:office:smarttags" w:element="metricconverter">
        <w:smartTagPr>
          <w:attr w:name="ProductID" w:val="10 L"/>
        </w:smartTagPr>
        <w:r w:rsidRPr="00A41929">
          <w:rPr>
            <w:bCs/>
            <w:sz w:val="22"/>
            <w:szCs w:val="22"/>
            <w:lang w:val="en-GB"/>
          </w:rPr>
          <w:t>10 L</w:t>
        </w:r>
      </w:smartTag>
      <w:r w:rsidRPr="00A41929">
        <w:rPr>
          <w:bCs/>
          <w:sz w:val="22"/>
          <w:szCs w:val="22"/>
          <w:lang w:val="en-GB"/>
        </w:rPr>
        <w:t xml:space="preserve"> </w:t>
      </w:r>
      <w:proofErr w:type="spellStart"/>
      <w:r w:rsidRPr="00A41929">
        <w:rPr>
          <w:bCs/>
          <w:sz w:val="22"/>
          <w:szCs w:val="22"/>
          <w:lang w:val="en-GB"/>
        </w:rPr>
        <w:t>Nalgene</w:t>
      </w:r>
      <w:proofErr w:type="spellEnd"/>
      <w:r w:rsidRPr="00A41929">
        <w:rPr>
          <w:bCs/>
          <w:sz w:val="22"/>
          <w:szCs w:val="22"/>
          <w:lang w:val="en-GB"/>
        </w:rPr>
        <w:t xml:space="preserve"> flasks, and culture medium volume per explants (20, 40 (control) and 60 ml culture medium / explants) were studied, as well as, subculture time (15, 18, 21(control) and 25 days) and explants density per flask (20, 40 (control), 60 and 80 explants / culture flask).</w:t>
      </w:r>
      <w:r w:rsidRPr="00A41929">
        <w:rPr>
          <w:sz w:val="22"/>
          <w:szCs w:val="22"/>
          <w:lang w:val="en-US"/>
        </w:rPr>
        <w:t xml:space="preserve"> T</w:t>
      </w:r>
      <w:r w:rsidRPr="00A41929">
        <w:rPr>
          <w:rStyle w:val="hps"/>
          <w:sz w:val="22"/>
          <w:szCs w:val="22"/>
          <w:lang w:val="en-US"/>
        </w:rPr>
        <w:t>he</w:t>
      </w:r>
      <w:r w:rsidRPr="00A41929">
        <w:rPr>
          <w:sz w:val="22"/>
          <w:szCs w:val="22"/>
          <w:lang w:val="en-US"/>
        </w:rPr>
        <w:t xml:space="preserve"> </w:t>
      </w:r>
      <w:r w:rsidRPr="00A41929">
        <w:rPr>
          <w:rStyle w:val="hps"/>
          <w:sz w:val="22"/>
          <w:szCs w:val="22"/>
          <w:lang w:val="en-US"/>
        </w:rPr>
        <w:t>multiplication</w:t>
      </w:r>
      <w:r w:rsidRPr="00A41929">
        <w:rPr>
          <w:sz w:val="22"/>
          <w:szCs w:val="22"/>
          <w:lang w:val="en-US"/>
        </w:rPr>
        <w:t xml:space="preserve"> </w:t>
      </w:r>
      <w:r w:rsidRPr="00A41929">
        <w:rPr>
          <w:rStyle w:val="hps"/>
          <w:sz w:val="22"/>
          <w:szCs w:val="22"/>
          <w:lang w:val="en-US"/>
        </w:rPr>
        <w:t>culture medium</w:t>
      </w:r>
      <w:r w:rsidRPr="00A41929">
        <w:rPr>
          <w:sz w:val="22"/>
          <w:szCs w:val="22"/>
          <w:lang w:val="en-US"/>
        </w:rPr>
        <w:t xml:space="preserve"> </w:t>
      </w:r>
      <w:r w:rsidRPr="00A41929">
        <w:rPr>
          <w:rStyle w:val="hps"/>
          <w:sz w:val="22"/>
          <w:szCs w:val="22"/>
          <w:lang w:val="en-US"/>
        </w:rPr>
        <w:t>MS supplemented</w:t>
      </w:r>
      <w:r w:rsidRPr="00A41929">
        <w:rPr>
          <w:sz w:val="22"/>
          <w:szCs w:val="22"/>
          <w:lang w:val="en-US"/>
        </w:rPr>
        <w:t xml:space="preserve"> </w:t>
      </w:r>
      <w:r w:rsidRPr="00A41929">
        <w:rPr>
          <w:rStyle w:val="hps"/>
          <w:sz w:val="22"/>
          <w:szCs w:val="22"/>
          <w:lang w:val="en-US"/>
        </w:rPr>
        <w:t>with</w:t>
      </w:r>
      <w:r w:rsidRPr="00A41929">
        <w:rPr>
          <w:sz w:val="22"/>
          <w:szCs w:val="22"/>
          <w:lang w:val="en-US"/>
        </w:rPr>
        <w:t xml:space="preserve"> </w:t>
      </w:r>
      <w:r w:rsidRPr="00A41929">
        <w:rPr>
          <w:rStyle w:val="hps"/>
          <w:sz w:val="22"/>
          <w:szCs w:val="22"/>
          <w:lang w:val="en-US"/>
        </w:rPr>
        <w:t>2.0</w:t>
      </w:r>
      <w:r w:rsidRPr="00A41929">
        <w:rPr>
          <w:sz w:val="22"/>
          <w:szCs w:val="22"/>
          <w:lang w:val="en-US"/>
        </w:rPr>
        <w:t xml:space="preserve"> </w:t>
      </w:r>
      <w:r w:rsidRPr="00A41929">
        <w:rPr>
          <w:rStyle w:val="hps"/>
          <w:sz w:val="22"/>
          <w:szCs w:val="22"/>
          <w:lang w:val="en-US"/>
        </w:rPr>
        <w:t>mg.L</w:t>
      </w:r>
      <w:r w:rsidRPr="00A41929">
        <w:rPr>
          <w:sz w:val="22"/>
          <w:szCs w:val="22"/>
          <w:vertAlign w:val="superscript"/>
          <w:lang w:val="en-US"/>
        </w:rPr>
        <w:t>-1</w:t>
      </w:r>
      <w:r w:rsidRPr="00A41929">
        <w:rPr>
          <w:sz w:val="22"/>
          <w:szCs w:val="22"/>
          <w:lang w:val="en-US"/>
        </w:rPr>
        <w:t xml:space="preserve"> </w:t>
      </w:r>
      <w:r w:rsidRPr="00A41929">
        <w:rPr>
          <w:rStyle w:val="hpsatn"/>
          <w:sz w:val="22"/>
          <w:szCs w:val="22"/>
          <w:lang w:val="en-US"/>
        </w:rPr>
        <w:t>6-</w:t>
      </w:r>
      <w:r w:rsidRPr="00A41929">
        <w:rPr>
          <w:sz w:val="22"/>
          <w:szCs w:val="22"/>
          <w:lang w:val="en-US"/>
        </w:rPr>
        <w:t xml:space="preserve">BAP, </w:t>
      </w:r>
      <w:proofErr w:type="gramStart"/>
      <w:r w:rsidRPr="00A41929">
        <w:rPr>
          <w:sz w:val="22"/>
          <w:szCs w:val="22"/>
          <w:lang w:val="en-US"/>
        </w:rPr>
        <w:t xml:space="preserve">3.5 </w:t>
      </w:r>
      <w:r w:rsidRPr="00A41929">
        <w:rPr>
          <w:rStyle w:val="hps"/>
          <w:sz w:val="22"/>
          <w:szCs w:val="22"/>
          <w:lang w:val="en-US"/>
        </w:rPr>
        <w:t>mg.L</w:t>
      </w:r>
      <w:r w:rsidRPr="00A41929">
        <w:rPr>
          <w:sz w:val="22"/>
          <w:szCs w:val="22"/>
          <w:vertAlign w:val="superscript"/>
          <w:lang w:val="en-US"/>
        </w:rPr>
        <w:t>-1</w:t>
      </w:r>
      <w:r w:rsidRPr="00A41929">
        <w:rPr>
          <w:sz w:val="22"/>
          <w:szCs w:val="22"/>
          <w:lang w:val="en-US"/>
        </w:rPr>
        <w:t xml:space="preserve"> </w:t>
      </w:r>
      <w:r w:rsidRPr="00A41929">
        <w:rPr>
          <w:rStyle w:val="hps"/>
          <w:sz w:val="22"/>
          <w:szCs w:val="22"/>
          <w:lang w:val="en-US"/>
        </w:rPr>
        <w:t>IAA</w:t>
      </w:r>
      <w:proofErr w:type="gramEnd"/>
      <w:r w:rsidRPr="00A41929">
        <w:rPr>
          <w:rStyle w:val="hps"/>
          <w:sz w:val="22"/>
          <w:szCs w:val="22"/>
          <w:lang w:val="en-US"/>
        </w:rPr>
        <w:t>,</w:t>
      </w:r>
      <w:r w:rsidRPr="00A41929">
        <w:rPr>
          <w:sz w:val="22"/>
          <w:szCs w:val="22"/>
          <w:lang w:val="en-US"/>
        </w:rPr>
        <w:t xml:space="preserve"> </w:t>
      </w:r>
      <w:r w:rsidRPr="00A41929">
        <w:rPr>
          <w:rStyle w:val="hps"/>
          <w:sz w:val="22"/>
          <w:szCs w:val="22"/>
          <w:lang w:val="en-US"/>
        </w:rPr>
        <w:t>30.0</w:t>
      </w:r>
      <w:r w:rsidRPr="00A41929">
        <w:rPr>
          <w:sz w:val="22"/>
          <w:szCs w:val="22"/>
          <w:lang w:val="en-US"/>
        </w:rPr>
        <w:t xml:space="preserve"> </w:t>
      </w:r>
      <w:r w:rsidRPr="00A41929">
        <w:rPr>
          <w:rStyle w:val="hps"/>
          <w:sz w:val="22"/>
          <w:szCs w:val="22"/>
          <w:lang w:val="en-US"/>
        </w:rPr>
        <w:t>gL</w:t>
      </w:r>
      <w:r w:rsidRPr="00A41929">
        <w:rPr>
          <w:sz w:val="22"/>
          <w:szCs w:val="22"/>
          <w:lang w:val="en-US"/>
        </w:rPr>
        <w:t xml:space="preserve">-1 </w:t>
      </w:r>
      <w:r w:rsidRPr="00A41929">
        <w:rPr>
          <w:rStyle w:val="hps"/>
          <w:sz w:val="22"/>
          <w:szCs w:val="22"/>
          <w:lang w:val="en-US"/>
        </w:rPr>
        <w:t>sucrose</w:t>
      </w:r>
      <w:r w:rsidRPr="00A41929">
        <w:rPr>
          <w:sz w:val="22"/>
          <w:szCs w:val="22"/>
          <w:lang w:val="en-US"/>
        </w:rPr>
        <w:t xml:space="preserve">, 10.0 </w:t>
      </w:r>
      <w:r w:rsidRPr="00A41929">
        <w:rPr>
          <w:rStyle w:val="hpsatn"/>
          <w:sz w:val="22"/>
          <w:szCs w:val="22"/>
          <w:lang w:val="en-US"/>
        </w:rPr>
        <w:t>mg.L-</w:t>
      </w:r>
      <w:r w:rsidRPr="00A41929">
        <w:rPr>
          <w:rStyle w:val="hps"/>
          <w:sz w:val="22"/>
          <w:szCs w:val="22"/>
          <w:lang w:val="en-US"/>
        </w:rPr>
        <w:t>1</w:t>
      </w:r>
      <w:r w:rsidRPr="00A41929">
        <w:rPr>
          <w:sz w:val="22"/>
          <w:szCs w:val="22"/>
          <w:lang w:val="en-US"/>
        </w:rPr>
        <w:t xml:space="preserve"> </w:t>
      </w:r>
      <w:r w:rsidRPr="00A41929">
        <w:rPr>
          <w:rStyle w:val="hps"/>
          <w:sz w:val="22"/>
          <w:szCs w:val="22"/>
          <w:lang w:val="en-US"/>
        </w:rPr>
        <w:t>ascorbic</w:t>
      </w:r>
      <w:r w:rsidRPr="00A41929">
        <w:rPr>
          <w:sz w:val="22"/>
          <w:szCs w:val="22"/>
          <w:lang w:val="en-US"/>
        </w:rPr>
        <w:t xml:space="preserve"> </w:t>
      </w:r>
      <w:r w:rsidRPr="00A41929">
        <w:rPr>
          <w:rStyle w:val="hps"/>
          <w:sz w:val="22"/>
          <w:szCs w:val="22"/>
          <w:lang w:val="en-US"/>
        </w:rPr>
        <w:t>acid was used</w:t>
      </w:r>
      <w:r w:rsidRPr="00A41929">
        <w:rPr>
          <w:sz w:val="22"/>
          <w:szCs w:val="22"/>
          <w:lang w:val="en-US"/>
        </w:rPr>
        <w:t>.</w:t>
      </w:r>
      <w:r w:rsidRPr="00A41929">
        <w:rPr>
          <w:bCs/>
          <w:sz w:val="22"/>
          <w:szCs w:val="22"/>
          <w:lang w:val="en-GB"/>
        </w:rPr>
        <w:t xml:space="preserve"> Results obtained allowed to establish a methodology for micro-propagation of plantain cultivar "INIVITPV-2011" </w:t>
      </w:r>
      <w:r w:rsidRPr="00A41929">
        <w:rPr>
          <w:sz w:val="22"/>
          <w:szCs w:val="22"/>
          <w:lang w:val="en-GB"/>
        </w:rPr>
        <w:t>(</w:t>
      </w:r>
      <w:r w:rsidRPr="00A41929">
        <w:rPr>
          <w:bCs/>
          <w:sz w:val="22"/>
          <w:szCs w:val="22"/>
          <w:lang w:val="en-GB"/>
        </w:rPr>
        <w:t xml:space="preserve">AAB) in temporary immersion </w:t>
      </w:r>
      <w:r w:rsidRPr="00A41929">
        <w:rPr>
          <w:bCs/>
          <w:sz w:val="22"/>
          <w:szCs w:val="22"/>
          <w:lang w:val="en-GB"/>
        </w:rPr>
        <w:lastRenderedPageBreak/>
        <w:t xml:space="preserve">system, which consisted of using a 10 minute immersion time with 3 hour frequency (8 immersions per day). Besides, 60 explants were inoculated in each </w:t>
      </w:r>
      <w:smartTag w:uri="urn:schemas-microsoft-com:office:smarttags" w:element="metricconverter">
        <w:smartTagPr>
          <w:attr w:name="ProductID" w:val="10 L"/>
        </w:smartTagPr>
        <w:r w:rsidRPr="00A41929">
          <w:rPr>
            <w:bCs/>
            <w:sz w:val="22"/>
            <w:szCs w:val="22"/>
            <w:lang w:val="en-GB"/>
          </w:rPr>
          <w:t>10 L</w:t>
        </w:r>
      </w:smartTag>
      <w:r w:rsidRPr="00A41929">
        <w:rPr>
          <w:bCs/>
          <w:sz w:val="22"/>
          <w:szCs w:val="22"/>
          <w:lang w:val="en-GB"/>
        </w:rPr>
        <w:t xml:space="preserve"> flask, and the renewal with 3600 ml culture medium and 18 day culture time allowed </w:t>
      </w:r>
      <w:proofErr w:type="gramStart"/>
      <w:r w:rsidRPr="00A41929">
        <w:rPr>
          <w:bCs/>
          <w:sz w:val="22"/>
          <w:szCs w:val="22"/>
          <w:lang w:val="en-GB"/>
        </w:rPr>
        <w:t>to obtain</w:t>
      </w:r>
      <w:proofErr w:type="gramEnd"/>
      <w:r w:rsidRPr="00A41929">
        <w:rPr>
          <w:bCs/>
          <w:sz w:val="22"/>
          <w:szCs w:val="22"/>
          <w:lang w:val="en-GB"/>
        </w:rPr>
        <w:t xml:space="preserve"> the highest productivity in the multiplication stage. These results, using the temporary immersion system allowed </w:t>
      </w:r>
      <w:proofErr w:type="gramStart"/>
      <w:r w:rsidRPr="00A41929">
        <w:rPr>
          <w:bCs/>
          <w:sz w:val="22"/>
          <w:szCs w:val="22"/>
          <w:lang w:val="en-GB"/>
        </w:rPr>
        <w:t>to establish</w:t>
      </w:r>
      <w:proofErr w:type="gramEnd"/>
      <w:r w:rsidRPr="00A41929">
        <w:rPr>
          <w:bCs/>
          <w:sz w:val="22"/>
          <w:szCs w:val="22"/>
          <w:lang w:val="en-GB"/>
        </w:rPr>
        <w:t xml:space="preserve"> a method for micro-propagation of plantain cultivar "INIVITPV-2011" (AAB).</w:t>
      </w:r>
    </w:p>
    <w:p w:rsidR="003E0602" w:rsidRPr="00A41929" w:rsidRDefault="003E0602">
      <w:pPr>
        <w:jc w:val="both"/>
        <w:rPr>
          <w:bCs/>
          <w:sz w:val="22"/>
          <w:szCs w:val="22"/>
          <w:lang w:val="en-GB"/>
        </w:rPr>
      </w:pPr>
    </w:p>
    <w:p w:rsidR="003E0602" w:rsidRPr="00A41929" w:rsidRDefault="009112E6">
      <w:pPr>
        <w:pStyle w:val="Textoindependiente3"/>
        <w:spacing w:line="240" w:lineRule="auto"/>
        <w:rPr>
          <w:bCs/>
          <w:sz w:val="22"/>
          <w:szCs w:val="22"/>
          <w:lang w:val="en-GB"/>
        </w:rPr>
      </w:pPr>
      <w:r w:rsidRPr="00A41929">
        <w:rPr>
          <w:b/>
          <w:bCs/>
          <w:sz w:val="22"/>
          <w:szCs w:val="22"/>
          <w:lang w:val="en-GB"/>
        </w:rPr>
        <w:t>Key words:</w:t>
      </w:r>
      <w:r w:rsidRPr="00A41929">
        <w:rPr>
          <w:bCs/>
          <w:sz w:val="22"/>
          <w:szCs w:val="22"/>
          <w:lang w:val="en-GB"/>
        </w:rPr>
        <w:t xml:space="preserve"> </w:t>
      </w:r>
      <w:r w:rsidRPr="00A41929">
        <w:rPr>
          <w:bCs/>
          <w:i/>
          <w:sz w:val="22"/>
          <w:szCs w:val="22"/>
          <w:lang w:val="en-GB"/>
        </w:rPr>
        <w:t>in vitro</w:t>
      </w:r>
      <w:r w:rsidRPr="00A41929">
        <w:rPr>
          <w:bCs/>
          <w:sz w:val="22"/>
          <w:szCs w:val="22"/>
          <w:lang w:val="en-GB"/>
        </w:rPr>
        <w:t xml:space="preserve"> propagation, time, frequency, immersion, multiplication. </w:t>
      </w:r>
    </w:p>
    <w:p w:rsidR="003E0602" w:rsidRPr="00A41929" w:rsidRDefault="003E0602" w:rsidP="00BF19DE">
      <w:pPr>
        <w:pStyle w:val="Textoindependiente3"/>
        <w:spacing w:line="240" w:lineRule="auto"/>
        <w:rPr>
          <w:bCs/>
          <w:sz w:val="22"/>
          <w:szCs w:val="22"/>
          <w:lang w:val="en-GB"/>
        </w:rPr>
      </w:pPr>
    </w:p>
    <w:p w:rsidR="003E0602" w:rsidRPr="00A41929" w:rsidRDefault="003E0602" w:rsidP="00BF19DE">
      <w:pPr>
        <w:pStyle w:val="Textoindependiente3"/>
        <w:spacing w:line="240" w:lineRule="auto"/>
        <w:rPr>
          <w:b/>
          <w:bCs/>
          <w:sz w:val="22"/>
          <w:szCs w:val="22"/>
        </w:rPr>
      </w:pPr>
      <w:r w:rsidRPr="00A41929">
        <w:rPr>
          <w:b/>
          <w:bCs/>
          <w:sz w:val="22"/>
          <w:szCs w:val="22"/>
        </w:rPr>
        <w:t xml:space="preserve">Recibido: </w:t>
      </w:r>
      <w:r w:rsidRPr="00A41929">
        <w:rPr>
          <w:bCs/>
          <w:sz w:val="22"/>
          <w:szCs w:val="22"/>
        </w:rPr>
        <w:t>marzo 19 de 2013</w:t>
      </w:r>
    </w:p>
    <w:p w:rsidR="003E0602" w:rsidRPr="00A41929" w:rsidRDefault="003E0602" w:rsidP="00BF19DE">
      <w:pPr>
        <w:pStyle w:val="Textoindependiente3"/>
        <w:spacing w:line="240" w:lineRule="auto"/>
        <w:rPr>
          <w:bCs/>
          <w:sz w:val="22"/>
          <w:szCs w:val="22"/>
        </w:rPr>
      </w:pPr>
      <w:r w:rsidRPr="00A41929">
        <w:rPr>
          <w:b/>
          <w:bCs/>
          <w:sz w:val="22"/>
          <w:szCs w:val="22"/>
        </w:rPr>
        <w:t xml:space="preserve">Aprobado:  </w:t>
      </w:r>
      <w:r w:rsidR="000F72CC">
        <w:rPr>
          <w:bCs/>
          <w:sz w:val="22"/>
          <w:szCs w:val="22"/>
        </w:rPr>
        <w:t>junio 24 de 2013</w:t>
      </w:r>
    </w:p>
    <w:p w:rsidR="003E0602" w:rsidRPr="00A41929" w:rsidRDefault="003E0602" w:rsidP="00BF19DE">
      <w:pPr>
        <w:pStyle w:val="Textoindependiente3"/>
        <w:spacing w:line="240" w:lineRule="auto"/>
        <w:rPr>
          <w:bCs/>
          <w:sz w:val="22"/>
          <w:szCs w:val="22"/>
        </w:rPr>
      </w:pPr>
    </w:p>
    <w:p w:rsidR="003E0602" w:rsidRPr="00A41929" w:rsidRDefault="003E0602">
      <w:pPr>
        <w:jc w:val="both"/>
        <w:outlineLvl w:val="0"/>
        <w:rPr>
          <w:b/>
          <w:bCs/>
          <w:sz w:val="22"/>
          <w:szCs w:val="22"/>
        </w:rPr>
      </w:pPr>
      <w:r w:rsidRPr="00A41929">
        <w:rPr>
          <w:b/>
          <w:bCs/>
          <w:sz w:val="22"/>
          <w:szCs w:val="22"/>
        </w:rPr>
        <w:t>Introducción</w:t>
      </w:r>
    </w:p>
    <w:p w:rsidR="003E0602" w:rsidRPr="00A41929" w:rsidRDefault="003E0602">
      <w:pPr>
        <w:jc w:val="both"/>
        <w:outlineLvl w:val="0"/>
        <w:rPr>
          <w:b/>
          <w:bCs/>
          <w:sz w:val="22"/>
          <w:szCs w:val="22"/>
        </w:rPr>
      </w:pPr>
    </w:p>
    <w:p w:rsidR="003E0602" w:rsidRPr="00A41929" w:rsidRDefault="003E0602">
      <w:pPr>
        <w:jc w:val="both"/>
        <w:rPr>
          <w:bCs/>
          <w:sz w:val="22"/>
          <w:szCs w:val="22"/>
        </w:rPr>
      </w:pPr>
      <w:r w:rsidRPr="00A41929">
        <w:rPr>
          <w:bCs/>
          <w:sz w:val="22"/>
          <w:szCs w:val="22"/>
        </w:rPr>
        <w:t>El cultivo del plátano (</w:t>
      </w:r>
      <w:r w:rsidRPr="00A41929">
        <w:rPr>
          <w:bCs/>
          <w:i/>
          <w:sz w:val="22"/>
          <w:szCs w:val="22"/>
        </w:rPr>
        <w:t>Musa</w:t>
      </w:r>
      <w:r w:rsidRPr="00A41929">
        <w:rPr>
          <w:bCs/>
          <w:sz w:val="22"/>
          <w:szCs w:val="22"/>
        </w:rPr>
        <w:t xml:space="preserve"> </w:t>
      </w:r>
      <w:proofErr w:type="spellStart"/>
      <w:r w:rsidRPr="00A41929">
        <w:rPr>
          <w:bCs/>
          <w:sz w:val="22"/>
          <w:szCs w:val="22"/>
        </w:rPr>
        <w:t>spp</w:t>
      </w:r>
      <w:proofErr w:type="spellEnd"/>
      <w:r w:rsidRPr="00A41929">
        <w:rPr>
          <w:bCs/>
          <w:sz w:val="22"/>
          <w:szCs w:val="22"/>
        </w:rPr>
        <w:t>) es una importante fuente de alimento para una gran parte de la población mundial, localizada principalmente en países subdesarrollados de Asia, África, América Central y del Sur, la producción anual se estimó en 43,4 millones de toneladas y los rendimientos en 73,28 ton.ha</w:t>
      </w:r>
      <w:r w:rsidRPr="00A41929">
        <w:rPr>
          <w:bCs/>
          <w:sz w:val="22"/>
          <w:szCs w:val="22"/>
          <w:vertAlign w:val="superscript"/>
        </w:rPr>
        <w:t>-1</w:t>
      </w:r>
      <w:r w:rsidRPr="00A41929">
        <w:rPr>
          <w:bCs/>
          <w:sz w:val="22"/>
          <w:szCs w:val="22"/>
        </w:rPr>
        <w:t xml:space="preserve"> (FAO, 2010). </w:t>
      </w:r>
    </w:p>
    <w:p w:rsidR="003E0602" w:rsidRPr="00A41929" w:rsidRDefault="003E0602">
      <w:pPr>
        <w:jc w:val="both"/>
        <w:rPr>
          <w:bCs/>
          <w:sz w:val="22"/>
          <w:szCs w:val="22"/>
        </w:rPr>
      </w:pPr>
    </w:p>
    <w:p w:rsidR="003E0602" w:rsidRPr="00A41929" w:rsidRDefault="003E0602">
      <w:pPr>
        <w:pStyle w:val="Textoindependiente2"/>
        <w:spacing w:after="0" w:line="240" w:lineRule="auto"/>
        <w:jc w:val="both"/>
        <w:rPr>
          <w:bCs/>
          <w:sz w:val="22"/>
          <w:szCs w:val="22"/>
        </w:rPr>
      </w:pPr>
      <w:r w:rsidRPr="00A41929">
        <w:rPr>
          <w:bCs/>
          <w:sz w:val="22"/>
          <w:szCs w:val="22"/>
        </w:rPr>
        <w:t>En Cuba los plátanos tipo vianda constituyen un cultivo estratégico de elevada prioridad dentro del programa alimentario nacional debido a su capacidad de producir todos los meses del año, su elevado potencial de rendimiento, arraigados hábitos de consumo y diversidad de usos (Rodríguez, 2008).</w:t>
      </w:r>
    </w:p>
    <w:p w:rsidR="003E0602" w:rsidRPr="00A41929" w:rsidRDefault="003E0602">
      <w:pPr>
        <w:pStyle w:val="Textoindependiente2"/>
        <w:spacing w:after="0" w:line="240" w:lineRule="auto"/>
        <w:jc w:val="both"/>
        <w:rPr>
          <w:bCs/>
          <w:sz w:val="22"/>
          <w:szCs w:val="22"/>
        </w:rPr>
      </w:pPr>
    </w:p>
    <w:p w:rsidR="003E0602" w:rsidRPr="00A41929" w:rsidRDefault="003E0602">
      <w:pPr>
        <w:jc w:val="both"/>
        <w:rPr>
          <w:bCs/>
          <w:sz w:val="22"/>
          <w:szCs w:val="22"/>
        </w:rPr>
      </w:pPr>
      <w:r w:rsidRPr="00A41929">
        <w:rPr>
          <w:bCs/>
          <w:sz w:val="22"/>
          <w:szCs w:val="22"/>
        </w:rPr>
        <w:t>A pesar de ocupar el cuarto lugar entre las principales fuentes de alimentos (después del arroz, la leche y el trigo), son fuente importante de carbohidratos (35%), proteínas (1,2%) y fibras (6-7%); adicionalmente aportan potasio, magnesio, fósforo, calcio y vitamina A y C (</w:t>
      </w:r>
      <w:proofErr w:type="spellStart"/>
      <w:r w:rsidRPr="00A41929">
        <w:rPr>
          <w:bCs/>
          <w:sz w:val="22"/>
          <w:szCs w:val="22"/>
        </w:rPr>
        <w:t>Kodym</w:t>
      </w:r>
      <w:proofErr w:type="spellEnd"/>
      <w:r w:rsidRPr="00A41929">
        <w:rPr>
          <w:bCs/>
          <w:sz w:val="22"/>
          <w:szCs w:val="22"/>
        </w:rPr>
        <w:t xml:space="preserve"> y Zapata, 1999). </w:t>
      </w:r>
    </w:p>
    <w:p w:rsidR="003E0602" w:rsidRPr="00A41929" w:rsidRDefault="003E0602">
      <w:pPr>
        <w:jc w:val="both"/>
        <w:rPr>
          <w:bCs/>
          <w:sz w:val="22"/>
          <w:szCs w:val="22"/>
        </w:rPr>
      </w:pPr>
    </w:p>
    <w:p w:rsidR="003E0602" w:rsidRPr="00A41929" w:rsidRDefault="003E0602">
      <w:pPr>
        <w:jc w:val="both"/>
        <w:rPr>
          <w:bCs/>
          <w:sz w:val="22"/>
          <w:szCs w:val="22"/>
        </w:rPr>
      </w:pPr>
      <w:r w:rsidRPr="00A41929">
        <w:rPr>
          <w:bCs/>
          <w:sz w:val="22"/>
          <w:szCs w:val="22"/>
        </w:rPr>
        <w:t xml:space="preserve">Dentro de las técnicas de cultivo de tejidos, la </w:t>
      </w:r>
      <w:proofErr w:type="spellStart"/>
      <w:r w:rsidRPr="00A41929">
        <w:rPr>
          <w:bCs/>
          <w:sz w:val="22"/>
          <w:szCs w:val="22"/>
        </w:rPr>
        <w:t>micropropagación</w:t>
      </w:r>
      <w:proofErr w:type="spellEnd"/>
      <w:r w:rsidRPr="00A41929">
        <w:rPr>
          <w:bCs/>
          <w:sz w:val="22"/>
          <w:szCs w:val="22"/>
        </w:rPr>
        <w:t xml:space="preserve"> es una alternativa desarrollada para la producción a gran escala de plantas, que ha sido utilizada con éxito desde los años 60 del siglo pasado, pero sus principales desventajas son: bajos coeficientes de multiplicación, alto costo por mano de obra y la escasa posibilidad de automatización que brinda el proceso (</w:t>
      </w:r>
      <w:proofErr w:type="spellStart"/>
      <w:r w:rsidRPr="00A41929">
        <w:rPr>
          <w:bCs/>
          <w:sz w:val="22"/>
          <w:szCs w:val="22"/>
        </w:rPr>
        <w:t>Kitto</w:t>
      </w:r>
      <w:proofErr w:type="spellEnd"/>
      <w:r w:rsidRPr="00A41929">
        <w:rPr>
          <w:bCs/>
          <w:sz w:val="22"/>
          <w:szCs w:val="22"/>
        </w:rPr>
        <w:t>, 1997).</w:t>
      </w:r>
    </w:p>
    <w:p w:rsidR="003E0602" w:rsidRPr="00A41929" w:rsidRDefault="003E0602">
      <w:pPr>
        <w:jc w:val="both"/>
        <w:rPr>
          <w:bCs/>
          <w:sz w:val="22"/>
          <w:szCs w:val="22"/>
        </w:rPr>
      </w:pPr>
    </w:p>
    <w:p w:rsidR="003E0602" w:rsidRPr="00A41929" w:rsidRDefault="003E0602">
      <w:pPr>
        <w:jc w:val="both"/>
        <w:rPr>
          <w:bCs/>
          <w:sz w:val="22"/>
          <w:szCs w:val="22"/>
        </w:rPr>
      </w:pPr>
      <w:r w:rsidRPr="00A41929">
        <w:rPr>
          <w:bCs/>
          <w:sz w:val="22"/>
          <w:szCs w:val="22"/>
        </w:rPr>
        <w:t xml:space="preserve">En los últimos tiempos se han desarrollado investigaciones sobre la automatización en la propagación de plantas, que incluyen el diseño de nuevos sistemas para la </w:t>
      </w:r>
      <w:proofErr w:type="spellStart"/>
      <w:r w:rsidRPr="00A41929">
        <w:rPr>
          <w:bCs/>
          <w:sz w:val="22"/>
          <w:szCs w:val="22"/>
        </w:rPr>
        <w:t>micropropagación</w:t>
      </w:r>
      <w:proofErr w:type="spellEnd"/>
      <w:r w:rsidRPr="00A41929">
        <w:rPr>
          <w:bCs/>
          <w:sz w:val="22"/>
          <w:szCs w:val="22"/>
        </w:rPr>
        <w:t xml:space="preserve">, ya que reducen el costo por </w:t>
      </w:r>
      <w:proofErr w:type="spellStart"/>
      <w:r w:rsidRPr="00A41929">
        <w:rPr>
          <w:bCs/>
          <w:sz w:val="22"/>
          <w:szCs w:val="22"/>
        </w:rPr>
        <w:t>explantes</w:t>
      </w:r>
      <w:proofErr w:type="spellEnd"/>
      <w:r w:rsidRPr="00A41929">
        <w:rPr>
          <w:bCs/>
          <w:sz w:val="22"/>
          <w:szCs w:val="22"/>
        </w:rPr>
        <w:t xml:space="preserve">, permiten una mayor optimización biológica por los altos coeficientes de multiplicación que se obtienen y un mejor comportamiento de las </w:t>
      </w:r>
      <w:proofErr w:type="spellStart"/>
      <w:r w:rsidRPr="00A41929">
        <w:rPr>
          <w:bCs/>
          <w:sz w:val="22"/>
          <w:szCs w:val="22"/>
        </w:rPr>
        <w:t>vitroplantas</w:t>
      </w:r>
      <w:proofErr w:type="spellEnd"/>
      <w:r w:rsidRPr="00A41929">
        <w:rPr>
          <w:bCs/>
          <w:sz w:val="22"/>
          <w:szCs w:val="22"/>
        </w:rPr>
        <w:t xml:space="preserve"> </w:t>
      </w:r>
      <w:r w:rsidRPr="00A41929">
        <w:rPr>
          <w:bCs/>
          <w:i/>
          <w:sz w:val="22"/>
          <w:szCs w:val="22"/>
        </w:rPr>
        <w:t>ex vitro</w:t>
      </w:r>
      <w:r w:rsidRPr="00A41929">
        <w:rPr>
          <w:bCs/>
          <w:sz w:val="22"/>
          <w:szCs w:val="22"/>
        </w:rPr>
        <w:t xml:space="preserve"> por mayor metabolismo autotrófico durante la fase </w:t>
      </w:r>
      <w:r w:rsidRPr="00A41929">
        <w:rPr>
          <w:bCs/>
          <w:i/>
          <w:sz w:val="22"/>
          <w:szCs w:val="22"/>
        </w:rPr>
        <w:t>in vitro</w:t>
      </w:r>
      <w:r w:rsidRPr="00A41929">
        <w:rPr>
          <w:bCs/>
          <w:sz w:val="22"/>
          <w:szCs w:val="22"/>
        </w:rPr>
        <w:t xml:space="preserve"> (</w:t>
      </w:r>
      <w:proofErr w:type="spellStart"/>
      <w:r w:rsidRPr="00A41929">
        <w:rPr>
          <w:bCs/>
          <w:sz w:val="22"/>
          <w:szCs w:val="22"/>
        </w:rPr>
        <w:t>Aitcken</w:t>
      </w:r>
      <w:proofErr w:type="spellEnd"/>
      <w:r w:rsidRPr="00A41929">
        <w:rPr>
          <w:bCs/>
          <w:sz w:val="22"/>
          <w:szCs w:val="22"/>
        </w:rPr>
        <w:t xml:space="preserve">-Christie </w:t>
      </w:r>
      <w:r w:rsidRPr="00A41929">
        <w:rPr>
          <w:bCs/>
          <w:i/>
          <w:sz w:val="22"/>
          <w:szCs w:val="22"/>
        </w:rPr>
        <w:t>et al</w:t>
      </w:r>
      <w:r w:rsidRPr="00A41929">
        <w:rPr>
          <w:bCs/>
          <w:sz w:val="22"/>
          <w:szCs w:val="22"/>
        </w:rPr>
        <w:t xml:space="preserve">., 1995). </w:t>
      </w:r>
    </w:p>
    <w:p w:rsidR="003E0602" w:rsidRPr="00A41929" w:rsidRDefault="003E0602">
      <w:pPr>
        <w:jc w:val="both"/>
        <w:rPr>
          <w:bCs/>
          <w:sz w:val="22"/>
          <w:szCs w:val="22"/>
        </w:rPr>
      </w:pPr>
    </w:p>
    <w:p w:rsidR="003E0602" w:rsidRPr="00A41929" w:rsidRDefault="003E0602">
      <w:pPr>
        <w:jc w:val="both"/>
        <w:rPr>
          <w:bCs/>
          <w:sz w:val="22"/>
          <w:szCs w:val="22"/>
        </w:rPr>
      </w:pPr>
      <w:r w:rsidRPr="00A41929">
        <w:rPr>
          <w:bCs/>
          <w:sz w:val="22"/>
          <w:szCs w:val="22"/>
        </w:rPr>
        <w:t xml:space="preserve">Los Sistemas de Inmersión Temporal (SIT) además de solucionar las dificultades de los cultivos en medios líquidos estáticos, abren la posibilidad de </w:t>
      </w:r>
      <w:proofErr w:type="spellStart"/>
      <w:r w:rsidRPr="00A41929">
        <w:rPr>
          <w:bCs/>
          <w:sz w:val="22"/>
          <w:szCs w:val="22"/>
        </w:rPr>
        <w:t>semiautomatizar</w:t>
      </w:r>
      <w:proofErr w:type="spellEnd"/>
      <w:r w:rsidRPr="00A41929">
        <w:rPr>
          <w:bCs/>
          <w:sz w:val="22"/>
          <w:szCs w:val="22"/>
        </w:rPr>
        <w:t xml:space="preserve"> algunas etapas del cultivo </w:t>
      </w:r>
      <w:r w:rsidRPr="00A41929">
        <w:rPr>
          <w:bCs/>
          <w:i/>
          <w:sz w:val="22"/>
          <w:szCs w:val="22"/>
        </w:rPr>
        <w:t>in vitro</w:t>
      </w:r>
      <w:r w:rsidRPr="00A41929">
        <w:rPr>
          <w:bCs/>
          <w:sz w:val="22"/>
          <w:szCs w:val="22"/>
        </w:rPr>
        <w:t xml:space="preserve"> (</w:t>
      </w:r>
      <w:proofErr w:type="spellStart"/>
      <w:r w:rsidRPr="00A41929">
        <w:rPr>
          <w:bCs/>
          <w:sz w:val="22"/>
          <w:szCs w:val="22"/>
        </w:rPr>
        <w:t>Alvard</w:t>
      </w:r>
      <w:proofErr w:type="spellEnd"/>
      <w:r w:rsidRPr="00A41929">
        <w:rPr>
          <w:bCs/>
          <w:sz w:val="22"/>
          <w:szCs w:val="22"/>
        </w:rPr>
        <w:t xml:space="preserve"> </w:t>
      </w:r>
      <w:r w:rsidRPr="00A41929">
        <w:rPr>
          <w:bCs/>
          <w:i/>
          <w:sz w:val="22"/>
          <w:szCs w:val="22"/>
        </w:rPr>
        <w:t>et al</w:t>
      </w:r>
      <w:r w:rsidRPr="00A41929">
        <w:rPr>
          <w:bCs/>
          <w:sz w:val="22"/>
          <w:szCs w:val="22"/>
        </w:rPr>
        <w:t xml:space="preserve">., 1993), permiten mayor facilidad de escalado y aumentan la eficiencia biológica y productiva del material propagado (Jiménez </w:t>
      </w:r>
      <w:r w:rsidRPr="00A41929">
        <w:rPr>
          <w:bCs/>
          <w:i/>
          <w:sz w:val="22"/>
          <w:szCs w:val="22"/>
        </w:rPr>
        <w:t>et al</w:t>
      </w:r>
      <w:r w:rsidRPr="00A41929">
        <w:rPr>
          <w:bCs/>
          <w:sz w:val="22"/>
          <w:szCs w:val="22"/>
        </w:rPr>
        <w:t xml:space="preserve">., 1999; Castro, 2001). Al mismo tiempo la morfología y el comportamiento fisiológico de los cultivos en los Sistemas de Inmersión Temporal son muy semejantes a los que presentan las plantas en condiciones </w:t>
      </w:r>
      <w:r w:rsidRPr="00A41929">
        <w:rPr>
          <w:bCs/>
          <w:i/>
          <w:sz w:val="22"/>
          <w:szCs w:val="22"/>
        </w:rPr>
        <w:t>ex vitro</w:t>
      </w:r>
      <w:r w:rsidRPr="00A41929">
        <w:rPr>
          <w:bCs/>
          <w:sz w:val="22"/>
          <w:szCs w:val="22"/>
        </w:rPr>
        <w:t xml:space="preserve">, lo que permite una mayor tasa de supervivencia (Escalona </w:t>
      </w:r>
      <w:r w:rsidRPr="00A41929">
        <w:rPr>
          <w:bCs/>
          <w:i/>
          <w:sz w:val="22"/>
          <w:szCs w:val="22"/>
        </w:rPr>
        <w:t>et al</w:t>
      </w:r>
      <w:r w:rsidRPr="00A41929">
        <w:rPr>
          <w:bCs/>
          <w:sz w:val="22"/>
          <w:szCs w:val="22"/>
        </w:rPr>
        <w:t>., 1999).</w:t>
      </w:r>
    </w:p>
    <w:p w:rsidR="003E0602" w:rsidRPr="00A41929" w:rsidRDefault="003E0602">
      <w:pPr>
        <w:jc w:val="both"/>
        <w:rPr>
          <w:bCs/>
          <w:sz w:val="22"/>
          <w:szCs w:val="22"/>
        </w:rPr>
      </w:pPr>
    </w:p>
    <w:p w:rsidR="003E0602" w:rsidRPr="00A41929" w:rsidRDefault="003E0602">
      <w:pPr>
        <w:jc w:val="both"/>
        <w:rPr>
          <w:bCs/>
          <w:sz w:val="22"/>
          <w:szCs w:val="22"/>
        </w:rPr>
      </w:pPr>
      <w:r w:rsidRPr="00A41929">
        <w:rPr>
          <w:bCs/>
          <w:sz w:val="22"/>
          <w:szCs w:val="22"/>
        </w:rPr>
        <w:lastRenderedPageBreak/>
        <w:t xml:space="preserve">De esta forma, el cultivo en Inmersión Temporal puede constituir una alternativa de </w:t>
      </w:r>
      <w:proofErr w:type="spellStart"/>
      <w:r w:rsidRPr="00A41929">
        <w:rPr>
          <w:bCs/>
          <w:sz w:val="22"/>
          <w:szCs w:val="22"/>
        </w:rPr>
        <w:t>micropropagación</w:t>
      </w:r>
      <w:proofErr w:type="spellEnd"/>
      <w:r w:rsidRPr="00A41929">
        <w:rPr>
          <w:bCs/>
          <w:sz w:val="22"/>
          <w:szCs w:val="22"/>
        </w:rPr>
        <w:t xml:space="preserve"> a corto plazo, mientras, a largo plazo se venzan obstáculos biológicos que permitan la obtención eficiente de plantas y embriones somáticos en </w:t>
      </w:r>
      <w:proofErr w:type="spellStart"/>
      <w:r w:rsidRPr="00A41929">
        <w:rPr>
          <w:bCs/>
          <w:sz w:val="22"/>
          <w:szCs w:val="22"/>
        </w:rPr>
        <w:t>biorreactores</w:t>
      </w:r>
      <w:proofErr w:type="spellEnd"/>
      <w:r w:rsidRPr="00A41929">
        <w:rPr>
          <w:bCs/>
          <w:sz w:val="22"/>
          <w:szCs w:val="22"/>
        </w:rPr>
        <w:t xml:space="preserve"> (Escalona </w:t>
      </w:r>
      <w:r w:rsidRPr="00A41929">
        <w:rPr>
          <w:bCs/>
          <w:i/>
          <w:sz w:val="22"/>
          <w:szCs w:val="22"/>
        </w:rPr>
        <w:t>et al</w:t>
      </w:r>
      <w:r w:rsidRPr="00A41929">
        <w:rPr>
          <w:bCs/>
          <w:sz w:val="22"/>
          <w:szCs w:val="22"/>
        </w:rPr>
        <w:t>., 1999).</w:t>
      </w:r>
    </w:p>
    <w:p w:rsidR="003E0602" w:rsidRPr="00A41929" w:rsidRDefault="003E0602">
      <w:pPr>
        <w:jc w:val="both"/>
        <w:rPr>
          <w:bCs/>
          <w:sz w:val="22"/>
          <w:szCs w:val="22"/>
        </w:rPr>
      </w:pPr>
      <w:r w:rsidRPr="00A41929">
        <w:rPr>
          <w:bCs/>
          <w:sz w:val="22"/>
          <w:szCs w:val="22"/>
        </w:rPr>
        <w:t xml:space="preserve"> </w:t>
      </w:r>
    </w:p>
    <w:p w:rsidR="003E0602" w:rsidRPr="00A41929" w:rsidRDefault="003E0602">
      <w:pPr>
        <w:jc w:val="both"/>
        <w:rPr>
          <w:bCs/>
          <w:sz w:val="22"/>
          <w:szCs w:val="22"/>
        </w:rPr>
      </w:pPr>
      <w:r w:rsidRPr="00A41929">
        <w:rPr>
          <w:bCs/>
          <w:sz w:val="22"/>
          <w:szCs w:val="22"/>
        </w:rPr>
        <w:t>Teniendo en cuenta lo anterior el presente trabajo se realizó con el objetivo de  incrementar el coeficiente de multiplicación en el cultivar de plátano vianda "INIVITPV-2011" (AAB)  utilizando el Sistema de Inmersión Temporal.</w:t>
      </w:r>
    </w:p>
    <w:p w:rsidR="003E0602" w:rsidRPr="00A41929" w:rsidRDefault="003E0602">
      <w:pPr>
        <w:jc w:val="both"/>
        <w:rPr>
          <w:bCs/>
          <w:sz w:val="22"/>
          <w:szCs w:val="22"/>
        </w:rPr>
      </w:pPr>
    </w:p>
    <w:p w:rsidR="003E0602" w:rsidRPr="00A41929" w:rsidRDefault="003E0602">
      <w:pPr>
        <w:jc w:val="both"/>
        <w:outlineLvl w:val="0"/>
        <w:rPr>
          <w:b/>
          <w:bCs/>
          <w:sz w:val="22"/>
          <w:szCs w:val="22"/>
        </w:rPr>
      </w:pPr>
      <w:r w:rsidRPr="00A41929">
        <w:rPr>
          <w:b/>
          <w:bCs/>
          <w:sz w:val="22"/>
          <w:szCs w:val="22"/>
        </w:rPr>
        <w:t>Materiales y métodos</w:t>
      </w:r>
    </w:p>
    <w:p w:rsidR="003E0602" w:rsidRPr="00A41929" w:rsidRDefault="003E0602">
      <w:pPr>
        <w:jc w:val="both"/>
        <w:outlineLvl w:val="0"/>
        <w:rPr>
          <w:b/>
          <w:bCs/>
          <w:sz w:val="22"/>
          <w:szCs w:val="22"/>
        </w:rPr>
      </w:pPr>
    </w:p>
    <w:p w:rsidR="003E0602" w:rsidRPr="00A41929" w:rsidRDefault="003E0602">
      <w:pPr>
        <w:pStyle w:val="Textoindependiente"/>
        <w:spacing w:after="0"/>
        <w:jc w:val="both"/>
        <w:rPr>
          <w:bCs/>
          <w:sz w:val="22"/>
          <w:szCs w:val="22"/>
        </w:rPr>
      </w:pPr>
      <w:r w:rsidRPr="00A41929">
        <w:rPr>
          <w:bCs/>
          <w:sz w:val="22"/>
          <w:szCs w:val="22"/>
        </w:rPr>
        <w:t>La investigación se realizó en el laboratorio de Cultivos de Tejidos de plantas del Instituto de Investigaciones en Viandas Tropicales (INIVIT); ubicado en Santo Domingo, Villa Clara, Cuba.</w:t>
      </w:r>
    </w:p>
    <w:p w:rsidR="003E0602" w:rsidRPr="00A41929" w:rsidRDefault="003E0602">
      <w:pPr>
        <w:pStyle w:val="Textoindependiente"/>
        <w:spacing w:after="0"/>
        <w:jc w:val="both"/>
        <w:rPr>
          <w:bCs/>
          <w:sz w:val="22"/>
          <w:szCs w:val="22"/>
        </w:rPr>
      </w:pPr>
    </w:p>
    <w:p w:rsidR="003E0602" w:rsidRPr="00A41929" w:rsidRDefault="003E0602">
      <w:pPr>
        <w:pStyle w:val="Textoindependiente3"/>
        <w:spacing w:line="240" w:lineRule="auto"/>
        <w:rPr>
          <w:bCs/>
          <w:i/>
          <w:sz w:val="22"/>
          <w:szCs w:val="22"/>
        </w:rPr>
      </w:pPr>
      <w:r w:rsidRPr="00A41929">
        <w:rPr>
          <w:bCs/>
          <w:i/>
          <w:sz w:val="22"/>
          <w:szCs w:val="22"/>
        </w:rPr>
        <w:t>Material vegetal</w:t>
      </w:r>
    </w:p>
    <w:p w:rsidR="003E0602" w:rsidRPr="00A41929" w:rsidRDefault="003E0602">
      <w:pPr>
        <w:jc w:val="both"/>
        <w:rPr>
          <w:sz w:val="22"/>
          <w:szCs w:val="22"/>
        </w:rPr>
      </w:pPr>
      <w:r w:rsidRPr="00A41929">
        <w:rPr>
          <w:sz w:val="22"/>
          <w:szCs w:val="22"/>
        </w:rPr>
        <w:t>Como material vegetal se utilizaron plantas de plátano vianda "INIVITPV-2011" (AAB)   (</w:t>
      </w:r>
      <w:r w:rsidRPr="00A41929">
        <w:rPr>
          <w:i/>
          <w:sz w:val="22"/>
          <w:szCs w:val="22"/>
        </w:rPr>
        <w:t>Musa</w:t>
      </w:r>
      <w:r w:rsidRPr="00A41929">
        <w:rPr>
          <w:sz w:val="22"/>
          <w:szCs w:val="22"/>
        </w:rPr>
        <w:t xml:space="preserve"> </w:t>
      </w:r>
      <w:proofErr w:type="spellStart"/>
      <w:r w:rsidRPr="00A41929">
        <w:rPr>
          <w:sz w:val="22"/>
          <w:szCs w:val="22"/>
        </w:rPr>
        <w:t>spp</w:t>
      </w:r>
      <w:proofErr w:type="spellEnd"/>
      <w:r w:rsidRPr="00A41929">
        <w:rPr>
          <w:sz w:val="22"/>
          <w:szCs w:val="22"/>
        </w:rPr>
        <w:t xml:space="preserve">., AAB) cultivadas </w:t>
      </w:r>
      <w:r w:rsidRPr="00A41929">
        <w:rPr>
          <w:i/>
          <w:sz w:val="22"/>
          <w:szCs w:val="22"/>
        </w:rPr>
        <w:t>in vitro</w:t>
      </w:r>
      <w:r w:rsidRPr="00A41929">
        <w:rPr>
          <w:sz w:val="22"/>
          <w:szCs w:val="22"/>
        </w:rPr>
        <w:t xml:space="preserve">, en fase de multiplicación con tres </w:t>
      </w:r>
      <w:proofErr w:type="spellStart"/>
      <w:r w:rsidRPr="00A41929">
        <w:rPr>
          <w:sz w:val="22"/>
          <w:szCs w:val="22"/>
        </w:rPr>
        <w:t>subcultivos</w:t>
      </w:r>
      <w:proofErr w:type="spellEnd"/>
      <w:r w:rsidRPr="00A41929">
        <w:rPr>
          <w:sz w:val="22"/>
          <w:szCs w:val="22"/>
        </w:rPr>
        <w:t xml:space="preserve"> en medio de cultivo semisólido. Estas procedían del banco de germoplasma de plátanos y bananos del Instituto de Investigaciones en Viandas Tropicales (INIVIT). </w:t>
      </w:r>
    </w:p>
    <w:p w:rsidR="003E0602" w:rsidRPr="00A41929" w:rsidRDefault="003E0602">
      <w:pPr>
        <w:jc w:val="both"/>
        <w:rPr>
          <w:bCs/>
          <w:sz w:val="22"/>
          <w:szCs w:val="22"/>
        </w:rPr>
      </w:pPr>
    </w:p>
    <w:p w:rsidR="003E0602" w:rsidRPr="00A41929" w:rsidRDefault="003E0602">
      <w:pPr>
        <w:pStyle w:val="Textoindependiente3"/>
        <w:spacing w:line="240" w:lineRule="auto"/>
        <w:rPr>
          <w:bCs/>
          <w:i/>
          <w:sz w:val="22"/>
          <w:szCs w:val="22"/>
        </w:rPr>
      </w:pPr>
      <w:r w:rsidRPr="00A41929">
        <w:rPr>
          <w:bCs/>
          <w:i/>
          <w:sz w:val="22"/>
          <w:szCs w:val="22"/>
        </w:rPr>
        <w:t>Medios de cultivo</w:t>
      </w:r>
    </w:p>
    <w:p w:rsidR="003E0602" w:rsidRPr="00A41929" w:rsidRDefault="003E0602">
      <w:pPr>
        <w:pStyle w:val="Textoindependiente3"/>
        <w:spacing w:line="240" w:lineRule="auto"/>
        <w:rPr>
          <w:bCs/>
          <w:sz w:val="22"/>
          <w:szCs w:val="22"/>
        </w:rPr>
      </w:pPr>
      <w:r w:rsidRPr="00A41929">
        <w:rPr>
          <w:sz w:val="22"/>
          <w:szCs w:val="22"/>
        </w:rPr>
        <w:t>En este experimento se utilizó el medio de cultivo de multiplicación MS suplementado 2,0 mg.L</w:t>
      </w:r>
      <w:r w:rsidRPr="00A41929">
        <w:rPr>
          <w:sz w:val="22"/>
          <w:szCs w:val="22"/>
          <w:vertAlign w:val="superscript"/>
        </w:rPr>
        <w:t>-1</w:t>
      </w:r>
      <w:r w:rsidRPr="00A41929">
        <w:rPr>
          <w:sz w:val="22"/>
          <w:szCs w:val="22"/>
        </w:rPr>
        <w:t xml:space="preserve"> de 6-BAP; 3,5 mg.L</w:t>
      </w:r>
      <w:r w:rsidRPr="00A41929">
        <w:rPr>
          <w:sz w:val="22"/>
          <w:szCs w:val="22"/>
          <w:vertAlign w:val="superscript"/>
        </w:rPr>
        <w:t>-1</w:t>
      </w:r>
      <w:r w:rsidRPr="00A41929">
        <w:rPr>
          <w:sz w:val="22"/>
          <w:szCs w:val="22"/>
        </w:rPr>
        <w:t xml:space="preserve">de AIA; </w:t>
      </w:r>
      <w:smartTag w:uri="urn:schemas-microsoft-com:office:smarttags" w:element="metricconverter">
        <w:smartTagPr>
          <w:attr w:name="ProductID" w:val="30,0 g"/>
        </w:smartTagPr>
        <w:r w:rsidRPr="00A41929">
          <w:rPr>
            <w:sz w:val="22"/>
            <w:szCs w:val="22"/>
          </w:rPr>
          <w:t>30,0 g</w:t>
        </w:r>
      </w:smartTag>
      <w:r w:rsidRPr="00A41929">
        <w:rPr>
          <w:sz w:val="22"/>
          <w:szCs w:val="22"/>
        </w:rPr>
        <w:t>.L</w:t>
      </w:r>
      <w:r w:rsidRPr="00A41929">
        <w:rPr>
          <w:sz w:val="22"/>
          <w:szCs w:val="22"/>
          <w:vertAlign w:val="superscript"/>
        </w:rPr>
        <w:t>-1</w:t>
      </w:r>
      <w:r w:rsidRPr="00A41929">
        <w:rPr>
          <w:sz w:val="22"/>
          <w:szCs w:val="22"/>
        </w:rPr>
        <w:t xml:space="preserve"> de sacarosa; 10,0 mg.L</w:t>
      </w:r>
      <w:r w:rsidRPr="00A41929">
        <w:rPr>
          <w:sz w:val="22"/>
          <w:szCs w:val="22"/>
          <w:vertAlign w:val="superscript"/>
        </w:rPr>
        <w:t>-1</w:t>
      </w:r>
      <w:r w:rsidRPr="00A41929">
        <w:rPr>
          <w:sz w:val="22"/>
          <w:szCs w:val="22"/>
        </w:rPr>
        <w:t xml:space="preserve"> de ácido ascórbico (López </w:t>
      </w:r>
      <w:r w:rsidRPr="00A41929">
        <w:rPr>
          <w:i/>
          <w:sz w:val="22"/>
          <w:szCs w:val="22"/>
        </w:rPr>
        <w:t>et al</w:t>
      </w:r>
      <w:r w:rsidRPr="00A41929">
        <w:rPr>
          <w:sz w:val="22"/>
          <w:szCs w:val="22"/>
        </w:rPr>
        <w:t>., 2010).</w:t>
      </w:r>
      <w:r w:rsidRPr="00A41929">
        <w:rPr>
          <w:bCs/>
          <w:sz w:val="22"/>
          <w:szCs w:val="22"/>
        </w:rPr>
        <w:t xml:space="preserve"> Para la fase de establecimiento y multiplicación hasta tercer </w:t>
      </w:r>
      <w:proofErr w:type="spellStart"/>
      <w:r w:rsidRPr="00A41929">
        <w:rPr>
          <w:bCs/>
          <w:sz w:val="22"/>
          <w:szCs w:val="22"/>
        </w:rPr>
        <w:t>subcultivo</w:t>
      </w:r>
      <w:proofErr w:type="spellEnd"/>
      <w:r w:rsidRPr="00A41929">
        <w:rPr>
          <w:bCs/>
          <w:sz w:val="22"/>
          <w:szCs w:val="22"/>
        </w:rPr>
        <w:t xml:space="preserve"> se utilizó como agente </w:t>
      </w:r>
      <w:proofErr w:type="spellStart"/>
      <w:r w:rsidRPr="00A41929">
        <w:rPr>
          <w:bCs/>
          <w:sz w:val="22"/>
          <w:szCs w:val="22"/>
        </w:rPr>
        <w:t>gelificante</w:t>
      </w:r>
      <w:proofErr w:type="spellEnd"/>
      <w:r w:rsidRPr="00A41929">
        <w:rPr>
          <w:bCs/>
          <w:sz w:val="22"/>
          <w:szCs w:val="22"/>
        </w:rPr>
        <w:t xml:space="preserve"> el </w:t>
      </w:r>
      <w:proofErr w:type="spellStart"/>
      <w:r w:rsidRPr="00A41929">
        <w:rPr>
          <w:bCs/>
          <w:sz w:val="22"/>
          <w:szCs w:val="22"/>
        </w:rPr>
        <w:t>agar-agar</w:t>
      </w:r>
      <w:proofErr w:type="spellEnd"/>
      <w:r w:rsidRPr="00A41929">
        <w:rPr>
          <w:bCs/>
          <w:sz w:val="22"/>
          <w:szCs w:val="22"/>
        </w:rPr>
        <w:t xml:space="preserve"> a razón de </w:t>
      </w:r>
      <w:smartTag w:uri="urn:schemas-microsoft-com:office:smarttags" w:element="metricconverter">
        <w:smartTagPr>
          <w:attr w:name="ProductID" w:val="4.5 g"/>
        </w:smartTagPr>
        <w:r w:rsidRPr="00A41929">
          <w:rPr>
            <w:bCs/>
            <w:sz w:val="22"/>
            <w:szCs w:val="22"/>
          </w:rPr>
          <w:t>4.5 g</w:t>
        </w:r>
      </w:smartTag>
      <w:r w:rsidRPr="00A41929">
        <w:rPr>
          <w:bCs/>
          <w:sz w:val="22"/>
          <w:szCs w:val="22"/>
        </w:rPr>
        <w:t>.L</w:t>
      </w:r>
      <w:r w:rsidRPr="00A41929">
        <w:rPr>
          <w:bCs/>
          <w:sz w:val="22"/>
          <w:szCs w:val="22"/>
          <w:vertAlign w:val="superscript"/>
        </w:rPr>
        <w:t>-1</w:t>
      </w:r>
      <w:r w:rsidRPr="00A41929">
        <w:rPr>
          <w:bCs/>
          <w:sz w:val="22"/>
          <w:szCs w:val="22"/>
        </w:rPr>
        <w:t>. En los frascos de cultivo de capacidad 200 ml de volumen total se dosificó un volumen de 30 ml de medio de cultivo semisólido (fase de establecimiento y multiplicación) y en los Sistemas de Inmersión Temporal el volumen de medio de cultivo cambio acorde al diseño de los distintos experimentos.</w:t>
      </w:r>
    </w:p>
    <w:p w:rsidR="003E0602" w:rsidRPr="00A41929" w:rsidRDefault="003E0602">
      <w:pPr>
        <w:pStyle w:val="Textoindependiente3"/>
        <w:spacing w:line="240" w:lineRule="auto"/>
        <w:rPr>
          <w:bCs/>
          <w:sz w:val="22"/>
          <w:szCs w:val="22"/>
        </w:rPr>
      </w:pPr>
    </w:p>
    <w:p w:rsidR="003E0602" w:rsidRPr="00A41929" w:rsidRDefault="003E0602">
      <w:pPr>
        <w:pStyle w:val="Textoindependiente3"/>
        <w:spacing w:line="240" w:lineRule="auto"/>
        <w:rPr>
          <w:bCs/>
          <w:i/>
          <w:sz w:val="22"/>
          <w:szCs w:val="22"/>
        </w:rPr>
      </w:pPr>
      <w:r w:rsidRPr="00A41929">
        <w:rPr>
          <w:bCs/>
          <w:i/>
          <w:sz w:val="22"/>
          <w:szCs w:val="22"/>
        </w:rPr>
        <w:t>Condiciones de cultivo in vitro</w:t>
      </w:r>
    </w:p>
    <w:p w:rsidR="003E0602" w:rsidRPr="00A41929" w:rsidRDefault="003E0602">
      <w:pPr>
        <w:pStyle w:val="Textoindependiente3"/>
        <w:spacing w:line="240" w:lineRule="auto"/>
        <w:rPr>
          <w:bCs/>
          <w:sz w:val="22"/>
          <w:szCs w:val="22"/>
        </w:rPr>
      </w:pPr>
      <w:r w:rsidRPr="00A41929">
        <w:rPr>
          <w:bCs/>
          <w:sz w:val="22"/>
          <w:szCs w:val="22"/>
        </w:rPr>
        <w:t xml:space="preserve">Luz artificial: se utilizó un </w:t>
      </w:r>
      <w:proofErr w:type="spellStart"/>
      <w:r w:rsidRPr="00A41929">
        <w:rPr>
          <w:bCs/>
          <w:sz w:val="22"/>
          <w:szCs w:val="22"/>
        </w:rPr>
        <w:t>fotoperíodo</w:t>
      </w:r>
      <w:proofErr w:type="spellEnd"/>
      <w:r w:rsidRPr="00A41929">
        <w:rPr>
          <w:bCs/>
          <w:sz w:val="22"/>
          <w:szCs w:val="22"/>
        </w:rPr>
        <w:t xml:space="preserve"> de 16 horas de luz y una densidad de flujo de fotones fotosintéticos (DFFF) de 62-68 µmol m</w:t>
      </w:r>
      <w:r w:rsidRPr="00A41929">
        <w:rPr>
          <w:bCs/>
          <w:sz w:val="22"/>
          <w:szCs w:val="22"/>
          <w:vertAlign w:val="superscript"/>
        </w:rPr>
        <w:t>-2</w:t>
      </w:r>
      <w:r w:rsidRPr="00A41929">
        <w:rPr>
          <w:bCs/>
          <w:sz w:val="22"/>
          <w:szCs w:val="22"/>
        </w:rPr>
        <w:t xml:space="preserve"> s</w:t>
      </w:r>
      <w:r w:rsidRPr="00A41929">
        <w:rPr>
          <w:bCs/>
          <w:sz w:val="22"/>
          <w:szCs w:val="22"/>
          <w:vertAlign w:val="superscript"/>
        </w:rPr>
        <w:t>-1</w:t>
      </w:r>
      <w:r w:rsidRPr="00A41929">
        <w:rPr>
          <w:bCs/>
          <w:sz w:val="22"/>
          <w:szCs w:val="22"/>
        </w:rPr>
        <w:t>, temperatura 27</w:t>
      </w:r>
      <w:r w:rsidRPr="00A41929">
        <w:rPr>
          <w:bCs/>
          <w:sz w:val="22"/>
          <w:szCs w:val="22"/>
        </w:rPr>
        <w:sym w:font="Symbol" w:char="F0B1"/>
      </w:r>
      <w:r w:rsidRPr="00A41929">
        <w:rPr>
          <w:bCs/>
          <w:sz w:val="22"/>
          <w:szCs w:val="22"/>
        </w:rPr>
        <w:t>2</w:t>
      </w:r>
      <w:r w:rsidRPr="00A41929">
        <w:rPr>
          <w:bCs/>
          <w:sz w:val="22"/>
          <w:szCs w:val="22"/>
        </w:rPr>
        <w:sym w:font="Symbol" w:char="F0B0"/>
      </w:r>
      <w:r w:rsidRPr="00A41929">
        <w:rPr>
          <w:bCs/>
          <w:sz w:val="22"/>
          <w:szCs w:val="22"/>
        </w:rPr>
        <w:t>C.</w:t>
      </w:r>
    </w:p>
    <w:p w:rsidR="003E0602" w:rsidRPr="00A41929" w:rsidRDefault="003E0602">
      <w:pPr>
        <w:pStyle w:val="Textoindependiente3"/>
        <w:spacing w:line="240" w:lineRule="auto"/>
        <w:rPr>
          <w:bCs/>
          <w:sz w:val="22"/>
          <w:szCs w:val="22"/>
        </w:rPr>
      </w:pPr>
      <w:r w:rsidRPr="00A41929">
        <w:rPr>
          <w:sz w:val="22"/>
          <w:szCs w:val="22"/>
        </w:rPr>
        <w:t xml:space="preserve">Los controles  utilizados para los diferentes ensayos corresponden a condiciones establecidas previamente en el Instituto de Investigaciones de Viandas Tropicales para otros cultivos por </w:t>
      </w:r>
      <w:proofErr w:type="spellStart"/>
      <w:r w:rsidRPr="00A41929">
        <w:rPr>
          <w:sz w:val="22"/>
          <w:szCs w:val="22"/>
        </w:rPr>
        <w:t>Basail</w:t>
      </w:r>
      <w:proofErr w:type="spellEnd"/>
      <w:r w:rsidRPr="00A41929">
        <w:rPr>
          <w:sz w:val="22"/>
          <w:szCs w:val="22"/>
        </w:rPr>
        <w:t xml:space="preserve"> y Santos (2010) </w:t>
      </w:r>
    </w:p>
    <w:p w:rsidR="003E0602" w:rsidRPr="00A41929" w:rsidRDefault="003E0602">
      <w:pPr>
        <w:pStyle w:val="Textoindependiente3"/>
        <w:spacing w:line="240" w:lineRule="auto"/>
        <w:rPr>
          <w:bCs/>
          <w:sz w:val="22"/>
          <w:szCs w:val="22"/>
        </w:rPr>
      </w:pPr>
    </w:p>
    <w:p w:rsidR="003E0602" w:rsidRPr="00A41929" w:rsidRDefault="003E0602">
      <w:pPr>
        <w:pStyle w:val="Textoindependiente3"/>
        <w:spacing w:line="240" w:lineRule="auto"/>
        <w:rPr>
          <w:bCs/>
          <w:i/>
          <w:sz w:val="22"/>
          <w:szCs w:val="22"/>
        </w:rPr>
      </w:pPr>
      <w:r w:rsidRPr="00A41929">
        <w:rPr>
          <w:bCs/>
          <w:i/>
          <w:sz w:val="22"/>
          <w:szCs w:val="22"/>
        </w:rPr>
        <w:t>Componentes del Sistema de Inmersión Temporal</w:t>
      </w:r>
    </w:p>
    <w:p w:rsidR="003E0602" w:rsidRPr="00A41929" w:rsidRDefault="003E0602">
      <w:pPr>
        <w:pStyle w:val="Textoindependiente"/>
        <w:spacing w:after="0"/>
        <w:jc w:val="both"/>
        <w:rPr>
          <w:sz w:val="22"/>
          <w:szCs w:val="22"/>
        </w:rPr>
      </w:pPr>
      <w:r w:rsidRPr="00A41929">
        <w:rPr>
          <w:bCs/>
          <w:sz w:val="22"/>
          <w:szCs w:val="22"/>
        </w:rPr>
        <w:t>Este tipo de sistema de cultivo e</w:t>
      </w:r>
      <w:r w:rsidRPr="00A41929">
        <w:rPr>
          <w:sz w:val="22"/>
          <w:szCs w:val="22"/>
        </w:rPr>
        <w:t xml:space="preserve">stuvo compuesto por dos frascos de cultivo tipo </w:t>
      </w:r>
      <w:proofErr w:type="spellStart"/>
      <w:r w:rsidRPr="00A41929">
        <w:rPr>
          <w:i/>
          <w:sz w:val="22"/>
          <w:szCs w:val="22"/>
        </w:rPr>
        <w:t>Clearboys</w:t>
      </w:r>
      <w:proofErr w:type="spellEnd"/>
      <w:r w:rsidRPr="00A41929">
        <w:rPr>
          <w:i/>
          <w:sz w:val="22"/>
          <w:szCs w:val="22"/>
        </w:rPr>
        <w:t xml:space="preserve"> </w:t>
      </w:r>
      <w:r w:rsidRPr="00A41929">
        <w:rPr>
          <w:sz w:val="22"/>
          <w:szCs w:val="22"/>
        </w:rPr>
        <w:t xml:space="preserve">(Compañía </w:t>
      </w:r>
      <w:proofErr w:type="spellStart"/>
      <w:r w:rsidRPr="00A41929">
        <w:rPr>
          <w:sz w:val="22"/>
          <w:szCs w:val="22"/>
        </w:rPr>
        <w:t>Nalgene</w:t>
      </w:r>
      <w:proofErr w:type="spellEnd"/>
      <w:r w:rsidRPr="00A41929">
        <w:rPr>
          <w:sz w:val="22"/>
          <w:szCs w:val="22"/>
        </w:rPr>
        <w:t xml:space="preserve">, E.U.A) de 10,0 L de capacidad, uno para el crecimiento de los brotes y el otro como reservorio de medio de cultivo. Estos frascos de cultivo se conectaron entre sí por una manguera de silicona de seis milímetros de diámetro mediante conectores que atravesaron la tapa. En la parte interna se colocó una manguera, la cual descendió hasta el fondo en ambos recipientes. El medio de cultivo circuló de un frasco de cultivo a otro en dependencia de la apertura o cierre de dos electroválvulas de tres vías, las cuales estaban conectadas a un temporizador programable para determinar el tiempo y frecuencia de la inmersión. A la entrada de los frascos de cultivo se colocaron filtros </w:t>
      </w:r>
      <w:proofErr w:type="spellStart"/>
      <w:r w:rsidRPr="00A41929">
        <w:rPr>
          <w:sz w:val="22"/>
          <w:szCs w:val="22"/>
        </w:rPr>
        <w:t>hidrofóbicos</w:t>
      </w:r>
      <w:proofErr w:type="spellEnd"/>
      <w:r w:rsidRPr="00A41929">
        <w:rPr>
          <w:sz w:val="22"/>
          <w:szCs w:val="22"/>
        </w:rPr>
        <w:t xml:space="preserve"> (0,22 µm, MIDISART 2000, de la compañía SARTORIUS) para garantizar la esterilidad del aire. La presión del aire de 2,0 atm proveniente de un compresor que fue regulada por un manómetro.</w:t>
      </w:r>
    </w:p>
    <w:p w:rsidR="003E0602" w:rsidRPr="00A41929" w:rsidRDefault="003E0602">
      <w:pPr>
        <w:pStyle w:val="Textoindependiente"/>
        <w:spacing w:after="0"/>
        <w:jc w:val="both"/>
        <w:rPr>
          <w:sz w:val="22"/>
          <w:szCs w:val="22"/>
        </w:rPr>
      </w:pPr>
    </w:p>
    <w:p w:rsidR="003E0602" w:rsidRPr="00A41929" w:rsidRDefault="003E0602">
      <w:pPr>
        <w:pStyle w:val="Textoindependiente"/>
        <w:spacing w:after="0"/>
        <w:rPr>
          <w:b/>
          <w:i/>
          <w:sz w:val="22"/>
          <w:szCs w:val="22"/>
        </w:rPr>
      </w:pPr>
      <w:r w:rsidRPr="00A41929">
        <w:rPr>
          <w:b/>
          <w:i/>
          <w:sz w:val="22"/>
          <w:szCs w:val="22"/>
        </w:rPr>
        <w:t>Efecto del tiempo y frecuencia de inmersión en el Sistema de Inmersión Temporal</w:t>
      </w:r>
    </w:p>
    <w:p w:rsidR="003E0602" w:rsidRPr="00A41929" w:rsidRDefault="003E0602">
      <w:pPr>
        <w:pStyle w:val="Textoindependiente"/>
        <w:spacing w:after="0"/>
        <w:rPr>
          <w:b/>
          <w:i/>
          <w:sz w:val="22"/>
          <w:szCs w:val="22"/>
        </w:rPr>
      </w:pPr>
    </w:p>
    <w:p w:rsidR="003E0602" w:rsidRPr="00A41929" w:rsidRDefault="003E0602">
      <w:pPr>
        <w:pStyle w:val="Textoindependiente"/>
        <w:spacing w:after="0"/>
        <w:rPr>
          <w:b/>
          <w:i/>
          <w:sz w:val="22"/>
          <w:szCs w:val="22"/>
        </w:rPr>
      </w:pPr>
      <w:r w:rsidRPr="00A41929">
        <w:rPr>
          <w:b/>
          <w:i/>
          <w:sz w:val="22"/>
          <w:szCs w:val="22"/>
        </w:rPr>
        <w:t>Efecto del tiempo de inmersión</w:t>
      </w:r>
    </w:p>
    <w:p w:rsidR="003E0602" w:rsidRPr="00A41929" w:rsidRDefault="003E0602">
      <w:pPr>
        <w:pStyle w:val="Textoindependiente3"/>
        <w:spacing w:line="240" w:lineRule="auto"/>
        <w:rPr>
          <w:sz w:val="22"/>
          <w:szCs w:val="22"/>
        </w:rPr>
      </w:pPr>
      <w:r w:rsidRPr="00A41929">
        <w:rPr>
          <w:sz w:val="22"/>
          <w:szCs w:val="22"/>
        </w:rPr>
        <w:t xml:space="preserve">Para estudiar el tiempo de inmersión en la fase de multiplicación se estudiaron tres tratamientos (10, 20 (control, y 30 minutos). En este experimento </w:t>
      </w:r>
      <w:r w:rsidRPr="00A41929">
        <w:rPr>
          <w:bCs/>
          <w:sz w:val="22"/>
          <w:szCs w:val="22"/>
        </w:rPr>
        <w:t>s</w:t>
      </w:r>
      <w:r w:rsidRPr="00A41929">
        <w:rPr>
          <w:sz w:val="22"/>
          <w:szCs w:val="22"/>
        </w:rPr>
        <w:t>e utilizó el medio de cultivo de multiplicación MS suplementado 2,0 mg.L</w:t>
      </w:r>
      <w:r w:rsidRPr="00A41929">
        <w:rPr>
          <w:sz w:val="22"/>
          <w:szCs w:val="22"/>
          <w:vertAlign w:val="superscript"/>
        </w:rPr>
        <w:t>-1</w:t>
      </w:r>
      <w:r w:rsidRPr="00A41929">
        <w:rPr>
          <w:sz w:val="22"/>
          <w:szCs w:val="22"/>
        </w:rPr>
        <w:t xml:space="preserve"> de 6-BAP; 3,5 mg.L</w:t>
      </w:r>
      <w:r w:rsidRPr="00A41929">
        <w:rPr>
          <w:sz w:val="22"/>
          <w:szCs w:val="22"/>
          <w:vertAlign w:val="superscript"/>
        </w:rPr>
        <w:t>-1</w:t>
      </w:r>
      <w:r w:rsidRPr="00A41929">
        <w:rPr>
          <w:sz w:val="22"/>
          <w:szCs w:val="22"/>
        </w:rPr>
        <w:t>de AIA; 30,0 g.L</w:t>
      </w:r>
      <w:r w:rsidRPr="00A41929">
        <w:rPr>
          <w:sz w:val="22"/>
          <w:szCs w:val="22"/>
          <w:vertAlign w:val="superscript"/>
        </w:rPr>
        <w:t>-1</w:t>
      </w:r>
      <w:r w:rsidRPr="00A41929">
        <w:rPr>
          <w:sz w:val="22"/>
          <w:szCs w:val="22"/>
        </w:rPr>
        <w:t xml:space="preserve"> de sacarosa; 10,0 mg.L</w:t>
      </w:r>
      <w:r w:rsidRPr="00A41929">
        <w:rPr>
          <w:sz w:val="22"/>
          <w:szCs w:val="22"/>
          <w:vertAlign w:val="superscript"/>
        </w:rPr>
        <w:t>-1</w:t>
      </w:r>
      <w:r w:rsidRPr="00A41929">
        <w:rPr>
          <w:sz w:val="22"/>
          <w:szCs w:val="22"/>
        </w:rPr>
        <w:t xml:space="preserve"> de ácido ascórbico. El volumen de medio de cultivo en la fase de multiplicación fue de 2000 ml por Sistema de Inmersión Temporal. La frecuencia de inmersión fue de cuatro inmersiones por día (cada seis horas). Las evaluaciones se realizaron a los 21 días de cultivo y se emplearon 40 </w:t>
      </w:r>
      <w:proofErr w:type="spellStart"/>
      <w:r w:rsidRPr="00A41929">
        <w:rPr>
          <w:sz w:val="22"/>
          <w:szCs w:val="22"/>
        </w:rPr>
        <w:t>explantes</w:t>
      </w:r>
      <w:proofErr w:type="spellEnd"/>
      <w:r w:rsidRPr="00A41929">
        <w:rPr>
          <w:sz w:val="22"/>
          <w:szCs w:val="22"/>
        </w:rPr>
        <w:t xml:space="preserve"> por frasco de cultivo y tres repeticiones por tratamiento (Ventura </w:t>
      </w:r>
      <w:r w:rsidRPr="00A41929">
        <w:rPr>
          <w:i/>
          <w:sz w:val="22"/>
          <w:szCs w:val="22"/>
        </w:rPr>
        <w:t>et al</w:t>
      </w:r>
      <w:r w:rsidRPr="00A41929">
        <w:rPr>
          <w:sz w:val="22"/>
          <w:szCs w:val="22"/>
        </w:rPr>
        <w:t>., 2002).</w:t>
      </w:r>
    </w:p>
    <w:p w:rsidR="003E0602" w:rsidRPr="00A41929" w:rsidRDefault="003E0602">
      <w:pPr>
        <w:pStyle w:val="Textoindependiente3"/>
        <w:spacing w:line="240" w:lineRule="auto"/>
        <w:rPr>
          <w:sz w:val="22"/>
          <w:szCs w:val="22"/>
        </w:rPr>
      </w:pPr>
    </w:p>
    <w:p w:rsidR="003E0602" w:rsidRPr="00A41929" w:rsidRDefault="003E0602">
      <w:pPr>
        <w:pStyle w:val="Textoindependiente"/>
        <w:spacing w:after="0"/>
        <w:rPr>
          <w:b/>
          <w:i/>
          <w:sz w:val="22"/>
          <w:szCs w:val="22"/>
        </w:rPr>
      </w:pPr>
      <w:r w:rsidRPr="00A41929">
        <w:rPr>
          <w:b/>
          <w:i/>
          <w:sz w:val="22"/>
          <w:szCs w:val="22"/>
        </w:rPr>
        <w:t>Efecto de la frecuencia de inmersión</w:t>
      </w:r>
    </w:p>
    <w:p w:rsidR="003E0602" w:rsidRPr="00A41929" w:rsidRDefault="003E0602">
      <w:pPr>
        <w:pStyle w:val="Textoindependiente"/>
        <w:spacing w:after="0"/>
        <w:jc w:val="both"/>
        <w:rPr>
          <w:sz w:val="22"/>
          <w:szCs w:val="22"/>
        </w:rPr>
      </w:pPr>
      <w:r w:rsidRPr="00A41929">
        <w:rPr>
          <w:sz w:val="22"/>
          <w:szCs w:val="22"/>
        </w:rPr>
        <w:t>Con el objetivo de evaluar el efecto de la frecuencia de inmersión en la fase de multiplicación se estudiaron tres frecuencias de inmersión, cada 3.0, 6.0, y 8.0 horas por día, con el mejor tiempo de inmersión obtenido como resultado en las variables en el experimento anterior (10 minutos de inmersión).</w:t>
      </w:r>
    </w:p>
    <w:p w:rsidR="003E0602" w:rsidRPr="00A41929" w:rsidRDefault="003E0602">
      <w:pPr>
        <w:pStyle w:val="Textoindependiente"/>
        <w:spacing w:after="0"/>
        <w:jc w:val="both"/>
        <w:rPr>
          <w:sz w:val="22"/>
          <w:szCs w:val="22"/>
        </w:rPr>
      </w:pPr>
    </w:p>
    <w:p w:rsidR="003E0602" w:rsidRPr="00A41929" w:rsidRDefault="003E0602">
      <w:pPr>
        <w:pStyle w:val="Textoindependiente3"/>
        <w:spacing w:line="240" w:lineRule="auto"/>
        <w:rPr>
          <w:sz w:val="22"/>
          <w:szCs w:val="22"/>
          <w:lang w:val="es-MX"/>
        </w:rPr>
      </w:pPr>
      <w:r w:rsidRPr="00A41929">
        <w:rPr>
          <w:sz w:val="22"/>
          <w:szCs w:val="22"/>
        </w:rPr>
        <w:t>Se utilizaron las mismas condiciones del experimento efecto del tiempo de inmersión, así como el medio de cultivo. Se adicionaron 2000 ml de medio de cultivo por frasco</w:t>
      </w:r>
      <w:r w:rsidRPr="00A41929">
        <w:rPr>
          <w:sz w:val="22"/>
          <w:szCs w:val="22"/>
          <w:lang w:val="es-MX"/>
        </w:rPr>
        <w:t>.</w:t>
      </w:r>
    </w:p>
    <w:p w:rsidR="003E0602" w:rsidRPr="00A41929" w:rsidRDefault="003E0602">
      <w:pPr>
        <w:pStyle w:val="Textoindependiente3"/>
        <w:spacing w:line="240" w:lineRule="auto"/>
        <w:rPr>
          <w:sz w:val="22"/>
          <w:szCs w:val="22"/>
          <w:lang w:val="es-MX"/>
        </w:rPr>
      </w:pPr>
    </w:p>
    <w:p w:rsidR="003E0602" w:rsidRPr="00A41929" w:rsidRDefault="003E0602">
      <w:pPr>
        <w:pStyle w:val="Textoindependiente"/>
        <w:spacing w:after="0"/>
        <w:rPr>
          <w:b/>
          <w:i/>
          <w:sz w:val="22"/>
          <w:szCs w:val="22"/>
        </w:rPr>
      </w:pPr>
      <w:r w:rsidRPr="00A41929">
        <w:rPr>
          <w:b/>
          <w:i/>
          <w:sz w:val="22"/>
          <w:szCs w:val="22"/>
        </w:rPr>
        <w:t>Determinación del volumen de medio de cultivo en el Sistema de Inmersión Temporal</w:t>
      </w:r>
    </w:p>
    <w:p w:rsidR="003E0602" w:rsidRPr="00A41929" w:rsidRDefault="003E0602">
      <w:pPr>
        <w:jc w:val="both"/>
        <w:rPr>
          <w:rFonts w:ascii="Arial" w:hAnsi="Arial" w:cs="Arial"/>
          <w:sz w:val="22"/>
          <w:szCs w:val="22"/>
        </w:rPr>
      </w:pPr>
      <w:r w:rsidRPr="00A41929">
        <w:rPr>
          <w:sz w:val="22"/>
          <w:szCs w:val="22"/>
        </w:rPr>
        <w:t xml:space="preserve">Para determinar el efecto del volumen de medio de cultivo por </w:t>
      </w:r>
      <w:proofErr w:type="spellStart"/>
      <w:r w:rsidRPr="00A41929">
        <w:rPr>
          <w:sz w:val="22"/>
          <w:szCs w:val="22"/>
        </w:rPr>
        <w:t>explante</w:t>
      </w:r>
      <w:proofErr w:type="spellEnd"/>
      <w:r w:rsidRPr="00A41929">
        <w:rPr>
          <w:sz w:val="22"/>
          <w:szCs w:val="22"/>
        </w:rPr>
        <w:t xml:space="preserve"> se utilizaron tres tratamientos (20, 40 (control) y 60 ml/</w:t>
      </w:r>
      <w:proofErr w:type="spellStart"/>
      <w:r w:rsidRPr="00A41929">
        <w:rPr>
          <w:sz w:val="22"/>
          <w:szCs w:val="22"/>
        </w:rPr>
        <w:t>explante</w:t>
      </w:r>
      <w:proofErr w:type="spellEnd"/>
      <w:r w:rsidRPr="00A41929">
        <w:rPr>
          <w:sz w:val="22"/>
          <w:szCs w:val="22"/>
        </w:rPr>
        <w:t>). Se utilizó el mejor tiempo y frecuencia de inmersión obtenido como resultado para las variables evaluadas en los experimentos anteriores</w:t>
      </w:r>
      <w:r w:rsidRPr="00A41929">
        <w:rPr>
          <w:rFonts w:ascii="Arial" w:hAnsi="Arial" w:cs="Arial"/>
          <w:sz w:val="22"/>
          <w:szCs w:val="22"/>
        </w:rPr>
        <w:t xml:space="preserve">. </w:t>
      </w:r>
    </w:p>
    <w:p w:rsidR="003E0602" w:rsidRPr="00A41929" w:rsidRDefault="003E0602">
      <w:pPr>
        <w:jc w:val="both"/>
        <w:rPr>
          <w:rFonts w:ascii="Arial" w:hAnsi="Arial" w:cs="Arial"/>
          <w:sz w:val="22"/>
          <w:szCs w:val="22"/>
        </w:rPr>
      </w:pPr>
    </w:p>
    <w:p w:rsidR="003E0602" w:rsidRPr="00A41929" w:rsidRDefault="003E0602">
      <w:pPr>
        <w:pStyle w:val="Textoindependiente"/>
        <w:spacing w:after="0"/>
        <w:rPr>
          <w:b/>
          <w:i/>
          <w:sz w:val="22"/>
          <w:szCs w:val="22"/>
        </w:rPr>
      </w:pPr>
      <w:r w:rsidRPr="00A41929">
        <w:rPr>
          <w:b/>
          <w:i/>
          <w:sz w:val="22"/>
          <w:szCs w:val="22"/>
        </w:rPr>
        <w:t xml:space="preserve">Determinación del momento de </w:t>
      </w:r>
      <w:proofErr w:type="spellStart"/>
      <w:r w:rsidRPr="00A41929">
        <w:rPr>
          <w:b/>
          <w:i/>
          <w:sz w:val="22"/>
          <w:szCs w:val="22"/>
        </w:rPr>
        <w:t>subcultivo</w:t>
      </w:r>
      <w:proofErr w:type="spellEnd"/>
      <w:r w:rsidRPr="00A41929">
        <w:rPr>
          <w:b/>
          <w:i/>
          <w:sz w:val="22"/>
          <w:szCs w:val="22"/>
        </w:rPr>
        <w:t xml:space="preserve"> en el Sistema de Inmersión Temporal.</w:t>
      </w:r>
    </w:p>
    <w:p w:rsidR="003E0602" w:rsidRPr="00A41929" w:rsidRDefault="003E0602">
      <w:pPr>
        <w:pStyle w:val="Textoindependiente"/>
        <w:spacing w:after="0"/>
        <w:jc w:val="both"/>
        <w:rPr>
          <w:sz w:val="22"/>
          <w:szCs w:val="22"/>
        </w:rPr>
      </w:pPr>
      <w:r w:rsidRPr="00A41929">
        <w:rPr>
          <w:i/>
          <w:sz w:val="22"/>
          <w:szCs w:val="22"/>
        </w:rPr>
        <w:t>Se</w:t>
      </w:r>
      <w:r w:rsidRPr="00A41929">
        <w:rPr>
          <w:sz w:val="22"/>
          <w:szCs w:val="22"/>
        </w:rPr>
        <w:t xml:space="preserve"> constituyeron cuatro tratamientos: 15; 18; 21 (control) y 25 días de cultivo. Se emplearon las mismas condiciones de los experimentos anteriores así como el mejor volumen de medio de cultivo obtenido.</w:t>
      </w:r>
    </w:p>
    <w:p w:rsidR="003E0602" w:rsidRPr="00A41929" w:rsidRDefault="003E0602">
      <w:pPr>
        <w:pStyle w:val="Textoindependiente"/>
        <w:spacing w:after="0"/>
        <w:jc w:val="both"/>
        <w:rPr>
          <w:sz w:val="22"/>
          <w:szCs w:val="22"/>
        </w:rPr>
      </w:pPr>
    </w:p>
    <w:p w:rsidR="003E0602" w:rsidRPr="00A41929" w:rsidRDefault="003E0602">
      <w:pPr>
        <w:pStyle w:val="Textoindependiente"/>
        <w:spacing w:after="0"/>
        <w:rPr>
          <w:b/>
          <w:i/>
          <w:sz w:val="22"/>
          <w:szCs w:val="22"/>
        </w:rPr>
      </w:pPr>
      <w:r w:rsidRPr="00A41929">
        <w:rPr>
          <w:b/>
          <w:i/>
          <w:sz w:val="22"/>
          <w:szCs w:val="22"/>
        </w:rPr>
        <w:t xml:space="preserve">Determinación de la densidad de </w:t>
      </w:r>
      <w:proofErr w:type="spellStart"/>
      <w:r w:rsidRPr="00A41929">
        <w:rPr>
          <w:b/>
          <w:i/>
          <w:sz w:val="22"/>
          <w:szCs w:val="22"/>
        </w:rPr>
        <w:t>explantes</w:t>
      </w:r>
      <w:proofErr w:type="spellEnd"/>
      <w:r w:rsidRPr="00A41929">
        <w:rPr>
          <w:b/>
          <w:i/>
          <w:sz w:val="22"/>
          <w:szCs w:val="22"/>
        </w:rPr>
        <w:t xml:space="preserve"> por frasco</w:t>
      </w:r>
    </w:p>
    <w:p w:rsidR="003E0602" w:rsidRPr="00A41929" w:rsidRDefault="003E0602">
      <w:pPr>
        <w:pStyle w:val="Textoindependiente"/>
        <w:spacing w:after="0"/>
        <w:rPr>
          <w:b/>
          <w:i/>
          <w:sz w:val="22"/>
          <w:szCs w:val="22"/>
        </w:rPr>
      </w:pPr>
    </w:p>
    <w:p w:rsidR="003E0602" w:rsidRPr="00A41929" w:rsidRDefault="003E0602">
      <w:pPr>
        <w:pStyle w:val="Textoindependiente"/>
        <w:spacing w:after="0"/>
        <w:jc w:val="both"/>
        <w:rPr>
          <w:sz w:val="22"/>
          <w:szCs w:val="22"/>
        </w:rPr>
      </w:pPr>
      <w:r w:rsidRPr="00A41929">
        <w:rPr>
          <w:i/>
          <w:sz w:val="22"/>
          <w:szCs w:val="22"/>
        </w:rPr>
        <w:t>A</w:t>
      </w:r>
      <w:r w:rsidRPr="00A41929">
        <w:rPr>
          <w:sz w:val="22"/>
          <w:szCs w:val="22"/>
        </w:rPr>
        <w:t xml:space="preserve"> partir de los resultados obtenidos en el Sistema de Inmersión Temporal con condiciones predeterminadas por las experiencias en el manejo de los mismos, se estudió la densidad de </w:t>
      </w:r>
      <w:proofErr w:type="spellStart"/>
      <w:r w:rsidRPr="00A41929">
        <w:rPr>
          <w:sz w:val="22"/>
          <w:szCs w:val="22"/>
        </w:rPr>
        <w:t>inóculo</w:t>
      </w:r>
      <w:proofErr w:type="spellEnd"/>
      <w:r w:rsidRPr="00A41929">
        <w:rPr>
          <w:sz w:val="22"/>
          <w:szCs w:val="22"/>
        </w:rPr>
        <w:t xml:space="preserve"> con el objetivo de mejorar las condiciones de cultivo, así como la calidad del proceso. Se evaluó la influencia de cuatro densidades de </w:t>
      </w:r>
      <w:proofErr w:type="spellStart"/>
      <w:r w:rsidRPr="00A41929">
        <w:rPr>
          <w:sz w:val="22"/>
          <w:szCs w:val="22"/>
        </w:rPr>
        <w:t>inóculo</w:t>
      </w:r>
      <w:proofErr w:type="spellEnd"/>
      <w:r w:rsidRPr="00A41929">
        <w:rPr>
          <w:sz w:val="22"/>
          <w:szCs w:val="22"/>
        </w:rPr>
        <w:t xml:space="preserve">: 20; 40 (control, utilizado por otros investigadores); 60 y 80 </w:t>
      </w:r>
      <w:proofErr w:type="spellStart"/>
      <w:r w:rsidRPr="00A41929">
        <w:rPr>
          <w:sz w:val="22"/>
          <w:szCs w:val="22"/>
        </w:rPr>
        <w:t>explantes</w:t>
      </w:r>
      <w:proofErr w:type="spellEnd"/>
      <w:r w:rsidRPr="00A41929">
        <w:rPr>
          <w:sz w:val="22"/>
          <w:szCs w:val="22"/>
        </w:rPr>
        <w:t xml:space="preserve"> por frasco y un volumen de medio de cultivo por batería de 1200 ml; 2400 ml; 3600 ml y 4800 ml en la producción de </w:t>
      </w:r>
      <w:proofErr w:type="spellStart"/>
      <w:r w:rsidRPr="00A41929">
        <w:rPr>
          <w:sz w:val="22"/>
          <w:szCs w:val="22"/>
        </w:rPr>
        <w:t>explantes</w:t>
      </w:r>
      <w:proofErr w:type="spellEnd"/>
      <w:r w:rsidRPr="00A41929">
        <w:rPr>
          <w:sz w:val="22"/>
          <w:szCs w:val="22"/>
        </w:rPr>
        <w:t xml:space="preserve"> Para determinar la densidad de </w:t>
      </w:r>
      <w:proofErr w:type="spellStart"/>
      <w:r w:rsidRPr="00A41929">
        <w:rPr>
          <w:sz w:val="22"/>
          <w:szCs w:val="22"/>
        </w:rPr>
        <w:t>inóculo</w:t>
      </w:r>
      <w:proofErr w:type="spellEnd"/>
      <w:r w:rsidRPr="00A41929">
        <w:rPr>
          <w:sz w:val="22"/>
          <w:szCs w:val="22"/>
        </w:rPr>
        <w:t xml:space="preserve"> se utilizó el mejor resultado obtenido en el experimento anterior así como las condiciones experimentales.</w:t>
      </w:r>
    </w:p>
    <w:p w:rsidR="003E0602" w:rsidRPr="00A41929" w:rsidRDefault="003E0602">
      <w:pPr>
        <w:pStyle w:val="Textoindependiente"/>
        <w:spacing w:after="0"/>
        <w:jc w:val="both"/>
        <w:rPr>
          <w:sz w:val="22"/>
          <w:szCs w:val="22"/>
        </w:rPr>
      </w:pPr>
    </w:p>
    <w:p w:rsidR="003E0602" w:rsidRPr="00A41929" w:rsidRDefault="003E0602">
      <w:pPr>
        <w:pStyle w:val="Textoindependiente3"/>
        <w:spacing w:line="240" w:lineRule="auto"/>
        <w:rPr>
          <w:sz w:val="22"/>
          <w:szCs w:val="22"/>
        </w:rPr>
      </w:pPr>
      <w:r w:rsidRPr="00A41929">
        <w:rPr>
          <w:sz w:val="22"/>
          <w:szCs w:val="22"/>
        </w:rPr>
        <w:t>Se realizaron tres repeticiones por tratamiento y se evaluó:</w:t>
      </w:r>
    </w:p>
    <w:p w:rsidR="003E0602" w:rsidRPr="00A41929" w:rsidRDefault="003E0602">
      <w:pPr>
        <w:pStyle w:val="Textoindependiente"/>
        <w:numPr>
          <w:ilvl w:val="0"/>
          <w:numId w:val="12"/>
        </w:numPr>
        <w:spacing w:after="0"/>
        <w:jc w:val="both"/>
        <w:rPr>
          <w:sz w:val="22"/>
          <w:szCs w:val="22"/>
        </w:rPr>
      </w:pPr>
      <w:r w:rsidRPr="00A41929">
        <w:rPr>
          <w:sz w:val="22"/>
          <w:szCs w:val="22"/>
        </w:rPr>
        <w:t xml:space="preserve">Coeficiente de multiplicación (unidades). Se determinó por el número de brotes finales con respecto al número de brotes iniciales. </w:t>
      </w:r>
    </w:p>
    <w:p w:rsidR="003E0602" w:rsidRPr="00A41929" w:rsidRDefault="003E0602">
      <w:pPr>
        <w:pStyle w:val="Textoindependiente"/>
        <w:numPr>
          <w:ilvl w:val="0"/>
          <w:numId w:val="12"/>
        </w:numPr>
        <w:spacing w:after="0"/>
        <w:jc w:val="both"/>
        <w:rPr>
          <w:sz w:val="22"/>
          <w:szCs w:val="22"/>
        </w:rPr>
      </w:pPr>
      <w:r w:rsidRPr="00A41929">
        <w:rPr>
          <w:sz w:val="22"/>
          <w:szCs w:val="22"/>
        </w:rPr>
        <w:t xml:space="preserve">Altura de los brotes de yemas axilares (cm). Se realizó con una regla graduada y se midió desde la base del </w:t>
      </w:r>
      <w:proofErr w:type="spellStart"/>
      <w:r w:rsidRPr="00A41929">
        <w:rPr>
          <w:sz w:val="22"/>
          <w:szCs w:val="22"/>
        </w:rPr>
        <w:t>pseudotallo</w:t>
      </w:r>
      <w:proofErr w:type="spellEnd"/>
      <w:r w:rsidRPr="00A41929">
        <w:rPr>
          <w:sz w:val="22"/>
          <w:szCs w:val="22"/>
        </w:rPr>
        <w:t xml:space="preserve"> hasta la inserción de la primera hoja. </w:t>
      </w:r>
    </w:p>
    <w:p w:rsidR="003E0602" w:rsidRPr="00A41929" w:rsidRDefault="003E0602">
      <w:pPr>
        <w:pStyle w:val="Textoindependiente3"/>
        <w:numPr>
          <w:ilvl w:val="0"/>
          <w:numId w:val="12"/>
        </w:numPr>
        <w:spacing w:line="240" w:lineRule="auto"/>
        <w:rPr>
          <w:sz w:val="22"/>
          <w:szCs w:val="22"/>
        </w:rPr>
      </w:pPr>
      <w:r w:rsidRPr="00A41929">
        <w:rPr>
          <w:sz w:val="22"/>
          <w:szCs w:val="22"/>
        </w:rPr>
        <w:t xml:space="preserve">Grado de oxidación según escala de </w:t>
      </w:r>
      <w:proofErr w:type="spellStart"/>
      <w:r w:rsidRPr="00A41929">
        <w:rPr>
          <w:sz w:val="22"/>
          <w:szCs w:val="22"/>
        </w:rPr>
        <w:t>Novak</w:t>
      </w:r>
      <w:proofErr w:type="spellEnd"/>
      <w:r w:rsidRPr="00A41929">
        <w:rPr>
          <w:sz w:val="22"/>
          <w:szCs w:val="22"/>
        </w:rPr>
        <w:t xml:space="preserve"> </w:t>
      </w:r>
      <w:r w:rsidRPr="00A41929">
        <w:rPr>
          <w:i/>
          <w:sz w:val="22"/>
          <w:szCs w:val="22"/>
        </w:rPr>
        <w:t>et al</w:t>
      </w:r>
      <w:r w:rsidRPr="00A41929">
        <w:rPr>
          <w:sz w:val="22"/>
          <w:szCs w:val="22"/>
        </w:rPr>
        <w:t>. (1994)</w:t>
      </w:r>
    </w:p>
    <w:p w:rsidR="003E0602" w:rsidRPr="00A41929" w:rsidRDefault="003E0602" w:rsidP="005E78F1">
      <w:pPr>
        <w:pStyle w:val="Textoindependiente3"/>
        <w:spacing w:line="240" w:lineRule="auto"/>
        <w:rPr>
          <w:sz w:val="22"/>
          <w:szCs w:val="22"/>
        </w:rPr>
      </w:pPr>
      <w:r w:rsidRPr="00A41929">
        <w:rPr>
          <w:sz w:val="22"/>
          <w:szCs w:val="22"/>
        </w:rPr>
        <w:lastRenderedPageBreak/>
        <w:t xml:space="preserve">               Grado 0: no hubo oxidación, coloración del </w:t>
      </w:r>
      <w:proofErr w:type="spellStart"/>
      <w:r w:rsidRPr="00A41929">
        <w:rPr>
          <w:sz w:val="22"/>
          <w:szCs w:val="22"/>
        </w:rPr>
        <w:t>explante</w:t>
      </w:r>
      <w:proofErr w:type="spellEnd"/>
      <w:r w:rsidRPr="00A41929">
        <w:rPr>
          <w:sz w:val="22"/>
          <w:szCs w:val="22"/>
        </w:rPr>
        <w:t xml:space="preserve"> de blanco-amarillo crema.</w:t>
      </w:r>
    </w:p>
    <w:p w:rsidR="003E0602" w:rsidRPr="00A41929" w:rsidRDefault="003E0602">
      <w:pPr>
        <w:pStyle w:val="Textoindependiente3"/>
        <w:spacing w:line="240" w:lineRule="auto"/>
        <w:rPr>
          <w:sz w:val="22"/>
          <w:szCs w:val="22"/>
        </w:rPr>
      </w:pPr>
      <w:r w:rsidRPr="00A41929">
        <w:rPr>
          <w:sz w:val="22"/>
          <w:szCs w:val="22"/>
        </w:rPr>
        <w:t xml:space="preserve">               Grado 1: Incipiente coloración carmelita sin llegar a la necrosis del tejido.</w:t>
      </w:r>
    </w:p>
    <w:p w:rsidR="003E0602" w:rsidRPr="00A41929" w:rsidRDefault="003E0602">
      <w:pPr>
        <w:pStyle w:val="Textoindependiente3"/>
        <w:spacing w:line="240" w:lineRule="auto"/>
        <w:rPr>
          <w:sz w:val="22"/>
          <w:szCs w:val="22"/>
        </w:rPr>
      </w:pPr>
      <w:r w:rsidRPr="00A41929">
        <w:rPr>
          <w:sz w:val="22"/>
          <w:szCs w:val="22"/>
        </w:rPr>
        <w:t xml:space="preserve">               Grado 2: 25% de tejido necrótico en la base del </w:t>
      </w:r>
      <w:proofErr w:type="spellStart"/>
      <w:r w:rsidRPr="00A41929">
        <w:rPr>
          <w:sz w:val="22"/>
          <w:szCs w:val="22"/>
        </w:rPr>
        <w:t>explante</w:t>
      </w:r>
      <w:proofErr w:type="spellEnd"/>
      <w:r w:rsidRPr="00A41929">
        <w:rPr>
          <w:sz w:val="22"/>
          <w:szCs w:val="22"/>
        </w:rPr>
        <w:t>.</w:t>
      </w:r>
    </w:p>
    <w:p w:rsidR="003E0602" w:rsidRPr="00A41929" w:rsidRDefault="003E0602">
      <w:pPr>
        <w:pStyle w:val="Textoindependiente3"/>
        <w:spacing w:line="240" w:lineRule="auto"/>
        <w:rPr>
          <w:sz w:val="22"/>
          <w:szCs w:val="22"/>
        </w:rPr>
      </w:pPr>
      <w:r w:rsidRPr="00A41929">
        <w:rPr>
          <w:sz w:val="22"/>
          <w:szCs w:val="22"/>
        </w:rPr>
        <w:t xml:space="preserve">               Grado 3: 50% de tejido necrótico en la base del </w:t>
      </w:r>
      <w:proofErr w:type="spellStart"/>
      <w:r w:rsidRPr="00A41929">
        <w:rPr>
          <w:sz w:val="22"/>
          <w:szCs w:val="22"/>
        </w:rPr>
        <w:t>explante</w:t>
      </w:r>
      <w:proofErr w:type="spellEnd"/>
      <w:r w:rsidRPr="00A41929">
        <w:rPr>
          <w:sz w:val="22"/>
          <w:szCs w:val="22"/>
        </w:rPr>
        <w:t>.</w:t>
      </w:r>
    </w:p>
    <w:p w:rsidR="003E0602" w:rsidRPr="00A41929" w:rsidRDefault="003E0602">
      <w:pPr>
        <w:pStyle w:val="Textoindependiente3"/>
        <w:spacing w:line="240" w:lineRule="auto"/>
        <w:rPr>
          <w:sz w:val="22"/>
          <w:szCs w:val="22"/>
        </w:rPr>
      </w:pPr>
      <w:r w:rsidRPr="00A41929">
        <w:rPr>
          <w:sz w:val="22"/>
          <w:szCs w:val="22"/>
        </w:rPr>
        <w:t xml:space="preserve">               Grado 4: 75% de tejido necrótico en la base del </w:t>
      </w:r>
      <w:proofErr w:type="spellStart"/>
      <w:r w:rsidRPr="00A41929">
        <w:rPr>
          <w:sz w:val="22"/>
          <w:szCs w:val="22"/>
        </w:rPr>
        <w:t>explante</w:t>
      </w:r>
      <w:proofErr w:type="spellEnd"/>
      <w:r w:rsidRPr="00A41929">
        <w:rPr>
          <w:sz w:val="22"/>
          <w:szCs w:val="22"/>
        </w:rPr>
        <w:t xml:space="preserve"> con penetración.</w:t>
      </w:r>
    </w:p>
    <w:p w:rsidR="003E0602" w:rsidRPr="00A41929" w:rsidRDefault="003E0602">
      <w:pPr>
        <w:pStyle w:val="Textoindependiente3"/>
        <w:spacing w:line="240" w:lineRule="auto"/>
        <w:ind w:left="900"/>
        <w:rPr>
          <w:sz w:val="22"/>
          <w:szCs w:val="22"/>
        </w:rPr>
      </w:pPr>
      <w:r w:rsidRPr="00A41929">
        <w:rPr>
          <w:sz w:val="22"/>
          <w:szCs w:val="22"/>
        </w:rPr>
        <w:t xml:space="preserve">Grado 5: 100% de tejido necrótico en la base del </w:t>
      </w:r>
      <w:proofErr w:type="spellStart"/>
      <w:r w:rsidRPr="00A41929">
        <w:rPr>
          <w:sz w:val="22"/>
          <w:szCs w:val="22"/>
        </w:rPr>
        <w:t>explante</w:t>
      </w:r>
      <w:proofErr w:type="spellEnd"/>
      <w:r w:rsidRPr="00A41929">
        <w:rPr>
          <w:sz w:val="22"/>
          <w:szCs w:val="22"/>
        </w:rPr>
        <w:t xml:space="preserve"> con penetración y se     necesitan cortes profundos para lograr que la asimilación de nutrientes sea efectiva.</w:t>
      </w:r>
    </w:p>
    <w:p w:rsidR="003E0602" w:rsidRPr="00A41929" w:rsidRDefault="003E0602">
      <w:pPr>
        <w:pStyle w:val="Textoindependiente3"/>
        <w:numPr>
          <w:ilvl w:val="0"/>
          <w:numId w:val="12"/>
        </w:numPr>
        <w:spacing w:line="240" w:lineRule="auto"/>
        <w:rPr>
          <w:sz w:val="22"/>
          <w:szCs w:val="22"/>
        </w:rPr>
      </w:pPr>
      <w:r w:rsidRPr="00A41929">
        <w:rPr>
          <w:sz w:val="22"/>
          <w:szCs w:val="22"/>
        </w:rPr>
        <w:t xml:space="preserve">Diámetro del </w:t>
      </w:r>
      <w:proofErr w:type="spellStart"/>
      <w:r w:rsidRPr="00A41929">
        <w:rPr>
          <w:sz w:val="22"/>
          <w:szCs w:val="22"/>
        </w:rPr>
        <w:t>pseudotallo</w:t>
      </w:r>
      <w:proofErr w:type="spellEnd"/>
      <w:r w:rsidRPr="00A41929">
        <w:rPr>
          <w:sz w:val="22"/>
          <w:szCs w:val="22"/>
        </w:rPr>
        <w:t xml:space="preserve"> de los brotes de yemas axilares (cm). Se realizó con el auxilio de una regla graduada y se midió el diámetro de la base del </w:t>
      </w:r>
      <w:proofErr w:type="spellStart"/>
      <w:r w:rsidRPr="00A41929">
        <w:rPr>
          <w:sz w:val="22"/>
          <w:szCs w:val="22"/>
        </w:rPr>
        <w:t>pseudotallo</w:t>
      </w:r>
      <w:proofErr w:type="spellEnd"/>
      <w:r w:rsidRPr="00A41929">
        <w:rPr>
          <w:sz w:val="22"/>
          <w:szCs w:val="22"/>
        </w:rPr>
        <w:t>.</w:t>
      </w:r>
    </w:p>
    <w:p w:rsidR="003E0602" w:rsidRPr="00A41929" w:rsidRDefault="003E0602">
      <w:pPr>
        <w:pStyle w:val="Textoindependiente3"/>
        <w:numPr>
          <w:ilvl w:val="0"/>
          <w:numId w:val="12"/>
        </w:numPr>
        <w:spacing w:line="240" w:lineRule="auto"/>
        <w:rPr>
          <w:sz w:val="22"/>
          <w:szCs w:val="22"/>
        </w:rPr>
      </w:pPr>
      <w:r w:rsidRPr="00A41929">
        <w:rPr>
          <w:sz w:val="22"/>
          <w:szCs w:val="22"/>
        </w:rPr>
        <w:t>Número de hojas de los brotes de yemas axilares (unidades). Se contaron las hojas que estaban abiertas.</w:t>
      </w:r>
    </w:p>
    <w:p w:rsidR="003E0602" w:rsidRPr="00A41929" w:rsidRDefault="003E0602" w:rsidP="005E78F1">
      <w:pPr>
        <w:pStyle w:val="Textoindependiente"/>
        <w:spacing w:after="0"/>
        <w:ind w:left="720"/>
        <w:jc w:val="both"/>
        <w:rPr>
          <w:sz w:val="22"/>
          <w:szCs w:val="22"/>
        </w:rPr>
      </w:pPr>
    </w:p>
    <w:p w:rsidR="003E0602" w:rsidRPr="00A41929" w:rsidRDefault="003E0602" w:rsidP="005E78F1">
      <w:pPr>
        <w:pStyle w:val="Textoindependiente"/>
        <w:spacing w:after="0"/>
        <w:rPr>
          <w:i/>
          <w:sz w:val="22"/>
          <w:szCs w:val="22"/>
        </w:rPr>
      </w:pPr>
      <w:r w:rsidRPr="00A41929">
        <w:rPr>
          <w:i/>
          <w:sz w:val="22"/>
          <w:szCs w:val="22"/>
        </w:rPr>
        <w:t>Procesamiento estadístico</w:t>
      </w:r>
    </w:p>
    <w:p w:rsidR="003E0602" w:rsidRPr="00A41929" w:rsidRDefault="003E0602">
      <w:pPr>
        <w:pStyle w:val="Textoindependiente"/>
        <w:spacing w:after="0"/>
        <w:jc w:val="both"/>
        <w:rPr>
          <w:sz w:val="22"/>
          <w:szCs w:val="22"/>
        </w:rPr>
      </w:pPr>
      <w:r w:rsidRPr="00A41929">
        <w:rPr>
          <w:i/>
          <w:sz w:val="22"/>
          <w:szCs w:val="22"/>
        </w:rPr>
        <w:t>Co</w:t>
      </w:r>
      <w:r w:rsidRPr="00A41929">
        <w:rPr>
          <w:sz w:val="22"/>
          <w:szCs w:val="22"/>
        </w:rPr>
        <w:t xml:space="preserve">n los criterios de estadística descriptiva se realizaron las tablas que expresan los resultados procesados con estadística </w:t>
      </w:r>
      <w:proofErr w:type="spellStart"/>
      <w:r w:rsidRPr="00A41929">
        <w:rPr>
          <w:sz w:val="22"/>
          <w:szCs w:val="22"/>
        </w:rPr>
        <w:t>inferencial</w:t>
      </w:r>
      <w:proofErr w:type="spellEnd"/>
      <w:r w:rsidRPr="00A41929">
        <w:rPr>
          <w:sz w:val="22"/>
          <w:szCs w:val="22"/>
        </w:rPr>
        <w:t xml:space="preserve"> paramétrica (análisis de varianza de clasificación simple). La comparación múltiple de media se realizó según </w:t>
      </w:r>
      <w:proofErr w:type="spellStart"/>
      <w:r w:rsidRPr="00A41929">
        <w:rPr>
          <w:sz w:val="22"/>
          <w:szCs w:val="22"/>
        </w:rPr>
        <w:t>Tukey</w:t>
      </w:r>
      <w:proofErr w:type="spellEnd"/>
      <w:r w:rsidRPr="00A41929">
        <w:rPr>
          <w:sz w:val="22"/>
          <w:szCs w:val="22"/>
        </w:rPr>
        <w:t xml:space="preserve"> cuando se encontró homogeneidad de varianza, (</w:t>
      </w:r>
      <w:proofErr w:type="spellStart"/>
      <w:r w:rsidRPr="00A41929">
        <w:rPr>
          <w:sz w:val="22"/>
          <w:szCs w:val="22"/>
        </w:rPr>
        <w:t>Lerch</w:t>
      </w:r>
      <w:proofErr w:type="spellEnd"/>
      <w:r w:rsidRPr="00A41929">
        <w:rPr>
          <w:sz w:val="22"/>
          <w:szCs w:val="22"/>
        </w:rPr>
        <w:t xml:space="preserve">, 1977). Se utilizó el paquete estadístico MSTAT-C de la Universidad de </w:t>
      </w:r>
      <w:proofErr w:type="spellStart"/>
      <w:r w:rsidRPr="00A41929">
        <w:rPr>
          <w:sz w:val="22"/>
          <w:szCs w:val="22"/>
        </w:rPr>
        <w:t>Micchigan</w:t>
      </w:r>
      <w:proofErr w:type="spellEnd"/>
      <w:r w:rsidRPr="00A41929">
        <w:rPr>
          <w:sz w:val="22"/>
          <w:szCs w:val="22"/>
        </w:rPr>
        <w:t xml:space="preserve"> (</w:t>
      </w:r>
      <w:proofErr w:type="spellStart"/>
      <w:r w:rsidRPr="00A41929">
        <w:rPr>
          <w:sz w:val="22"/>
          <w:szCs w:val="22"/>
        </w:rPr>
        <w:t>Bricker</w:t>
      </w:r>
      <w:proofErr w:type="spellEnd"/>
      <w:r w:rsidRPr="00A41929">
        <w:rPr>
          <w:sz w:val="22"/>
          <w:szCs w:val="22"/>
        </w:rPr>
        <w:t xml:space="preserve">, 1993, citado por Guzmán y Castaño, 2002). </w:t>
      </w:r>
    </w:p>
    <w:p w:rsidR="003E0602" w:rsidRPr="00A41929" w:rsidRDefault="003E0602">
      <w:pPr>
        <w:pStyle w:val="Textoindependiente"/>
        <w:spacing w:after="0"/>
        <w:jc w:val="both"/>
        <w:rPr>
          <w:sz w:val="22"/>
          <w:szCs w:val="22"/>
        </w:rPr>
      </w:pPr>
    </w:p>
    <w:p w:rsidR="003E0602" w:rsidRPr="00A41929" w:rsidRDefault="003E0602">
      <w:pPr>
        <w:jc w:val="both"/>
        <w:rPr>
          <w:b/>
          <w:sz w:val="22"/>
          <w:szCs w:val="22"/>
        </w:rPr>
      </w:pPr>
      <w:r w:rsidRPr="00A41929">
        <w:rPr>
          <w:b/>
          <w:sz w:val="22"/>
          <w:szCs w:val="22"/>
        </w:rPr>
        <w:t>Resultados y discusión</w:t>
      </w:r>
    </w:p>
    <w:p w:rsidR="003E0602" w:rsidRPr="00A41929" w:rsidRDefault="003E0602">
      <w:pPr>
        <w:jc w:val="both"/>
        <w:rPr>
          <w:b/>
          <w:sz w:val="22"/>
          <w:szCs w:val="22"/>
        </w:rPr>
      </w:pPr>
    </w:p>
    <w:p w:rsidR="003E0602" w:rsidRPr="00A41929" w:rsidRDefault="003E0602">
      <w:pPr>
        <w:pStyle w:val="Textoindependiente"/>
        <w:spacing w:after="0"/>
        <w:rPr>
          <w:b/>
          <w:i/>
          <w:sz w:val="22"/>
          <w:szCs w:val="22"/>
        </w:rPr>
      </w:pPr>
      <w:r w:rsidRPr="00A41929">
        <w:rPr>
          <w:b/>
          <w:i/>
          <w:sz w:val="22"/>
          <w:szCs w:val="22"/>
        </w:rPr>
        <w:t>Efecto del tiempo y frecuencia de inmersión en el Sistema de Inmersión Temporal</w:t>
      </w:r>
    </w:p>
    <w:p w:rsidR="003E0602" w:rsidRPr="00A41929" w:rsidRDefault="003E0602">
      <w:pPr>
        <w:pStyle w:val="Textoindependiente"/>
        <w:spacing w:after="0"/>
        <w:rPr>
          <w:b/>
          <w:i/>
          <w:sz w:val="22"/>
          <w:szCs w:val="22"/>
        </w:rPr>
      </w:pPr>
      <w:r w:rsidRPr="00A41929">
        <w:rPr>
          <w:b/>
          <w:i/>
          <w:sz w:val="22"/>
          <w:szCs w:val="22"/>
        </w:rPr>
        <w:t>Efecto del tiempo de inmersión</w:t>
      </w:r>
    </w:p>
    <w:p w:rsidR="003E0602" w:rsidRPr="00A41929" w:rsidRDefault="003E0602">
      <w:pPr>
        <w:pStyle w:val="Textoindependiente"/>
        <w:spacing w:after="0"/>
        <w:rPr>
          <w:b/>
          <w:i/>
          <w:sz w:val="22"/>
          <w:szCs w:val="22"/>
        </w:rPr>
      </w:pPr>
    </w:p>
    <w:p w:rsidR="003E0602" w:rsidRPr="00A41929" w:rsidRDefault="003E0602">
      <w:pPr>
        <w:pStyle w:val="Textoindependiente"/>
        <w:spacing w:after="0"/>
        <w:jc w:val="both"/>
        <w:rPr>
          <w:sz w:val="22"/>
          <w:szCs w:val="22"/>
        </w:rPr>
      </w:pPr>
      <w:r w:rsidRPr="00A41929">
        <w:rPr>
          <w:sz w:val="22"/>
          <w:szCs w:val="22"/>
        </w:rPr>
        <w:t xml:space="preserve">El tiempo de inmersión en el Sistema de Inmersión Temporal influyó de forma significativa. Con un tiempo de inmersión de 10 minutos y una frecuencia cada 6 horas (4 inmersiones al día)  se alcanzaron los mejores resultados para las variables evaluadas (coeficiente de multiplicación (3,10), diámetro del </w:t>
      </w:r>
      <w:proofErr w:type="spellStart"/>
      <w:r w:rsidRPr="00A41929">
        <w:rPr>
          <w:sz w:val="22"/>
          <w:szCs w:val="22"/>
        </w:rPr>
        <w:t>pseudotallo</w:t>
      </w:r>
      <w:proofErr w:type="spellEnd"/>
      <w:r w:rsidRPr="00A41929">
        <w:rPr>
          <w:sz w:val="22"/>
          <w:szCs w:val="22"/>
        </w:rPr>
        <w:t xml:space="preserve"> (0,46), grado de oxidación (2,65), número de hojas activas (2,26) y altura del </w:t>
      </w:r>
      <w:proofErr w:type="spellStart"/>
      <w:r w:rsidRPr="00A41929">
        <w:rPr>
          <w:sz w:val="22"/>
          <w:szCs w:val="22"/>
        </w:rPr>
        <w:t>explantes</w:t>
      </w:r>
      <w:proofErr w:type="spellEnd"/>
      <w:r w:rsidRPr="00A41929">
        <w:rPr>
          <w:sz w:val="22"/>
          <w:szCs w:val="22"/>
        </w:rPr>
        <w:t xml:space="preserve"> (2,76) con diferencias significativas respecto al resto de los tratamientos (tabla 1). </w:t>
      </w:r>
    </w:p>
    <w:p w:rsidR="003E0602" w:rsidRPr="00A41929" w:rsidRDefault="003E0602">
      <w:pPr>
        <w:pStyle w:val="Textoindependiente"/>
        <w:spacing w:after="0"/>
        <w:jc w:val="both"/>
        <w:rPr>
          <w:sz w:val="22"/>
          <w:szCs w:val="22"/>
        </w:rPr>
      </w:pPr>
    </w:p>
    <w:p w:rsidR="003E0602" w:rsidRPr="00A41929" w:rsidRDefault="003E0602">
      <w:pPr>
        <w:jc w:val="both"/>
        <w:rPr>
          <w:sz w:val="22"/>
          <w:szCs w:val="22"/>
        </w:rPr>
      </w:pPr>
      <w:r w:rsidRPr="00A41929">
        <w:rPr>
          <w:b/>
          <w:sz w:val="22"/>
          <w:szCs w:val="22"/>
        </w:rPr>
        <w:t>Tabla 1</w:t>
      </w:r>
      <w:r w:rsidRPr="00A41929">
        <w:rPr>
          <w:sz w:val="22"/>
          <w:szCs w:val="22"/>
        </w:rPr>
        <w:t xml:space="preserve">. Efecto del tiempo de inmersión sobre las variables evaluadas en el clon de plátano vianda  </w:t>
      </w:r>
      <w:r w:rsidRPr="00A41929">
        <w:rPr>
          <w:bCs/>
          <w:sz w:val="22"/>
          <w:szCs w:val="22"/>
        </w:rPr>
        <w:t xml:space="preserve">"INIVITPV-2011" </w:t>
      </w:r>
      <w:r w:rsidRPr="00A41929">
        <w:rPr>
          <w:sz w:val="22"/>
          <w:szCs w:val="22"/>
        </w:rPr>
        <w:t xml:space="preserve">(AAB). </w:t>
      </w:r>
    </w:p>
    <w:tbl>
      <w:tblPr>
        <w:tblW w:w="5000" w:type="pct"/>
        <w:tblBorders>
          <w:top w:val="single" w:sz="12" w:space="0" w:color="008000"/>
          <w:bottom w:val="single" w:sz="12" w:space="0" w:color="008000"/>
        </w:tblBorders>
        <w:tblLook w:val="0000"/>
      </w:tblPr>
      <w:tblGrid>
        <w:gridCol w:w="1795"/>
        <w:gridCol w:w="1847"/>
        <w:gridCol w:w="1848"/>
        <w:gridCol w:w="1432"/>
        <w:gridCol w:w="1113"/>
        <w:gridCol w:w="1026"/>
      </w:tblGrid>
      <w:tr w:rsidR="003E0602" w:rsidRPr="00A41929">
        <w:trPr>
          <w:trHeight w:val="420"/>
        </w:trPr>
        <w:tc>
          <w:tcPr>
            <w:tcW w:w="991" w:type="pct"/>
            <w:tcBorders>
              <w:top w:val="single" w:sz="18" w:space="0" w:color="339966"/>
              <w:left w:val="nil"/>
              <w:bottom w:val="single" w:sz="18" w:space="0" w:color="339966"/>
              <w:right w:val="nil"/>
            </w:tcBorders>
            <w:vAlign w:val="center"/>
          </w:tcPr>
          <w:p w:rsidR="003E0602" w:rsidRPr="00A41929" w:rsidRDefault="003E0602">
            <w:pPr>
              <w:jc w:val="center"/>
              <w:rPr>
                <w:b/>
                <w:sz w:val="22"/>
                <w:szCs w:val="22"/>
              </w:rPr>
            </w:pPr>
            <w:r w:rsidRPr="00A41929">
              <w:rPr>
                <w:b/>
                <w:sz w:val="22"/>
                <w:szCs w:val="22"/>
              </w:rPr>
              <w:t>Tratamientos</w:t>
            </w:r>
          </w:p>
        </w:tc>
        <w:tc>
          <w:tcPr>
            <w:tcW w:w="1019" w:type="pct"/>
            <w:tcBorders>
              <w:top w:val="single" w:sz="18" w:space="0" w:color="339966"/>
              <w:left w:val="nil"/>
              <w:bottom w:val="single" w:sz="18" w:space="0" w:color="339966"/>
              <w:right w:val="nil"/>
            </w:tcBorders>
          </w:tcPr>
          <w:p w:rsidR="003E0602" w:rsidRPr="00A41929" w:rsidRDefault="003E0602">
            <w:pPr>
              <w:jc w:val="center"/>
              <w:rPr>
                <w:b/>
                <w:sz w:val="22"/>
                <w:szCs w:val="22"/>
              </w:rPr>
            </w:pPr>
            <w:r w:rsidRPr="00A41929">
              <w:rPr>
                <w:b/>
                <w:sz w:val="22"/>
                <w:szCs w:val="22"/>
              </w:rPr>
              <w:t>Coeficiente de Multiplicación</w:t>
            </w:r>
          </w:p>
        </w:tc>
        <w:tc>
          <w:tcPr>
            <w:tcW w:w="1020" w:type="pct"/>
            <w:tcBorders>
              <w:top w:val="single" w:sz="18" w:space="0" w:color="339966"/>
              <w:left w:val="nil"/>
              <w:bottom w:val="single" w:sz="18" w:space="0" w:color="339966"/>
              <w:right w:val="nil"/>
            </w:tcBorders>
            <w:vAlign w:val="center"/>
          </w:tcPr>
          <w:p w:rsidR="003E0602" w:rsidRPr="00A41929" w:rsidRDefault="003E0602">
            <w:pPr>
              <w:jc w:val="center"/>
              <w:rPr>
                <w:b/>
                <w:sz w:val="22"/>
                <w:szCs w:val="22"/>
              </w:rPr>
            </w:pPr>
            <w:r w:rsidRPr="00A41929">
              <w:rPr>
                <w:b/>
                <w:sz w:val="22"/>
                <w:szCs w:val="22"/>
              </w:rPr>
              <w:t xml:space="preserve">Diámetro del </w:t>
            </w:r>
            <w:proofErr w:type="spellStart"/>
            <w:r w:rsidRPr="00A41929">
              <w:rPr>
                <w:b/>
                <w:sz w:val="22"/>
                <w:szCs w:val="22"/>
              </w:rPr>
              <w:t>pseudotallo</w:t>
            </w:r>
            <w:proofErr w:type="spellEnd"/>
            <w:r w:rsidRPr="00A41929">
              <w:rPr>
                <w:b/>
                <w:sz w:val="22"/>
                <w:szCs w:val="22"/>
              </w:rPr>
              <w:t xml:space="preserve"> (cm)</w:t>
            </w:r>
          </w:p>
        </w:tc>
        <w:tc>
          <w:tcPr>
            <w:tcW w:w="790" w:type="pct"/>
            <w:tcBorders>
              <w:top w:val="single" w:sz="18" w:space="0" w:color="339966"/>
              <w:left w:val="nil"/>
              <w:bottom w:val="single" w:sz="18" w:space="0" w:color="339966"/>
              <w:right w:val="nil"/>
            </w:tcBorders>
            <w:vAlign w:val="center"/>
          </w:tcPr>
          <w:p w:rsidR="003E0602" w:rsidRPr="00A41929" w:rsidRDefault="003E0602">
            <w:pPr>
              <w:jc w:val="center"/>
              <w:rPr>
                <w:b/>
                <w:sz w:val="22"/>
                <w:szCs w:val="22"/>
              </w:rPr>
            </w:pPr>
            <w:r w:rsidRPr="00A41929">
              <w:rPr>
                <w:b/>
                <w:sz w:val="22"/>
                <w:szCs w:val="22"/>
              </w:rPr>
              <w:t xml:space="preserve">Grado Oxidación </w:t>
            </w:r>
          </w:p>
        </w:tc>
        <w:tc>
          <w:tcPr>
            <w:tcW w:w="614" w:type="pct"/>
            <w:tcBorders>
              <w:top w:val="single" w:sz="18" w:space="0" w:color="339966"/>
              <w:left w:val="nil"/>
              <w:bottom w:val="single" w:sz="18" w:space="0" w:color="339966"/>
              <w:right w:val="nil"/>
            </w:tcBorders>
            <w:vAlign w:val="center"/>
          </w:tcPr>
          <w:p w:rsidR="003E0602" w:rsidRPr="00A41929" w:rsidRDefault="003E0602">
            <w:pPr>
              <w:jc w:val="center"/>
              <w:rPr>
                <w:b/>
                <w:sz w:val="22"/>
                <w:szCs w:val="22"/>
              </w:rPr>
            </w:pPr>
            <w:r w:rsidRPr="00A41929">
              <w:rPr>
                <w:b/>
                <w:sz w:val="22"/>
                <w:szCs w:val="22"/>
              </w:rPr>
              <w:t xml:space="preserve">Hojas  Activas </w:t>
            </w:r>
          </w:p>
        </w:tc>
        <w:tc>
          <w:tcPr>
            <w:tcW w:w="566" w:type="pct"/>
            <w:tcBorders>
              <w:top w:val="single" w:sz="18" w:space="0" w:color="339966"/>
              <w:left w:val="nil"/>
              <w:bottom w:val="single" w:sz="18" w:space="0" w:color="339966"/>
              <w:right w:val="nil"/>
            </w:tcBorders>
            <w:vAlign w:val="center"/>
          </w:tcPr>
          <w:p w:rsidR="003E0602" w:rsidRPr="00A41929" w:rsidRDefault="003E0602">
            <w:pPr>
              <w:jc w:val="center"/>
              <w:rPr>
                <w:b/>
                <w:sz w:val="22"/>
                <w:szCs w:val="22"/>
              </w:rPr>
            </w:pPr>
            <w:r w:rsidRPr="00A41929">
              <w:rPr>
                <w:b/>
                <w:sz w:val="22"/>
                <w:szCs w:val="22"/>
              </w:rPr>
              <w:t>Altura (cm)</w:t>
            </w:r>
          </w:p>
        </w:tc>
      </w:tr>
      <w:tr w:rsidR="003E0602" w:rsidRPr="00A41929">
        <w:trPr>
          <w:trHeight w:val="420"/>
        </w:trPr>
        <w:tc>
          <w:tcPr>
            <w:tcW w:w="991" w:type="pct"/>
            <w:tcBorders>
              <w:top w:val="single" w:sz="18" w:space="0" w:color="339966"/>
              <w:left w:val="nil"/>
              <w:bottom w:val="nil"/>
              <w:right w:val="nil"/>
            </w:tcBorders>
            <w:vAlign w:val="center"/>
          </w:tcPr>
          <w:p w:rsidR="003E0602" w:rsidRPr="00A41929" w:rsidRDefault="003E0602" w:rsidP="005E78F1">
            <w:pPr>
              <w:jc w:val="both"/>
              <w:rPr>
                <w:sz w:val="22"/>
                <w:szCs w:val="22"/>
              </w:rPr>
            </w:pPr>
            <w:r w:rsidRPr="00A41929">
              <w:rPr>
                <w:sz w:val="22"/>
                <w:szCs w:val="22"/>
              </w:rPr>
              <w:t>10 minutos</w:t>
            </w:r>
          </w:p>
        </w:tc>
        <w:tc>
          <w:tcPr>
            <w:tcW w:w="1019" w:type="pct"/>
            <w:tcBorders>
              <w:top w:val="single" w:sz="18" w:space="0" w:color="339966"/>
              <w:left w:val="nil"/>
              <w:bottom w:val="nil"/>
              <w:right w:val="nil"/>
            </w:tcBorders>
            <w:vAlign w:val="center"/>
          </w:tcPr>
          <w:p w:rsidR="003E0602" w:rsidRPr="00A41929" w:rsidRDefault="003E0602">
            <w:pPr>
              <w:ind w:left="553"/>
              <w:rPr>
                <w:sz w:val="22"/>
                <w:szCs w:val="22"/>
              </w:rPr>
            </w:pPr>
            <w:r w:rsidRPr="00A41929">
              <w:rPr>
                <w:sz w:val="22"/>
                <w:szCs w:val="22"/>
              </w:rPr>
              <w:t>3,10 a</w:t>
            </w:r>
          </w:p>
        </w:tc>
        <w:tc>
          <w:tcPr>
            <w:tcW w:w="1020" w:type="pct"/>
            <w:tcBorders>
              <w:top w:val="single" w:sz="18" w:space="0" w:color="339966"/>
              <w:left w:val="nil"/>
              <w:bottom w:val="nil"/>
              <w:right w:val="nil"/>
            </w:tcBorders>
            <w:vAlign w:val="center"/>
          </w:tcPr>
          <w:p w:rsidR="003E0602" w:rsidRPr="00A41929" w:rsidRDefault="003E0602">
            <w:pPr>
              <w:ind w:left="553"/>
              <w:rPr>
                <w:sz w:val="22"/>
                <w:szCs w:val="22"/>
              </w:rPr>
            </w:pPr>
            <w:r w:rsidRPr="00A41929">
              <w:rPr>
                <w:sz w:val="22"/>
                <w:szCs w:val="22"/>
              </w:rPr>
              <w:t xml:space="preserve"> 0,46 a</w:t>
            </w:r>
          </w:p>
        </w:tc>
        <w:tc>
          <w:tcPr>
            <w:tcW w:w="790" w:type="pct"/>
            <w:tcBorders>
              <w:top w:val="single" w:sz="18" w:space="0" w:color="339966"/>
              <w:left w:val="nil"/>
              <w:bottom w:val="nil"/>
              <w:right w:val="nil"/>
            </w:tcBorders>
            <w:vAlign w:val="center"/>
          </w:tcPr>
          <w:p w:rsidR="003E0602" w:rsidRPr="00A41929" w:rsidRDefault="003E0602">
            <w:pPr>
              <w:jc w:val="center"/>
              <w:rPr>
                <w:sz w:val="22"/>
                <w:szCs w:val="22"/>
              </w:rPr>
            </w:pPr>
            <w:r w:rsidRPr="00A41929">
              <w:rPr>
                <w:sz w:val="22"/>
                <w:szCs w:val="22"/>
              </w:rPr>
              <w:t>2,65 a</w:t>
            </w:r>
          </w:p>
        </w:tc>
        <w:tc>
          <w:tcPr>
            <w:tcW w:w="614" w:type="pct"/>
            <w:tcBorders>
              <w:top w:val="single" w:sz="18" w:space="0" w:color="339966"/>
              <w:left w:val="nil"/>
              <w:bottom w:val="nil"/>
              <w:right w:val="nil"/>
            </w:tcBorders>
            <w:vAlign w:val="center"/>
          </w:tcPr>
          <w:p w:rsidR="003E0602" w:rsidRPr="00A41929" w:rsidRDefault="003E0602">
            <w:pPr>
              <w:tabs>
                <w:tab w:val="left" w:pos="541"/>
              </w:tabs>
              <w:jc w:val="center"/>
              <w:rPr>
                <w:sz w:val="22"/>
                <w:szCs w:val="22"/>
              </w:rPr>
            </w:pPr>
            <w:r w:rsidRPr="00A41929">
              <w:rPr>
                <w:sz w:val="22"/>
                <w:szCs w:val="22"/>
              </w:rPr>
              <w:t>2,26 a</w:t>
            </w:r>
          </w:p>
        </w:tc>
        <w:tc>
          <w:tcPr>
            <w:tcW w:w="566" w:type="pct"/>
            <w:tcBorders>
              <w:top w:val="single" w:sz="18" w:space="0" w:color="339966"/>
              <w:left w:val="nil"/>
              <w:bottom w:val="nil"/>
              <w:right w:val="nil"/>
            </w:tcBorders>
            <w:vAlign w:val="center"/>
          </w:tcPr>
          <w:p w:rsidR="003E0602" w:rsidRPr="00A41929" w:rsidRDefault="003E0602">
            <w:pPr>
              <w:jc w:val="center"/>
              <w:rPr>
                <w:sz w:val="22"/>
                <w:szCs w:val="22"/>
              </w:rPr>
            </w:pPr>
            <w:r w:rsidRPr="00A41929">
              <w:rPr>
                <w:sz w:val="22"/>
                <w:szCs w:val="22"/>
              </w:rPr>
              <w:t>2,76 a</w:t>
            </w:r>
          </w:p>
        </w:tc>
      </w:tr>
      <w:tr w:rsidR="003E0602" w:rsidRPr="00A41929">
        <w:trPr>
          <w:trHeight w:val="420"/>
        </w:trPr>
        <w:tc>
          <w:tcPr>
            <w:tcW w:w="991" w:type="pct"/>
            <w:tcBorders>
              <w:top w:val="nil"/>
              <w:left w:val="nil"/>
              <w:bottom w:val="nil"/>
              <w:right w:val="nil"/>
            </w:tcBorders>
            <w:vAlign w:val="center"/>
          </w:tcPr>
          <w:p w:rsidR="003E0602" w:rsidRPr="00A41929" w:rsidRDefault="003E0602" w:rsidP="005E78F1">
            <w:pPr>
              <w:jc w:val="both"/>
              <w:rPr>
                <w:sz w:val="22"/>
                <w:szCs w:val="22"/>
              </w:rPr>
            </w:pPr>
            <w:r w:rsidRPr="00A41929">
              <w:rPr>
                <w:sz w:val="22"/>
                <w:szCs w:val="22"/>
              </w:rPr>
              <w:t>20 minutos</w:t>
            </w:r>
          </w:p>
        </w:tc>
        <w:tc>
          <w:tcPr>
            <w:tcW w:w="1019" w:type="pct"/>
            <w:tcBorders>
              <w:top w:val="nil"/>
              <w:left w:val="nil"/>
              <w:bottom w:val="nil"/>
              <w:right w:val="nil"/>
            </w:tcBorders>
            <w:vAlign w:val="center"/>
          </w:tcPr>
          <w:p w:rsidR="003E0602" w:rsidRPr="00A41929" w:rsidRDefault="003E0602">
            <w:pPr>
              <w:ind w:left="553"/>
              <w:rPr>
                <w:sz w:val="22"/>
                <w:szCs w:val="22"/>
              </w:rPr>
            </w:pPr>
            <w:r w:rsidRPr="00A41929">
              <w:rPr>
                <w:sz w:val="22"/>
                <w:szCs w:val="22"/>
              </w:rPr>
              <w:t>2,40 c</w:t>
            </w:r>
          </w:p>
        </w:tc>
        <w:tc>
          <w:tcPr>
            <w:tcW w:w="1020" w:type="pct"/>
            <w:tcBorders>
              <w:top w:val="nil"/>
              <w:left w:val="nil"/>
              <w:bottom w:val="nil"/>
              <w:right w:val="nil"/>
            </w:tcBorders>
            <w:vAlign w:val="center"/>
          </w:tcPr>
          <w:p w:rsidR="003E0602" w:rsidRPr="00A41929" w:rsidRDefault="003E0602">
            <w:pPr>
              <w:ind w:left="553"/>
              <w:rPr>
                <w:sz w:val="22"/>
                <w:szCs w:val="22"/>
              </w:rPr>
            </w:pPr>
            <w:r w:rsidRPr="00A41929">
              <w:rPr>
                <w:sz w:val="22"/>
                <w:szCs w:val="22"/>
              </w:rPr>
              <w:t xml:space="preserve"> 0,12 c</w:t>
            </w:r>
          </w:p>
        </w:tc>
        <w:tc>
          <w:tcPr>
            <w:tcW w:w="790" w:type="pct"/>
            <w:tcBorders>
              <w:top w:val="nil"/>
              <w:left w:val="nil"/>
              <w:bottom w:val="nil"/>
              <w:right w:val="nil"/>
            </w:tcBorders>
            <w:vAlign w:val="center"/>
          </w:tcPr>
          <w:p w:rsidR="003E0602" w:rsidRPr="00A41929" w:rsidRDefault="003E0602">
            <w:pPr>
              <w:rPr>
                <w:sz w:val="22"/>
                <w:szCs w:val="22"/>
              </w:rPr>
            </w:pPr>
            <w:r w:rsidRPr="00A41929">
              <w:rPr>
                <w:sz w:val="22"/>
                <w:szCs w:val="22"/>
              </w:rPr>
              <w:t xml:space="preserve">    3,27 c</w:t>
            </w:r>
          </w:p>
        </w:tc>
        <w:tc>
          <w:tcPr>
            <w:tcW w:w="614" w:type="pct"/>
            <w:tcBorders>
              <w:top w:val="nil"/>
              <w:left w:val="nil"/>
              <w:bottom w:val="nil"/>
              <w:right w:val="nil"/>
            </w:tcBorders>
            <w:vAlign w:val="center"/>
          </w:tcPr>
          <w:p w:rsidR="003E0602" w:rsidRPr="00A41929" w:rsidRDefault="003E0602">
            <w:pPr>
              <w:jc w:val="center"/>
              <w:rPr>
                <w:sz w:val="22"/>
                <w:szCs w:val="22"/>
              </w:rPr>
            </w:pPr>
            <w:r w:rsidRPr="00A41929">
              <w:rPr>
                <w:sz w:val="22"/>
                <w:szCs w:val="22"/>
              </w:rPr>
              <w:t>1,08 b</w:t>
            </w:r>
          </w:p>
        </w:tc>
        <w:tc>
          <w:tcPr>
            <w:tcW w:w="566" w:type="pct"/>
            <w:tcBorders>
              <w:top w:val="nil"/>
              <w:left w:val="nil"/>
              <w:bottom w:val="nil"/>
              <w:right w:val="nil"/>
            </w:tcBorders>
            <w:vAlign w:val="center"/>
          </w:tcPr>
          <w:p w:rsidR="003E0602" w:rsidRPr="00A41929" w:rsidRDefault="003E0602">
            <w:pPr>
              <w:jc w:val="center"/>
              <w:rPr>
                <w:sz w:val="22"/>
                <w:szCs w:val="22"/>
              </w:rPr>
            </w:pPr>
            <w:r w:rsidRPr="00A41929">
              <w:rPr>
                <w:sz w:val="22"/>
                <w:szCs w:val="22"/>
              </w:rPr>
              <w:t>1,45 c</w:t>
            </w:r>
          </w:p>
        </w:tc>
      </w:tr>
      <w:tr w:rsidR="003E0602" w:rsidRPr="00A41929">
        <w:trPr>
          <w:trHeight w:val="420"/>
        </w:trPr>
        <w:tc>
          <w:tcPr>
            <w:tcW w:w="991" w:type="pct"/>
            <w:tcBorders>
              <w:top w:val="nil"/>
              <w:left w:val="nil"/>
              <w:bottom w:val="single" w:sz="18" w:space="0" w:color="339966"/>
              <w:right w:val="nil"/>
            </w:tcBorders>
            <w:vAlign w:val="center"/>
          </w:tcPr>
          <w:p w:rsidR="003E0602" w:rsidRPr="00A41929" w:rsidRDefault="003E0602" w:rsidP="005E78F1">
            <w:pPr>
              <w:jc w:val="both"/>
              <w:rPr>
                <w:sz w:val="22"/>
                <w:szCs w:val="22"/>
              </w:rPr>
            </w:pPr>
            <w:r w:rsidRPr="00A41929">
              <w:rPr>
                <w:sz w:val="22"/>
                <w:szCs w:val="22"/>
              </w:rPr>
              <w:t>30 minutos</w:t>
            </w:r>
          </w:p>
        </w:tc>
        <w:tc>
          <w:tcPr>
            <w:tcW w:w="1019" w:type="pct"/>
            <w:tcBorders>
              <w:top w:val="nil"/>
              <w:left w:val="nil"/>
              <w:bottom w:val="single" w:sz="18" w:space="0" w:color="339966"/>
              <w:right w:val="nil"/>
            </w:tcBorders>
            <w:vAlign w:val="center"/>
          </w:tcPr>
          <w:p w:rsidR="003E0602" w:rsidRPr="00A41929" w:rsidRDefault="003E0602">
            <w:pPr>
              <w:ind w:left="553"/>
              <w:rPr>
                <w:sz w:val="22"/>
                <w:szCs w:val="22"/>
              </w:rPr>
            </w:pPr>
            <w:r w:rsidRPr="00A41929">
              <w:rPr>
                <w:sz w:val="22"/>
                <w:szCs w:val="22"/>
              </w:rPr>
              <w:t>2,25 b</w:t>
            </w:r>
          </w:p>
        </w:tc>
        <w:tc>
          <w:tcPr>
            <w:tcW w:w="1020" w:type="pct"/>
            <w:tcBorders>
              <w:top w:val="nil"/>
              <w:left w:val="nil"/>
              <w:bottom w:val="single" w:sz="18" w:space="0" w:color="339966"/>
              <w:right w:val="nil"/>
            </w:tcBorders>
            <w:vAlign w:val="center"/>
          </w:tcPr>
          <w:p w:rsidR="003E0602" w:rsidRPr="00A41929" w:rsidRDefault="003E0602">
            <w:pPr>
              <w:ind w:left="553"/>
              <w:rPr>
                <w:sz w:val="22"/>
                <w:szCs w:val="22"/>
              </w:rPr>
            </w:pPr>
            <w:r w:rsidRPr="00A41929">
              <w:rPr>
                <w:sz w:val="22"/>
                <w:szCs w:val="22"/>
              </w:rPr>
              <w:t xml:space="preserve"> 0,24 b</w:t>
            </w:r>
          </w:p>
        </w:tc>
        <w:tc>
          <w:tcPr>
            <w:tcW w:w="790" w:type="pct"/>
            <w:tcBorders>
              <w:top w:val="nil"/>
              <w:left w:val="nil"/>
              <w:bottom w:val="single" w:sz="18" w:space="0" w:color="339966"/>
              <w:right w:val="nil"/>
            </w:tcBorders>
            <w:vAlign w:val="center"/>
          </w:tcPr>
          <w:p w:rsidR="003E0602" w:rsidRPr="00A41929" w:rsidRDefault="003E0602">
            <w:pPr>
              <w:jc w:val="center"/>
              <w:rPr>
                <w:sz w:val="22"/>
                <w:szCs w:val="22"/>
              </w:rPr>
            </w:pPr>
            <w:r w:rsidRPr="00A41929">
              <w:rPr>
                <w:sz w:val="22"/>
                <w:szCs w:val="22"/>
              </w:rPr>
              <w:t>2,01 b</w:t>
            </w:r>
          </w:p>
        </w:tc>
        <w:tc>
          <w:tcPr>
            <w:tcW w:w="614" w:type="pct"/>
            <w:tcBorders>
              <w:top w:val="nil"/>
              <w:left w:val="nil"/>
              <w:bottom w:val="single" w:sz="18" w:space="0" w:color="339966"/>
              <w:right w:val="nil"/>
            </w:tcBorders>
            <w:vAlign w:val="center"/>
          </w:tcPr>
          <w:p w:rsidR="003E0602" w:rsidRPr="00A41929" w:rsidRDefault="003E0602">
            <w:pPr>
              <w:jc w:val="center"/>
              <w:rPr>
                <w:sz w:val="22"/>
                <w:szCs w:val="22"/>
              </w:rPr>
            </w:pPr>
            <w:r w:rsidRPr="00A41929">
              <w:rPr>
                <w:sz w:val="22"/>
                <w:szCs w:val="22"/>
              </w:rPr>
              <w:t>1,12 b</w:t>
            </w:r>
          </w:p>
        </w:tc>
        <w:tc>
          <w:tcPr>
            <w:tcW w:w="566" w:type="pct"/>
            <w:tcBorders>
              <w:top w:val="nil"/>
              <w:left w:val="nil"/>
              <w:bottom w:val="single" w:sz="18" w:space="0" w:color="339966"/>
              <w:right w:val="nil"/>
            </w:tcBorders>
            <w:vAlign w:val="center"/>
          </w:tcPr>
          <w:p w:rsidR="003E0602" w:rsidRPr="00A41929" w:rsidRDefault="003E0602">
            <w:pPr>
              <w:jc w:val="center"/>
              <w:rPr>
                <w:sz w:val="22"/>
                <w:szCs w:val="22"/>
              </w:rPr>
            </w:pPr>
            <w:r w:rsidRPr="00A41929">
              <w:rPr>
                <w:sz w:val="22"/>
                <w:szCs w:val="22"/>
              </w:rPr>
              <w:t>2,14 b</w:t>
            </w:r>
          </w:p>
        </w:tc>
      </w:tr>
      <w:tr w:rsidR="003E0602" w:rsidRPr="00A41929">
        <w:trPr>
          <w:trHeight w:val="420"/>
        </w:trPr>
        <w:tc>
          <w:tcPr>
            <w:tcW w:w="991" w:type="pct"/>
            <w:tcBorders>
              <w:top w:val="single" w:sz="18" w:space="0" w:color="339966"/>
              <w:left w:val="nil"/>
              <w:bottom w:val="nil"/>
              <w:right w:val="nil"/>
            </w:tcBorders>
            <w:vAlign w:val="center"/>
          </w:tcPr>
          <w:p w:rsidR="003E0602" w:rsidRPr="00A41929" w:rsidRDefault="003E0602" w:rsidP="005E78F1">
            <w:pPr>
              <w:jc w:val="both"/>
              <w:rPr>
                <w:sz w:val="22"/>
                <w:szCs w:val="22"/>
              </w:rPr>
            </w:pPr>
            <w:r w:rsidRPr="00A41929">
              <w:rPr>
                <w:sz w:val="22"/>
                <w:szCs w:val="22"/>
              </w:rPr>
              <w:t>ES ±</w:t>
            </w:r>
          </w:p>
        </w:tc>
        <w:tc>
          <w:tcPr>
            <w:tcW w:w="1019" w:type="pct"/>
            <w:tcBorders>
              <w:top w:val="single" w:sz="18" w:space="0" w:color="339966"/>
              <w:left w:val="nil"/>
              <w:bottom w:val="nil"/>
              <w:right w:val="nil"/>
            </w:tcBorders>
            <w:vAlign w:val="center"/>
          </w:tcPr>
          <w:p w:rsidR="003E0602" w:rsidRPr="00A41929" w:rsidRDefault="003E0602">
            <w:pPr>
              <w:rPr>
                <w:sz w:val="22"/>
                <w:szCs w:val="22"/>
              </w:rPr>
            </w:pPr>
            <w:r w:rsidRPr="00A41929">
              <w:rPr>
                <w:sz w:val="22"/>
                <w:szCs w:val="22"/>
              </w:rPr>
              <w:t xml:space="preserve">         0,12 *</w:t>
            </w:r>
          </w:p>
        </w:tc>
        <w:tc>
          <w:tcPr>
            <w:tcW w:w="1020" w:type="pct"/>
            <w:tcBorders>
              <w:top w:val="single" w:sz="18" w:space="0" w:color="339966"/>
              <w:left w:val="nil"/>
              <w:bottom w:val="nil"/>
              <w:right w:val="nil"/>
            </w:tcBorders>
            <w:vAlign w:val="center"/>
          </w:tcPr>
          <w:p w:rsidR="003E0602" w:rsidRPr="00A41929" w:rsidRDefault="003E0602">
            <w:pPr>
              <w:rPr>
                <w:sz w:val="22"/>
                <w:szCs w:val="22"/>
              </w:rPr>
            </w:pPr>
            <w:r w:rsidRPr="00A41929">
              <w:rPr>
                <w:sz w:val="22"/>
                <w:szCs w:val="22"/>
              </w:rPr>
              <w:t xml:space="preserve">          0,01 *</w:t>
            </w:r>
          </w:p>
        </w:tc>
        <w:tc>
          <w:tcPr>
            <w:tcW w:w="790" w:type="pct"/>
            <w:tcBorders>
              <w:top w:val="single" w:sz="18" w:space="0" w:color="339966"/>
              <w:left w:val="nil"/>
              <w:bottom w:val="nil"/>
              <w:right w:val="nil"/>
            </w:tcBorders>
            <w:vAlign w:val="center"/>
          </w:tcPr>
          <w:p w:rsidR="003E0602" w:rsidRPr="00A41929" w:rsidRDefault="003E0602">
            <w:pPr>
              <w:jc w:val="center"/>
              <w:rPr>
                <w:sz w:val="22"/>
                <w:szCs w:val="22"/>
              </w:rPr>
            </w:pPr>
            <w:r w:rsidRPr="00A41929">
              <w:rPr>
                <w:sz w:val="22"/>
                <w:szCs w:val="22"/>
              </w:rPr>
              <w:t>0,09 *</w:t>
            </w:r>
          </w:p>
        </w:tc>
        <w:tc>
          <w:tcPr>
            <w:tcW w:w="614" w:type="pct"/>
            <w:tcBorders>
              <w:top w:val="single" w:sz="18" w:space="0" w:color="339966"/>
              <w:left w:val="nil"/>
              <w:bottom w:val="nil"/>
              <w:right w:val="nil"/>
            </w:tcBorders>
            <w:vAlign w:val="center"/>
          </w:tcPr>
          <w:p w:rsidR="003E0602" w:rsidRPr="00A41929" w:rsidRDefault="003E0602">
            <w:pPr>
              <w:rPr>
                <w:sz w:val="22"/>
                <w:szCs w:val="22"/>
              </w:rPr>
            </w:pPr>
            <w:r w:rsidRPr="00A41929">
              <w:rPr>
                <w:sz w:val="22"/>
                <w:szCs w:val="22"/>
              </w:rPr>
              <w:t xml:space="preserve">  0,14*</w:t>
            </w:r>
          </w:p>
        </w:tc>
        <w:tc>
          <w:tcPr>
            <w:tcW w:w="566" w:type="pct"/>
            <w:tcBorders>
              <w:top w:val="single" w:sz="18" w:space="0" w:color="339966"/>
              <w:left w:val="nil"/>
              <w:bottom w:val="nil"/>
              <w:right w:val="nil"/>
            </w:tcBorders>
            <w:vAlign w:val="center"/>
          </w:tcPr>
          <w:p w:rsidR="003E0602" w:rsidRPr="00A41929" w:rsidRDefault="003E0602">
            <w:pPr>
              <w:jc w:val="center"/>
              <w:rPr>
                <w:sz w:val="22"/>
                <w:szCs w:val="22"/>
              </w:rPr>
            </w:pPr>
            <w:r w:rsidRPr="00A41929">
              <w:rPr>
                <w:sz w:val="22"/>
                <w:szCs w:val="22"/>
              </w:rPr>
              <w:t>0,10 *</w:t>
            </w:r>
          </w:p>
        </w:tc>
      </w:tr>
      <w:tr w:rsidR="003E0602" w:rsidRPr="00A41929">
        <w:trPr>
          <w:trHeight w:val="420"/>
        </w:trPr>
        <w:tc>
          <w:tcPr>
            <w:tcW w:w="991" w:type="pct"/>
            <w:tcBorders>
              <w:top w:val="nil"/>
              <w:left w:val="nil"/>
              <w:bottom w:val="single" w:sz="18" w:space="0" w:color="339966"/>
              <w:right w:val="nil"/>
            </w:tcBorders>
            <w:vAlign w:val="center"/>
          </w:tcPr>
          <w:p w:rsidR="003E0602" w:rsidRPr="00A41929" w:rsidRDefault="003E0602" w:rsidP="005E78F1">
            <w:pPr>
              <w:ind w:right="-6"/>
              <w:jc w:val="both"/>
              <w:rPr>
                <w:sz w:val="22"/>
                <w:szCs w:val="22"/>
              </w:rPr>
            </w:pPr>
            <w:r w:rsidRPr="00A41929">
              <w:rPr>
                <w:sz w:val="22"/>
                <w:szCs w:val="22"/>
              </w:rPr>
              <w:t>CV (%)</w:t>
            </w:r>
          </w:p>
        </w:tc>
        <w:tc>
          <w:tcPr>
            <w:tcW w:w="1019" w:type="pct"/>
            <w:tcBorders>
              <w:top w:val="nil"/>
              <w:left w:val="nil"/>
              <w:bottom w:val="single" w:sz="18" w:space="0" w:color="339966"/>
              <w:right w:val="nil"/>
            </w:tcBorders>
            <w:vAlign w:val="center"/>
          </w:tcPr>
          <w:p w:rsidR="003E0602" w:rsidRPr="00A41929" w:rsidRDefault="003E0602">
            <w:pPr>
              <w:tabs>
                <w:tab w:val="left" w:pos="462"/>
                <w:tab w:val="left" w:pos="508"/>
                <w:tab w:val="left" w:pos="638"/>
                <w:tab w:val="left" w:pos="846"/>
              </w:tabs>
              <w:rPr>
                <w:sz w:val="22"/>
                <w:szCs w:val="22"/>
              </w:rPr>
            </w:pPr>
            <w:r w:rsidRPr="00A41929">
              <w:rPr>
                <w:sz w:val="22"/>
                <w:szCs w:val="22"/>
              </w:rPr>
              <w:t xml:space="preserve">         8,86</w:t>
            </w:r>
          </w:p>
        </w:tc>
        <w:tc>
          <w:tcPr>
            <w:tcW w:w="1020" w:type="pct"/>
            <w:tcBorders>
              <w:top w:val="nil"/>
              <w:left w:val="nil"/>
              <w:bottom w:val="single" w:sz="18" w:space="0" w:color="339966"/>
              <w:right w:val="nil"/>
            </w:tcBorders>
            <w:vAlign w:val="center"/>
          </w:tcPr>
          <w:p w:rsidR="003E0602" w:rsidRPr="00A41929" w:rsidRDefault="003E0602">
            <w:pPr>
              <w:tabs>
                <w:tab w:val="left" w:pos="190"/>
                <w:tab w:val="left" w:pos="462"/>
                <w:tab w:val="left" w:pos="638"/>
                <w:tab w:val="left" w:pos="846"/>
              </w:tabs>
              <w:rPr>
                <w:sz w:val="22"/>
                <w:szCs w:val="22"/>
              </w:rPr>
            </w:pPr>
            <w:r w:rsidRPr="00A41929">
              <w:rPr>
                <w:sz w:val="22"/>
                <w:szCs w:val="22"/>
              </w:rPr>
              <w:t xml:space="preserve">        10,40</w:t>
            </w:r>
          </w:p>
        </w:tc>
        <w:tc>
          <w:tcPr>
            <w:tcW w:w="790" w:type="pct"/>
            <w:tcBorders>
              <w:top w:val="nil"/>
              <w:left w:val="nil"/>
              <w:bottom w:val="single" w:sz="18" w:space="0" w:color="339966"/>
              <w:right w:val="nil"/>
            </w:tcBorders>
            <w:vAlign w:val="center"/>
          </w:tcPr>
          <w:p w:rsidR="003E0602" w:rsidRPr="00A41929" w:rsidRDefault="003E0602">
            <w:pPr>
              <w:rPr>
                <w:sz w:val="22"/>
                <w:szCs w:val="22"/>
              </w:rPr>
            </w:pPr>
            <w:r w:rsidRPr="00A41929">
              <w:rPr>
                <w:sz w:val="22"/>
                <w:szCs w:val="22"/>
              </w:rPr>
              <w:t xml:space="preserve">   11,24</w:t>
            </w:r>
          </w:p>
        </w:tc>
        <w:tc>
          <w:tcPr>
            <w:tcW w:w="614" w:type="pct"/>
            <w:tcBorders>
              <w:top w:val="nil"/>
              <w:left w:val="nil"/>
              <w:bottom w:val="single" w:sz="18" w:space="0" w:color="339966"/>
              <w:right w:val="nil"/>
            </w:tcBorders>
            <w:vAlign w:val="center"/>
          </w:tcPr>
          <w:p w:rsidR="003E0602" w:rsidRPr="00A41929" w:rsidRDefault="003E0602">
            <w:pPr>
              <w:tabs>
                <w:tab w:val="left" w:pos="633"/>
              </w:tabs>
              <w:rPr>
                <w:sz w:val="22"/>
                <w:szCs w:val="22"/>
              </w:rPr>
            </w:pPr>
            <w:r w:rsidRPr="00A41929">
              <w:rPr>
                <w:sz w:val="22"/>
                <w:szCs w:val="22"/>
              </w:rPr>
              <w:t>12,56</w:t>
            </w:r>
          </w:p>
        </w:tc>
        <w:tc>
          <w:tcPr>
            <w:tcW w:w="566" w:type="pct"/>
            <w:tcBorders>
              <w:top w:val="nil"/>
              <w:left w:val="nil"/>
              <w:bottom w:val="single" w:sz="18" w:space="0" w:color="339966"/>
              <w:right w:val="nil"/>
            </w:tcBorders>
            <w:vAlign w:val="center"/>
          </w:tcPr>
          <w:p w:rsidR="003E0602" w:rsidRPr="00A41929" w:rsidRDefault="003E0602">
            <w:pPr>
              <w:tabs>
                <w:tab w:val="left" w:pos="542"/>
              </w:tabs>
              <w:rPr>
                <w:sz w:val="22"/>
                <w:szCs w:val="22"/>
              </w:rPr>
            </w:pPr>
            <w:r w:rsidRPr="00A41929">
              <w:rPr>
                <w:sz w:val="22"/>
                <w:szCs w:val="22"/>
              </w:rPr>
              <w:t>13,36</w:t>
            </w:r>
          </w:p>
        </w:tc>
      </w:tr>
    </w:tbl>
    <w:p w:rsidR="003E0602" w:rsidRPr="00A41929" w:rsidRDefault="003E0602">
      <w:pPr>
        <w:pStyle w:val="Textoindependiente3"/>
        <w:spacing w:line="240" w:lineRule="auto"/>
        <w:jc w:val="center"/>
        <w:rPr>
          <w:i/>
          <w:iCs/>
          <w:sz w:val="22"/>
          <w:szCs w:val="22"/>
        </w:rPr>
      </w:pPr>
      <w:r w:rsidRPr="00A41929">
        <w:rPr>
          <w:i/>
          <w:iCs/>
          <w:sz w:val="22"/>
          <w:szCs w:val="22"/>
        </w:rPr>
        <w:t>Letras desiguales dentro de cada columna difieren para p</w:t>
      </w:r>
      <w:r w:rsidRPr="00A41929">
        <w:rPr>
          <w:i/>
          <w:iCs/>
          <w:sz w:val="22"/>
          <w:szCs w:val="22"/>
        </w:rPr>
        <w:sym w:font="Symbol" w:char="F03C"/>
      </w:r>
      <w:r w:rsidRPr="00A41929">
        <w:rPr>
          <w:i/>
          <w:iCs/>
          <w:sz w:val="22"/>
          <w:szCs w:val="22"/>
        </w:rPr>
        <w:t xml:space="preserve">0,05 según prueba de </w:t>
      </w:r>
      <w:proofErr w:type="spellStart"/>
      <w:r w:rsidRPr="00A41929">
        <w:rPr>
          <w:i/>
          <w:iCs/>
          <w:sz w:val="22"/>
          <w:szCs w:val="22"/>
        </w:rPr>
        <w:t>Tukey</w:t>
      </w:r>
      <w:proofErr w:type="spellEnd"/>
      <w:r w:rsidRPr="00A41929">
        <w:rPr>
          <w:i/>
          <w:iCs/>
          <w:sz w:val="22"/>
          <w:szCs w:val="22"/>
        </w:rPr>
        <w:t>.</w:t>
      </w:r>
    </w:p>
    <w:p w:rsidR="003E0602" w:rsidRPr="00A41929" w:rsidRDefault="003E0602">
      <w:pPr>
        <w:pStyle w:val="Textoindependiente"/>
        <w:spacing w:after="0"/>
        <w:jc w:val="both"/>
        <w:rPr>
          <w:sz w:val="22"/>
          <w:szCs w:val="22"/>
        </w:rPr>
      </w:pPr>
    </w:p>
    <w:p w:rsidR="003E0602" w:rsidRPr="00A41929" w:rsidRDefault="003E0602">
      <w:pPr>
        <w:pStyle w:val="Textoindependiente"/>
        <w:spacing w:after="0"/>
        <w:jc w:val="both"/>
        <w:rPr>
          <w:sz w:val="22"/>
          <w:szCs w:val="22"/>
        </w:rPr>
      </w:pPr>
      <w:r w:rsidRPr="00A41929">
        <w:rPr>
          <w:sz w:val="22"/>
          <w:szCs w:val="22"/>
        </w:rPr>
        <w:t xml:space="preserve">Investigadores como </w:t>
      </w:r>
      <w:proofErr w:type="spellStart"/>
      <w:r w:rsidRPr="00A41929">
        <w:rPr>
          <w:sz w:val="22"/>
          <w:szCs w:val="22"/>
        </w:rPr>
        <w:t>Martre</w:t>
      </w:r>
      <w:proofErr w:type="spellEnd"/>
      <w:r w:rsidRPr="00A41929">
        <w:rPr>
          <w:sz w:val="22"/>
          <w:szCs w:val="22"/>
        </w:rPr>
        <w:t xml:space="preserve"> </w:t>
      </w:r>
      <w:r w:rsidRPr="00A41929">
        <w:rPr>
          <w:i/>
          <w:sz w:val="22"/>
          <w:szCs w:val="22"/>
        </w:rPr>
        <w:t>et al</w:t>
      </w:r>
      <w:r w:rsidRPr="00A41929">
        <w:rPr>
          <w:sz w:val="22"/>
          <w:szCs w:val="22"/>
        </w:rPr>
        <w:t xml:space="preserve">. (2001) han descrito que prolongados períodos de inmersión afectan el desarrollo del material vegetal a causa de un incremento de la </w:t>
      </w:r>
      <w:proofErr w:type="spellStart"/>
      <w:r w:rsidRPr="00A41929">
        <w:rPr>
          <w:sz w:val="22"/>
          <w:szCs w:val="22"/>
        </w:rPr>
        <w:t>hiperhidricidad</w:t>
      </w:r>
      <w:proofErr w:type="spellEnd"/>
      <w:r w:rsidRPr="00A41929">
        <w:rPr>
          <w:sz w:val="22"/>
          <w:szCs w:val="22"/>
        </w:rPr>
        <w:t xml:space="preserve"> y estrés </w:t>
      </w:r>
      <w:proofErr w:type="spellStart"/>
      <w:r w:rsidRPr="00A41929">
        <w:rPr>
          <w:sz w:val="22"/>
          <w:szCs w:val="22"/>
        </w:rPr>
        <w:lastRenderedPageBreak/>
        <w:t>oxidativo</w:t>
      </w:r>
      <w:proofErr w:type="spellEnd"/>
      <w:r w:rsidRPr="00A41929">
        <w:rPr>
          <w:sz w:val="22"/>
          <w:szCs w:val="22"/>
        </w:rPr>
        <w:t xml:space="preserve">. </w:t>
      </w:r>
      <w:proofErr w:type="spellStart"/>
      <w:r w:rsidRPr="00A41929">
        <w:rPr>
          <w:sz w:val="22"/>
          <w:szCs w:val="22"/>
        </w:rPr>
        <w:t>Roels</w:t>
      </w:r>
      <w:proofErr w:type="spellEnd"/>
      <w:r w:rsidRPr="00A41929">
        <w:rPr>
          <w:sz w:val="22"/>
          <w:szCs w:val="22"/>
        </w:rPr>
        <w:t xml:space="preserve"> </w:t>
      </w:r>
      <w:r w:rsidRPr="00A41929">
        <w:rPr>
          <w:i/>
          <w:sz w:val="22"/>
          <w:szCs w:val="22"/>
        </w:rPr>
        <w:t>et al</w:t>
      </w:r>
      <w:r w:rsidRPr="00A41929">
        <w:rPr>
          <w:sz w:val="22"/>
          <w:szCs w:val="22"/>
        </w:rPr>
        <w:t xml:space="preserve">. (2005) cuando incrementaron el tiempo de inmersión de 12 minutos a 22 minutos de inmersión observaron que los brotes presentaron </w:t>
      </w:r>
      <w:proofErr w:type="spellStart"/>
      <w:r w:rsidRPr="00A41929">
        <w:rPr>
          <w:sz w:val="22"/>
          <w:szCs w:val="22"/>
        </w:rPr>
        <w:t>hiperhidricidad</w:t>
      </w:r>
      <w:proofErr w:type="spellEnd"/>
      <w:r w:rsidRPr="00A41929">
        <w:rPr>
          <w:sz w:val="22"/>
          <w:szCs w:val="22"/>
        </w:rPr>
        <w:t>, inferior longitud y menor número de hojas.</w:t>
      </w:r>
    </w:p>
    <w:p w:rsidR="003E0602" w:rsidRPr="00A41929" w:rsidRDefault="003E0602">
      <w:pPr>
        <w:pStyle w:val="Textoindependiente"/>
        <w:spacing w:after="0"/>
        <w:jc w:val="both"/>
        <w:rPr>
          <w:sz w:val="22"/>
          <w:szCs w:val="22"/>
        </w:rPr>
      </w:pPr>
    </w:p>
    <w:p w:rsidR="003E0602" w:rsidRPr="00A41929" w:rsidRDefault="003E0602">
      <w:pPr>
        <w:jc w:val="both"/>
        <w:rPr>
          <w:sz w:val="22"/>
          <w:szCs w:val="22"/>
          <w:lang w:val="es-MX"/>
        </w:rPr>
      </w:pPr>
      <w:r w:rsidRPr="00A41929">
        <w:rPr>
          <w:sz w:val="22"/>
          <w:szCs w:val="22"/>
          <w:lang w:val="es-MX"/>
        </w:rPr>
        <w:t xml:space="preserve">El tiempo de inmersión es considerado un factor importante en la respuesta </w:t>
      </w:r>
      <w:proofErr w:type="spellStart"/>
      <w:r w:rsidRPr="00A41929">
        <w:rPr>
          <w:sz w:val="22"/>
          <w:szCs w:val="22"/>
          <w:lang w:val="es-MX"/>
        </w:rPr>
        <w:t>morfogenética</w:t>
      </w:r>
      <w:proofErr w:type="spellEnd"/>
      <w:r w:rsidRPr="00A41929">
        <w:rPr>
          <w:sz w:val="22"/>
          <w:szCs w:val="22"/>
          <w:lang w:val="es-MX"/>
        </w:rPr>
        <w:t xml:space="preserve"> del material vegetal a </w:t>
      </w:r>
      <w:proofErr w:type="spellStart"/>
      <w:r w:rsidRPr="00A41929">
        <w:rPr>
          <w:sz w:val="22"/>
          <w:szCs w:val="22"/>
          <w:lang w:val="es-MX"/>
        </w:rPr>
        <w:t>micropropagar</w:t>
      </w:r>
      <w:proofErr w:type="spellEnd"/>
      <w:r w:rsidRPr="00A41929">
        <w:rPr>
          <w:sz w:val="22"/>
          <w:szCs w:val="22"/>
          <w:lang w:val="es-MX"/>
        </w:rPr>
        <w:t xml:space="preserve">. Al respecto, Escalona </w:t>
      </w:r>
      <w:r w:rsidRPr="00A41929">
        <w:rPr>
          <w:i/>
          <w:sz w:val="22"/>
          <w:szCs w:val="22"/>
          <w:lang w:val="es-MX"/>
        </w:rPr>
        <w:t>et al</w:t>
      </w:r>
      <w:r w:rsidRPr="00A41929">
        <w:rPr>
          <w:sz w:val="22"/>
          <w:szCs w:val="22"/>
          <w:lang w:val="es-MX"/>
        </w:rPr>
        <w:t>. (1999) en el cultivo de la piña (</w:t>
      </w:r>
      <w:proofErr w:type="spellStart"/>
      <w:r w:rsidRPr="00A41929">
        <w:rPr>
          <w:i/>
          <w:sz w:val="22"/>
          <w:szCs w:val="22"/>
          <w:lang w:val="es-MX"/>
        </w:rPr>
        <w:t>Ananas</w:t>
      </w:r>
      <w:proofErr w:type="spellEnd"/>
      <w:r w:rsidRPr="00A41929">
        <w:rPr>
          <w:i/>
          <w:sz w:val="22"/>
          <w:szCs w:val="22"/>
          <w:lang w:val="es-MX"/>
        </w:rPr>
        <w:t xml:space="preserve"> </w:t>
      </w:r>
      <w:proofErr w:type="spellStart"/>
      <w:r w:rsidRPr="00A41929">
        <w:rPr>
          <w:i/>
          <w:sz w:val="22"/>
          <w:szCs w:val="22"/>
          <w:lang w:val="es-MX"/>
        </w:rPr>
        <w:t>comosus</w:t>
      </w:r>
      <w:proofErr w:type="spellEnd"/>
      <w:r w:rsidRPr="00A41929">
        <w:rPr>
          <w:sz w:val="22"/>
          <w:szCs w:val="22"/>
          <w:lang w:val="es-MX"/>
        </w:rPr>
        <w:t xml:space="preserve"> (L) </w:t>
      </w:r>
      <w:proofErr w:type="spellStart"/>
      <w:r w:rsidRPr="00A41929">
        <w:rPr>
          <w:sz w:val="22"/>
          <w:szCs w:val="22"/>
          <w:lang w:val="es-MX"/>
        </w:rPr>
        <w:t>Merr</w:t>
      </w:r>
      <w:proofErr w:type="spellEnd"/>
      <w:r w:rsidRPr="00A41929">
        <w:rPr>
          <w:sz w:val="22"/>
          <w:szCs w:val="22"/>
          <w:lang w:val="es-MX"/>
        </w:rPr>
        <w:t xml:space="preserve">.) encontró que con un tiempo de inmersión de dos minutos/hora y una frecuencia de tres horas se incrementó el coeficiente de multiplicación y por lo tanto se facilitó una mayor eficiencia en la asimilación de nutrientes por los </w:t>
      </w:r>
      <w:proofErr w:type="spellStart"/>
      <w:r w:rsidRPr="00A41929">
        <w:rPr>
          <w:sz w:val="22"/>
          <w:szCs w:val="22"/>
          <w:lang w:val="es-MX"/>
        </w:rPr>
        <w:t>explantes</w:t>
      </w:r>
      <w:proofErr w:type="spellEnd"/>
      <w:r w:rsidRPr="00A41929">
        <w:rPr>
          <w:sz w:val="22"/>
          <w:szCs w:val="22"/>
          <w:lang w:val="es-MX"/>
        </w:rPr>
        <w:t>.</w:t>
      </w:r>
    </w:p>
    <w:p w:rsidR="003E0602" w:rsidRPr="00A41929" w:rsidRDefault="003E0602">
      <w:pPr>
        <w:jc w:val="both"/>
        <w:rPr>
          <w:sz w:val="22"/>
          <w:szCs w:val="22"/>
          <w:lang w:val="es-MX"/>
        </w:rPr>
      </w:pPr>
    </w:p>
    <w:p w:rsidR="003E0602" w:rsidRPr="00A41929" w:rsidRDefault="003E0602">
      <w:pPr>
        <w:jc w:val="both"/>
        <w:rPr>
          <w:sz w:val="22"/>
          <w:szCs w:val="22"/>
          <w:lang w:val="es-MX"/>
        </w:rPr>
      </w:pPr>
      <w:proofErr w:type="spellStart"/>
      <w:r w:rsidRPr="00A41929">
        <w:rPr>
          <w:sz w:val="22"/>
          <w:szCs w:val="22"/>
          <w:lang w:val="es-MX"/>
        </w:rPr>
        <w:t>Dottin</w:t>
      </w:r>
      <w:proofErr w:type="spellEnd"/>
      <w:r w:rsidRPr="00A41929">
        <w:rPr>
          <w:sz w:val="22"/>
          <w:szCs w:val="22"/>
          <w:lang w:val="es-MX"/>
        </w:rPr>
        <w:t xml:space="preserve"> (2000) con el empleo de siete minutos de inmersión de los </w:t>
      </w:r>
      <w:proofErr w:type="spellStart"/>
      <w:r w:rsidRPr="00A41929">
        <w:rPr>
          <w:sz w:val="22"/>
          <w:szCs w:val="22"/>
          <w:lang w:val="es-MX"/>
        </w:rPr>
        <w:t>explantes</w:t>
      </w:r>
      <w:proofErr w:type="spellEnd"/>
      <w:r w:rsidRPr="00A41929">
        <w:rPr>
          <w:sz w:val="22"/>
          <w:szCs w:val="22"/>
          <w:lang w:val="es-MX"/>
        </w:rPr>
        <w:t xml:space="preserve"> obtuvo un elevado coeficiente de multiplicación (13,80) en el cultivo de la malanga (</w:t>
      </w:r>
      <w:proofErr w:type="spellStart"/>
      <w:r w:rsidRPr="00A41929">
        <w:rPr>
          <w:i/>
          <w:sz w:val="22"/>
          <w:szCs w:val="22"/>
          <w:lang w:val="es-MX"/>
        </w:rPr>
        <w:t>Xanthosoma</w:t>
      </w:r>
      <w:proofErr w:type="spellEnd"/>
      <w:r w:rsidRPr="00A41929">
        <w:rPr>
          <w:i/>
          <w:sz w:val="22"/>
          <w:szCs w:val="22"/>
          <w:lang w:val="es-MX"/>
        </w:rPr>
        <w:t xml:space="preserve"> </w:t>
      </w:r>
      <w:proofErr w:type="spellStart"/>
      <w:r w:rsidRPr="00A41929">
        <w:rPr>
          <w:i/>
          <w:sz w:val="22"/>
          <w:szCs w:val="22"/>
          <w:lang w:val="es-MX"/>
        </w:rPr>
        <w:t>sagittifolium</w:t>
      </w:r>
      <w:proofErr w:type="spellEnd"/>
      <w:r w:rsidRPr="00A41929">
        <w:rPr>
          <w:i/>
          <w:sz w:val="22"/>
          <w:szCs w:val="22"/>
          <w:lang w:val="es-MX"/>
        </w:rPr>
        <w:t xml:space="preserve"> </w:t>
      </w:r>
      <w:r w:rsidRPr="00A41929">
        <w:rPr>
          <w:sz w:val="22"/>
          <w:szCs w:val="22"/>
          <w:lang w:val="es-MX"/>
        </w:rPr>
        <w:t xml:space="preserve">(L) </w:t>
      </w:r>
      <w:proofErr w:type="spellStart"/>
      <w:r w:rsidRPr="00A41929">
        <w:rPr>
          <w:sz w:val="22"/>
          <w:szCs w:val="22"/>
          <w:lang w:val="es-MX"/>
        </w:rPr>
        <w:t>Schott</w:t>
      </w:r>
      <w:proofErr w:type="spellEnd"/>
      <w:r w:rsidRPr="00A41929">
        <w:rPr>
          <w:sz w:val="22"/>
          <w:szCs w:val="22"/>
          <w:lang w:val="es-MX"/>
        </w:rPr>
        <w:t>) con respecto al clon de Malanga INIVITMC-2001 (10,45) en Sistema de Inmersión Temporal.</w:t>
      </w:r>
    </w:p>
    <w:p w:rsidR="003E0602" w:rsidRPr="00A41929" w:rsidRDefault="003E0602">
      <w:pPr>
        <w:jc w:val="both"/>
        <w:rPr>
          <w:sz w:val="22"/>
          <w:szCs w:val="22"/>
          <w:lang w:val="es-MX"/>
        </w:rPr>
      </w:pPr>
    </w:p>
    <w:p w:rsidR="003E0602" w:rsidRPr="00A41929" w:rsidRDefault="003E0602">
      <w:pPr>
        <w:pStyle w:val="Textoindependiente"/>
        <w:spacing w:after="0"/>
        <w:jc w:val="both"/>
        <w:rPr>
          <w:rFonts w:cs="Arial"/>
          <w:sz w:val="22"/>
          <w:szCs w:val="22"/>
        </w:rPr>
      </w:pPr>
      <w:r w:rsidRPr="00A41929">
        <w:rPr>
          <w:sz w:val="22"/>
          <w:szCs w:val="22"/>
        </w:rPr>
        <w:t xml:space="preserve">Lo anterior demuestra la necesidad de determinar el tiempo de inmersión para cada una de las especies y fases de cultivo en la </w:t>
      </w:r>
      <w:proofErr w:type="spellStart"/>
      <w:r w:rsidRPr="00A41929">
        <w:rPr>
          <w:sz w:val="22"/>
          <w:szCs w:val="22"/>
        </w:rPr>
        <w:t>micropropagación</w:t>
      </w:r>
      <w:proofErr w:type="spellEnd"/>
      <w:r w:rsidRPr="00A41929">
        <w:rPr>
          <w:sz w:val="22"/>
          <w:szCs w:val="22"/>
        </w:rPr>
        <w:t>, pues del ajuste del tiempo de inmersión depende en gran medida la eficiencia del empleo de los Sistemas de Inmersión Temporal (</w:t>
      </w:r>
      <w:proofErr w:type="spellStart"/>
      <w:r w:rsidRPr="00A41929">
        <w:rPr>
          <w:sz w:val="22"/>
          <w:szCs w:val="22"/>
        </w:rPr>
        <w:t>Berthouly</w:t>
      </w:r>
      <w:proofErr w:type="spellEnd"/>
      <w:r w:rsidRPr="00A41929">
        <w:rPr>
          <w:sz w:val="22"/>
          <w:szCs w:val="22"/>
        </w:rPr>
        <w:t xml:space="preserve"> y </w:t>
      </w:r>
      <w:proofErr w:type="spellStart"/>
      <w:r w:rsidRPr="00A41929">
        <w:rPr>
          <w:sz w:val="22"/>
          <w:szCs w:val="22"/>
        </w:rPr>
        <w:t>Etienne</w:t>
      </w:r>
      <w:proofErr w:type="spellEnd"/>
      <w:r w:rsidRPr="00A41929">
        <w:rPr>
          <w:sz w:val="22"/>
          <w:szCs w:val="22"/>
        </w:rPr>
        <w:t>, 2005; Escalona, 2006).</w:t>
      </w:r>
    </w:p>
    <w:p w:rsidR="003E0602" w:rsidRPr="00A41929" w:rsidRDefault="003E0602" w:rsidP="005E78F1">
      <w:pPr>
        <w:pStyle w:val="Textoindependiente"/>
        <w:spacing w:after="0"/>
        <w:rPr>
          <w:b/>
          <w:i/>
          <w:sz w:val="22"/>
          <w:szCs w:val="22"/>
        </w:rPr>
      </w:pPr>
    </w:p>
    <w:p w:rsidR="003E0602" w:rsidRPr="00A41929" w:rsidRDefault="003E0602">
      <w:pPr>
        <w:pStyle w:val="Textoindependiente"/>
        <w:spacing w:after="0"/>
        <w:rPr>
          <w:b/>
          <w:i/>
          <w:sz w:val="22"/>
          <w:szCs w:val="22"/>
        </w:rPr>
      </w:pPr>
      <w:r w:rsidRPr="00A41929">
        <w:rPr>
          <w:b/>
          <w:i/>
          <w:sz w:val="22"/>
          <w:szCs w:val="22"/>
        </w:rPr>
        <w:t>Efecto de la  frecuencia de inmersión</w:t>
      </w:r>
    </w:p>
    <w:p w:rsidR="003E0602" w:rsidRPr="00A41929" w:rsidRDefault="003E0602">
      <w:pPr>
        <w:autoSpaceDE w:val="0"/>
        <w:autoSpaceDN w:val="0"/>
        <w:adjustRightInd w:val="0"/>
        <w:jc w:val="both"/>
        <w:rPr>
          <w:sz w:val="22"/>
          <w:szCs w:val="22"/>
        </w:rPr>
      </w:pPr>
      <w:r w:rsidRPr="00A41929">
        <w:rPr>
          <w:sz w:val="22"/>
          <w:szCs w:val="22"/>
        </w:rPr>
        <w:t xml:space="preserve">Al utilizar una frecuencia de 3 horas y 10 minutos de inmersión se obtienen los máximos valores para el coeficiente de multiplicación (5,90), diámetro del </w:t>
      </w:r>
      <w:proofErr w:type="spellStart"/>
      <w:r w:rsidRPr="00A41929">
        <w:rPr>
          <w:sz w:val="22"/>
          <w:szCs w:val="22"/>
        </w:rPr>
        <w:t>pseudotallo</w:t>
      </w:r>
      <w:proofErr w:type="spellEnd"/>
      <w:r w:rsidRPr="00A41929">
        <w:rPr>
          <w:sz w:val="22"/>
          <w:szCs w:val="22"/>
        </w:rPr>
        <w:t xml:space="preserve"> (0,62), número de hojas activas (3,54) y altura del </w:t>
      </w:r>
      <w:proofErr w:type="spellStart"/>
      <w:r w:rsidRPr="00A41929">
        <w:rPr>
          <w:sz w:val="22"/>
          <w:szCs w:val="22"/>
        </w:rPr>
        <w:t>explante</w:t>
      </w:r>
      <w:proofErr w:type="spellEnd"/>
      <w:r w:rsidRPr="00A41929">
        <w:rPr>
          <w:sz w:val="22"/>
          <w:szCs w:val="22"/>
        </w:rPr>
        <w:t xml:space="preserve"> (3,65) con diferencias significativas respecto al resto de los tratamientos excepto con el grado de oxidación donde se obtiene el menor valor (2,14)</w:t>
      </w:r>
      <w:r w:rsidRPr="00A41929">
        <w:rPr>
          <w:rFonts w:ascii="Calibri-Identity-H" w:hAnsi="Calibri-Identity-H" w:cs="Calibri-Identity-H"/>
          <w:sz w:val="22"/>
          <w:szCs w:val="22"/>
        </w:rPr>
        <w:t xml:space="preserve"> </w:t>
      </w:r>
      <w:r w:rsidRPr="00A41929">
        <w:rPr>
          <w:sz w:val="22"/>
          <w:szCs w:val="22"/>
        </w:rPr>
        <w:t xml:space="preserve">sin la presencia de brotes </w:t>
      </w:r>
      <w:proofErr w:type="spellStart"/>
      <w:r w:rsidRPr="00A41929">
        <w:rPr>
          <w:sz w:val="22"/>
          <w:szCs w:val="22"/>
        </w:rPr>
        <w:t>hiperhidratados</w:t>
      </w:r>
      <w:proofErr w:type="spellEnd"/>
      <w:r w:rsidRPr="00A41929">
        <w:rPr>
          <w:sz w:val="22"/>
          <w:szCs w:val="22"/>
        </w:rPr>
        <w:t xml:space="preserve"> (tabla 2). </w:t>
      </w:r>
    </w:p>
    <w:p w:rsidR="003E0602" w:rsidRPr="00A41929" w:rsidRDefault="003E0602">
      <w:pPr>
        <w:autoSpaceDE w:val="0"/>
        <w:autoSpaceDN w:val="0"/>
        <w:adjustRightInd w:val="0"/>
        <w:jc w:val="both"/>
        <w:rPr>
          <w:rFonts w:ascii="Calibri-Identity-H" w:hAnsi="Calibri-Identity-H" w:cs="Calibri-Identity-H"/>
          <w:sz w:val="22"/>
          <w:szCs w:val="22"/>
        </w:rPr>
      </w:pPr>
    </w:p>
    <w:p w:rsidR="003E0602" w:rsidRPr="00A41929" w:rsidRDefault="003E0602">
      <w:pPr>
        <w:ind w:hanging="180"/>
        <w:jc w:val="both"/>
        <w:rPr>
          <w:sz w:val="22"/>
          <w:szCs w:val="22"/>
        </w:rPr>
      </w:pPr>
      <w:r w:rsidRPr="00A41929">
        <w:rPr>
          <w:rFonts w:ascii="Arial" w:hAnsi="Arial" w:cs="Arial"/>
          <w:b/>
          <w:sz w:val="22"/>
          <w:szCs w:val="22"/>
        </w:rPr>
        <w:t xml:space="preserve">   </w:t>
      </w:r>
      <w:r w:rsidRPr="00A41929">
        <w:rPr>
          <w:b/>
          <w:sz w:val="22"/>
          <w:szCs w:val="22"/>
        </w:rPr>
        <w:t>Tabla 2.</w:t>
      </w:r>
      <w:r w:rsidRPr="00A41929">
        <w:rPr>
          <w:sz w:val="22"/>
          <w:szCs w:val="22"/>
        </w:rPr>
        <w:t xml:space="preserve"> Efecto de la frecuencia de inmersión en los brotes axilares del cultivar de plátano vianda </w:t>
      </w:r>
      <w:r w:rsidRPr="00A41929">
        <w:rPr>
          <w:bCs/>
          <w:sz w:val="22"/>
          <w:szCs w:val="22"/>
        </w:rPr>
        <w:t xml:space="preserve">"INIVITPV-2011" </w:t>
      </w:r>
      <w:r w:rsidRPr="00A41929">
        <w:rPr>
          <w:sz w:val="22"/>
          <w:szCs w:val="22"/>
        </w:rPr>
        <w:t>(AAB).</w:t>
      </w:r>
    </w:p>
    <w:tbl>
      <w:tblPr>
        <w:tblW w:w="5000" w:type="pct"/>
        <w:tblBorders>
          <w:top w:val="single" w:sz="12" w:space="0" w:color="008000"/>
          <w:bottom w:val="single" w:sz="12" w:space="0" w:color="008000"/>
        </w:tblBorders>
        <w:tblLook w:val="0000"/>
      </w:tblPr>
      <w:tblGrid>
        <w:gridCol w:w="1795"/>
        <w:gridCol w:w="1847"/>
        <w:gridCol w:w="1848"/>
        <w:gridCol w:w="1432"/>
        <w:gridCol w:w="1113"/>
        <w:gridCol w:w="1026"/>
      </w:tblGrid>
      <w:tr w:rsidR="003E0602" w:rsidRPr="00A41929">
        <w:trPr>
          <w:trHeight w:val="420"/>
        </w:trPr>
        <w:tc>
          <w:tcPr>
            <w:tcW w:w="991" w:type="pct"/>
            <w:tcBorders>
              <w:top w:val="single" w:sz="18" w:space="0" w:color="339966"/>
              <w:left w:val="nil"/>
              <w:bottom w:val="single" w:sz="18" w:space="0" w:color="339966"/>
              <w:right w:val="nil"/>
            </w:tcBorders>
            <w:vAlign w:val="center"/>
          </w:tcPr>
          <w:p w:rsidR="003E0602" w:rsidRPr="00A41929" w:rsidRDefault="003E0602">
            <w:pPr>
              <w:jc w:val="center"/>
              <w:rPr>
                <w:b/>
                <w:sz w:val="22"/>
                <w:szCs w:val="22"/>
              </w:rPr>
            </w:pPr>
            <w:r w:rsidRPr="00A41929">
              <w:rPr>
                <w:b/>
                <w:sz w:val="22"/>
                <w:szCs w:val="22"/>
              </w:rPr>
              <w:t>Tratamientos</w:t>
            </w:r>
          </w:p>
        </w:tc>
        <w:tc>
          <w:tcPr>
            <w:tcW w:w="1019" w:type="pct"/>
            <w:tcBorders>
              <w:top w:val="single" w:sz="18" w:space="0" w:color="339966"/>
              <w:left w:val="nil"/>
              <w:bottom w:val="single" w:sz="18" w:space="0" w:color="339966"/>
              <w:right w:val="nil"/>
            </w:tcBorders>
          </w:tcPr>
          <w:p w:rsidR="003E0602" w:rsidRPr="00A41929" w:rsidRDefault="003E0602">
            <w:pPr>
              <w:jc w:val="center"/>
              <w:rPr>
                <w:b/>
                <w:sz w:val="22"/>
                <w:szCs w:val="22"/>
              </w:rPr>
            </w:pPr>
            <w:r w:rsidRPr="00A41929">
              <w:rPr>
                <w:b/>
                <w:sz w:val="22"/>
                <w:szCs w:val="22"/>
              </w:rPr>
              <w:t>Coeficiente de Multiplicación</w:t>
            </w:r>
          </w:p>
        </w:tc>
        <w:tc>
          <w:tcPr>
            <w:tcW w:w="1020" w:type="pct"/>
            <w:tcBorders>
              <w:top w:val="single" w:sz="18" w:space="0" w:color="339966"/>
              <w:left w:val="nil"/>
              <w:bottom w:val="single" w:sz="18" w:space="0" w:color="339966"/>
              <w:right w:val="nil"/>
            </w:tcBorders>
            <w:vAlign w:val="center"/>
          </w:tcPr>
          <w:p w:rsidR="003E0602" w:rsidRPr="00A41929" w:rsidRDefault="003E0602">
            <w:pPr>
              <w:jc w:val="center"/>
              <w:rPr>
                <w:b/>
                <w:sz w:val="22"/>
                <w:szCs w:val="22"/>
              </w:rPr>
            </w:pPr>
            <w:r w:rsidRPr="00A41929">
              <w:rPr>
                <w:b/>
                <w:sz w:val="22"/>
                <w:szCs w:val="22"/>
              </w:rPr>
              <w:t xml:space="preserve">Diámetro del </w:t>
            </w:r>
            <w:proofErr w:type="spellStart"/>
            <w:r w:rsidRPr="00A41929">
              <w:rPr>
                <w:b/>
                <w:sz w:val="22"/>
                <w:szCs w:val="22"/>
              </w:rPr>
              <w:t>pseudotallo</w:t>
            </w:r>
            <w:proofErr w:type="spellEnd"/>
            <w:r w:rsidRPr="00A41929">
              <w:rPr>
                <w:b/>
                <w:sz w:val="22"/>
                <w:szCs w:val="22"/>
              </w:rPr>
              <w:t xml:space="preserve"> (cm)</w:t>
            </w:r>
          </w:p>
        </w:tc>
        <w:tc>
          <w:tcPr>
            <w:tcW w:w="790" w:type="pct"/>
            <w:tcBorders>
              <w:top w:val="single" w:sz="18" w:space="0" w:color="339966"/>
              <w:left w:val="nil"/>
              <w:bottom w:val="single" w:sz="18" w:space="0" w:color="339966"/>
              <w:right w:val="nil"/>
            </w:tcBorders>
            <w:vAlign w:val="center"/>
          </w:tcPr>
          <w:p w:rsidR="003E0602" w:rsidRPr="00A41929" w:rsidRDefault="003E0602">
            <w:pPr>
              <w:jc w:val="center"/>
              <w:rPr>
                <w:b/>
                <w:sz w:val="22"/>
                <w:szCs w:val="22"/>
              </w:rPr>
            </w:pPr>
            <w:r w:rsidRPr="00A41929">
              <w:rPr>
                <w:b/>
                <w:sz w:val="22"/>
                <w:szCs w:val="22"/>
              </w:rPr>
              <w:t xml:space="preserve">Grado Oxidación </w:t>
            </w:r>
          </w:p>
        </w:tc>
        <w:tc>
          <w:tcPr>
            <w:tcW w:w="614" w:type="pct"/>
            <w:tcBorders>
              <w:top w:val="single" w:sz="18" w:space="0" w:color="339966"/>
              <w:left w:val="nil"/>
              <w:bottom w:val="single" w:sz="18" w:space="0" w:color="339966"/>
              <w:right w:val="nil"/>
            </w:tcBorders>
            <w:vAlign w:val="center"/>
          </w:tcPr>
          <w:p w:rsidR="003E0602" w:rsidRPr="00A41929" w:rsidRDefault="003E0602">
            <w:pPr>
              <w:jc w:val="center"/>
              <w:rPr>
                <w:b/>
                <w:sz w:val="22"/>
                <w:szCs w:val="22"/>
              </w:rPr>
            </w:pPr>
            <w:r w:rsidRPr="00A41929">
              <w:rPr>
                <w:b/>
                <w:sz w:val="22"/>
                <w:szCs w:val="22"/>
              </w:rPr>
              <w:t xml:space="preserve">Hojas  Activas </w:t>
            </w:r>
          </w:p>
        </w:tc>
        <w:tc>
          <w:tcPr>
            <w:tcW w:w="567" w:type="pct"/>
            <w:tcBorders>
              <w:top w:val="single" w:sz="18" w:space="0" w:color="339966"/>
              <w:left w:val="nil"/>
              <w:bottom w:val="single" w:sz="18" w:space="0" w:color="339966"/>
              <w:right w:val="nil"/>
            </w:tcBorders>
            <w:vAlign w:val="center"/>
          </w:tcPr>
          <w:p w:rsidR="003E0602" w:rsidRPr="00A41929" w:rsidRDefault="003E0602">
            <w:pPr>
              <w:jc w:val="center"/>
              <w:rPr>
                <w:b/>
                <w:sz w:val="22"/>
                <w:szCs w:val="22"/>
              </w:rPr>
            </w:pPr>
            <w:r w:rsidRPr="00A41929">
              <w:rPr>
                <w:b/>
                <w:sz w:val="22"/>
                <w:szCs w:val="22"/>
              </w:rPr>
              <w:t>Altura (cm)</w:t>
            </w:r>
          </w:p>
        </w:tc>
      </w:tr>
      <w:tr w:rsidR="003E0602" w:rsidRPr="00A41929">
        <w:trPr>
          <w:trHeight w:val="420"/>
        </w:trPr>
        <w:tc>
          <w:tcPr>
            <w:tcW w:w="991" w:type="pct"/>
            <w:tcBorders>
              <w:top w:val="single" w:sz="18" w:space="0" w:color="339966"/>
              <w:left w:val="nil"/>
              <w:bottom w:val="nil"/>
              <w:right w:val="nil"/>
            </w:tcBorders>
            <w:vAlign w:val="center"/>
          </w:tcPr>
          <w:p w:rsidR="003E0602" w:rsidRPr="00A41929" w:rsidRDefault="003E0602" w:rsidP="005E78F1">
            <w:pPr>
              <w:jc w:val="center"/>
              <w:rPr>
                <w:sz w:val="22"/>
                <w:szCs w:val="22"/>
              </w:rPr>
            </w:pPr>
            <w:r w:rsidRPr="00A41929">
              <w:rPr>
                <w:sz w:val="22"/>
                <w:szCs w:val="22"/>
              </w:rPr>
              <w:t>3 horas</w:t>
            </w:r>
          </w:p>
        </w:tc>
        <w:tc>
          <w:tcPr>
            <w:tcW w:w="1019" w:type="pct"/>
            <w:tcBorders>
              <w:top w:val="single" w:sz="18" w:space="0" w:color="339966"/>
              <w:left w:val="nil"/>
              <w:bottom w:val="nil"/>
              <w:right w:val="nil"/>
            </w:tcBorders>
            <w:vAlign w:val="center"/>
          </w:tcPr>
          <w:p w:rsidR="003E0602" w:rsidRPr="00A41929" w:rsidRDefault="003E0602">
            <w:pPr>
              <w:ind w:left="553"/>
              <w:jc w:val="center"/>
              <w:rPr>
                <w:sz w:val="22"/>
                <w:szCs w:val="22"/>
              </w:rPr>
            </w:pPr>
            <w:r w:rsidRPr="00A41929">
              <w:rPr>
                <w:sz w:val="22"/>
                <w:szCs w:val="22"/>
              </w:rPr>
              <w:t>5,90 a</w:t>
            </w:r>
          </w:p>
        </w:tc>
        <w:tc>
          <w:tcPr>
            <w:tcW w:w="1020" w:type="pct"/>
            <w:tcBorders>
              <w:top w:val="single" w:sz="18" w:space="0" w:color="339966"/>
              <w:left w:val="nil"/>
              <w:bottom w:val="nil"/>
              <w:right w:val="nil"/>
            </w:tcBorders>
            <w:vAlign w:val="center"/>
          </w:tcPr>
          <w:p w:rsidR="003E0602" w:rsidRPr="00A41929" w:rsidRDefault="003E0602">
            <w:pPr>
              <w:ind w:left="553"/>
              <w:rPr>
                <w:sz w:val="22"/>
                <w:szCs w:val="22"/>
              </w:rPr>
            </w:pPr>
            <w:r w:rsidRPr="00A41929">
              <w:rPr>
                <w:sz w:val="22"/>
                <w:szCs w:val="22"/>
              </w:rPr>
              <w:t>0,62 a</w:t>
            </w:r>
          </w:p>
        </w:tc>
        <w:tc>
          <w:tcPr>
            <w:tcW w:w="790" w:type="pct"/>
            <w:tcBorders>
              <w:top w:val="single" w:sz="18" w:space="0" w:color="339966"/>
              <w:left w:val="nil"/>
              <w:bottom w:val="nil"/>
              <w:right w:val="nil"/>
            </w:tcBorders>
            <w:vAlign w:val="center"/>
          </w:tcPr>
          <w:p w:rsidR="003E0602" w:rsidRPr="00A41929" w:rsidRDefault="003E0602">
            <w:pPr>
              <w:ind w:left="463"/>
              <w:rPr>
                <w:sz w:val="22"/>
                <w:szCs w:val="22"/>
              </w:rPr>
            </w:pPr>
            <w:r w:rsidRPr="00A41929">
              <w:rPr>
                <w:sz w:val="22"/>
                <w:szCs w:val="22"/>
              </w:rPr>
              <w:t>2,14 c</w:t>
            </w:r>
          </w:p>
        </w:tc>
        <w:tc>
          <w:tcPr>
            <w:tcW w:w="614" w:type="pct"/>
            <w:tcBorders>
              <w:top w:val="single" w:sz="18" w:space="0" w:color="339966"/>
              <w:left w:val="nil"/>
              <w:bottom w:val="nil"/>
              <w:right w:val="nil"/>
            </w:tcBorders>
            <w:vAlign w:val="center"/>
          </w:tcPr>
          <w:p w:rsidR="003E0602" w:rsidRPr="00A41929" w:rsidRDefault="003E0602">
            <w:pPr>
              <w:tabs>
                <w:tab w:val="left" w:pos="541"/>
              </w:tabs>
              <w:jc w:val="center"/>
              <w:rPr>
                <w:sz w:val="22"/>
                <w:szCs w:val="22"/>
              </w:rPr>
            </w:pPr>
            <w:r w:rsidRPr="00A41929">
              <w:rPr>
                <w:sz w:val="22"/>
                <w:szCs w:val="22"/>
              </w:rPr>
              <w:t>3,54 a</w:t>
            </w:r>
          </w:p>
        </w:tc>
        <w:tc>
          <w:tcPr>
            <w:tcW w:w="567" w:type="pct"/>
            <w:tcBorders>
              <w:top w:val="single" w:sz="18" w:space="0" w:color="339966"/>
              <w:left w:val="nil"/>
              <w:bottom w:val="nil"/>
              <w:right w:val="nil"/>
            </w:tcBorders>
            <w:vAlign w:val="center"/>
          </w:tcPr>
          <w:p w:rsidR="003E0602" w:rsidRPr="00A41929" w:rsidRDefault="003E0602">
            <w:pPr>
              <w:jc w:val="center"/>
              <w:rPr>
                <w:sz w:val="22"/>
                <w:szCs w:val="22"/>
              </w:rPr>
            </w:pPr>
            <w:r w:rsidRPr="00A41929">
              <w:rPr>
                <w:sz w:val="22"/>
                <w:szCs w:val="22"/>
              </w:rPr>
              <w:t>3,65 a</w:t>
            </w:r>
          </w:p>
        </w:tc>
      </w:tr>
      <w:tr w:rsidR="003E0602" w:rsidRPr="00A41929">
        <w:trPr>
          <w:trHeight w:val="420"/>
        </w:trPr>
        <w:tc>
          <w:tcPr>
            <w:tcW w:w="991" w:type="pct"/>
            <w:tcBorders>
              <w:top w:val="nil"/>
              <w:left w:val="nil"/>
              <w:bottom w:val="nil"/>
              <w:right w:val="nil"/>
            </w:tcBorders>
            <w:vAlign w:val="center"/>
          </w:tcPr>
          <w:p w:rsidR="003E0602" w:rsidRPr="00A41929" w:rsidRDefault="003E0602" w:rsidP="005E78F1">
            <w:pPr>
              <w:jc w:val="center"/>
              <w:rPr>
                <w:sz w:val="22"/>
                <w:szCs w:val="22"/>
              </w:rPr>
            </w:pPr>
            <w:r w:rsidRPr="00A41929">
              <w:rPr>
                <w:sz w:val="22"/>
                <w:szCs w:val="22"/>
              </w:rPr>
              <w:t>6 horas</w:t>
            </w:r>
          </w:p>
        </w:tc>
        <w:tc>
          <w:tcPr>
            <w:tcW w:w="1019" w:type="pct"/>
            <w:tcBorders>
              <w:top w:val="nil"/>
              <w:left w:val="nil"/>
              <w:bottom w:val="nil"/>
              <w:right w:val="nil"/>
            </w:tcBorders>
            <w:vAlign w:val="center"/>
          </w:tcPr>
          <w:p w:rsidR="003E0602" w:rsidRPr="00A41929" w:rsidRDefault="003E0602">
            <w:pPr>
              <w:ind w:left="553"/>
              <w:jc w:val="center"/>
              <w:rPr>
                <w:sz w:val="22"/>
                <w:szCs w:val="22"/>
              </w:rPr>
            </w:pPr>
            <w:r w:rsidRPr="00A41929">
              <w:rPr>
                <w:sz w:val="22"/>
                <w:szCs w:val="22"/>
              </w:rPr>
              <w:t>4,90 c</w:t>
            </w:r>
          </w:p>
        </w:tc>
        <w:tc>
          <w:tcPr>
            <w:tcW w:w="1020" w:type="pct"/>
            <w:tcBorders>
              <w:top w:val="nil"/>
              <w:left w:val="nil"/>
              <w:bottom w:val="nil"/>
              <w:right w:val="nil"/>
            </w:tcBorders>
            <w:vAlign w:val="center"/>
          </w:tcPr>
          <w:p w:rsidR="003E0602" w:rsidRPr="00A41929" w:rsidRDefault="003E0602">
            <w:pPr>
              <w:ind w:left="553"/>
              <w:rPr>
                <w:sz w:val="22"/>
                <w:szCs w:val="22"/>
              </w:rPr>
            </w:pPr>
            <w:r w:rsidRPr="00A41929">
              <w:rPr>
                <w:sz w:val="22"/>
                <w:szCs w:val="22"/>
              </w:rPr>
              <w:t>0,38 c</w:t>
            </w:r>
          </w:p>
        </w:tc>
        <w:tc>
          <w:tcPr>
            <w:tcW w:w="790" w:type="pct"/>
            <w:tcBorders>
              <w:top w:val="nil"/>
              <w:left w:val="nil"/>
              <w:bottom w:val="nil"/>
              <w:right w:val="nil"/>
            </w:tcBorders>
            <w:vAlign w:val="center"/>
          </w:tcPr>
          <w:p w:rsidR="003E0602" w:rsidRPr="00A41929" w:rsidRDefault="003E0602">
            <w:pPr>
              <w:ind w:left="463"/>
              <w:rPr>
                <w:sz w:val="22"/>
                <w:szCs w:val="22"/>
              </w:rPr>
            </w:pPr>
            <w:r w:rsidRPr="00A41929">
              <w:rPr>
                <w:sz w:val="22"/>
                <w:szCs w:val="22"/>
              </w:rPr>
              <w:t>3,09 a</w:t>
            </w:r>
          </w:p>
        </w:tc>
        <w:tc>
          <w:tcPr>
            <w:tcW w:w="614" w:type="pct"/>
            <w:tcBorders>
              <w:top w:val="nil"/>
              <w:left w:val="nil"/>
              <w:bottom w:val="nil"/>
              <w:right w:val="nil"/>
            </w:tcBorders>
            <w:vAlign w:val="center"/>
          </w:tcPr>
          <w:p w:rsidR="003E0602" w:rsidRPr="00A41929" w:rsidRDefault="003E0602">
            <w:pPr>
              <w:jc w:val="center"/>
              <w:rPr>
                <w:sz w:val="22"/>
                <w:szCs w:val="22"/>
              </w:rPr>
            </w:pPr>
            <w:r w:rsidRPr="00A41929">
              <w:rPr>
                <w:sz w:val="22"/>
                <w:szCs w:val="22"/>
              </w:rPr>
              <w:t>2,22 c</w:t>
            </w:r>
          </w:p>
        </w:tc>
        <w:tc>
          <w:tcPr>
            <w:tcW w:w="567" w:type="pct"/>
            <w:tcBorders>
              <w:top w:val="nil"/>
              <w:left w:val="nil"/>
              <w:bottom w:val="nil"/>
              <w:right w:val="nil"/>
            </w:tcBorders>
            <w:vAlign w:val="center"/>
          </w:tcPr>
          <w:p w:rsidR="003E0602" w:rsidRPr="00A41929" w:rsidRDefault="003E0602">
            <w:pPr>
              <w:jc w:val="center"/>
              <w:rPr>
                <w:sz w:val="22"/>
                <w:szCs w:val="22"/>
              </w:rPr>
            </w:pPr>
            <w:r w:rsidRPr="00A41929">
              <w:rPr>
                <w:sz w:val="22"/>
                <w:szCs w:val="22"/>
              </w:rPr>
              <w:t>2,43 c</w:t>
            </w:r>
          </w:p>
        </w:tc>
      </w:tr>
      <w:tr w:rsidR="003E0602" w:rsidRPr="00A41929">
        <w:trPr>
          <w:trHeight w:val="420"/>
        </w:trPr>
        <w:tc>
          <w:tcPr>
            <w:tcW w:w="991" w:type="pct"/>
            <w:tcBorders>
              <w:top w:val="nil"/>
              <w:left w:val="nil"/>
              <w:bottom w:val="single" w:sz="18" w:space="0" w:color="339966"/>
              <w:right w:val="nil"/>
            </w:tcBorders>
            <w:vAlign w:val="center"/>
          </w:tcPr>
          <w:p w:rsidR="003E0602" w:rsidRPr="00A41929" w:rsidRDefault="003E0602" w:rsidP="005E78F1">
            <w:pPr>
              <w:jc w:val="center"/>
              <w:rPr>
                <w:sz w:val="22"/>
                <w:szCs w:val="22"/>
              </w:rPr>
            </w:pPr>
            <w:r w:rsidRPr="00A41929">
              <w:rPr>
                <w:sz w:val="22"/>
                <w:szCs w:val="22"/>
              </w:rPr>
              <w:t>8 horas</w:t>
            </w:r>
          </w:p>
        </w:tc>
        <w:tc>
          <w:tcPr>
            <w:tcW w:w="1019" w:type="pct"/>
            <w:tcBorders>
              <w:top w:val="nil"/>
              <w:left w:val="nil"/>
              <w:bottom w:val="single" w:sz="18" w:space="0" w:color="339966"/>
              <w:right w:val="nil"/>
            </w:tcBorders>
            <w:vAlign w:val="center"/>
          </w:tcPr>
          <w:p w:rsidR="003E0602" w:rsidRPr="00A41929" w:rsidRDefault="003E0602">
            <w:pPr>
              <w:ind w:left="553"/>
              <w:jc w:val="center"/>
              <w:rPr>
                <w:sz w:val="22"/>
                <w:szCs w:val="22"/>
              </w:rPr>
            </w:pPr>
            <w:r w:rsidRPr="00A41929">
              <w:rPr>
                <w:sz w:val="22"/>
                <w:szCs w:val="22"/>
              </w:rPr>
              <w:t>5,15 b</w:t>
            </w:r>
          </w:p>
        </w:tc>
        <w:tc>
          <w:tcPr>
            <w:tcW w:w="1020" w:type="pct"/>
            <w:tcBorders>
              <w:top w:val="nil"/>
              <w:left w:val="nil"/>
              <w:bottom w:val="single" w:sz="18" w:space="0" w:color="339966"/>
              <w:right w:val="nil"/>
            </w:tcBorders>
            <w:vAlign w:val="center"/>
          </w:tcPr>
          <w:p w:rsidR="003E0602" w:rsidRPr="00A41929" w:rsidRDefault="003E0602">
            <w:pPr>
              <w:ind w:left="553"/>
              <w:rPr>
                <w:sz w:val="22"/>
                <w:szCs w:val="22"/>
              </w:rPr>
            </w:pPr>
            <w:r w:rsidRPr="00A41929">
              <w:rPr>
                <w:sz w:val="22"/>
                <w:szCs w:val="22"/>
              </w:rPr>
              <w:t>0,51 b</w:t>
            </w:r>
          </w:p>
        </w:tc>
        <w:tc>
          <w:tcPr>
            <w:tcW w:w="790" w:type="pct"/>
            <w:tcBorders>
              <w:top w:val="nil"/>
              <w:left w:val="nil"/>
              <w:bottom w:val="single" w:sz="18" w:space="0" w:color="339966"/>
              <w:right w:val="nil"/>
            </w:tcBorders>
            <w:vAlign w:val="center"/>
          </w:tcPr>
          <w:p w:rsidR="003E0602" w:rsidRPr="00A41929" w:rsidRDefault="003E0602">
            <w:pPr>
              <w:ind w:left="463"/>
              <w:rPr>
                <w:sz w:val="22"/>
                <w:szCs w:val="22"/>
              </w:rPr>
            </w:pPr>
            <w:r w:rsidRPr="00A41929">
              <w:rPr>
                <w:sz w:val="22"/>
                <w:szCs w:val="22"/>
              </w:rPr>
              <w:t>2,30 b</w:t>
            </w:r>
          </w:p>
        </w:tc>
        <w:tc>
          <w:tcPr>
            <w:tcW w:w="614" w:type="pct"/>
            <w:tcBorders>
              <w:top w:val="nil"/>
              <w:left w:val="nil"/>
              <w:bottom w:val="single" w:sz="18" w:space="0" w:color="339966"/>
              <w:right w:val="nil"/>
            </w:tcBorders>
            <w:vAlign w:val="center"/>
          </w:tcPr>
          <w:p w:rsidR="003E0602" w:rsidRPr="00A41929" w:rsidRDefault="003E0602">
            <w:pPr>
              <w:jc w:val="center"/>
              <w:rPr>
                <w:sz w:val="22"/>
                <w:szCs w:val="22"/>
              </w:rPr>
            </w:pPr>
            <w:r w:rsidRPr="00A41929">
              <w:rPr>
                <w:sz w:val="22"/>
                <w:szCs w:val="22"/>
              </w:rPr>
              <w:t>2,86 b</w:t>
            </w:r>
          </w:p>
        </w:tc>
        <w:tc>
          <w:tcPr>
            <w:tcW w:w="567" w:type="pct"/>
            <w:tcBorders>
              <w:top w:val="nil"/>
              <w:left w:val="nil"/>
              <w:bottom w:val="single" w:sz="18" w:space="0" w:color="339966"/>
              <w:right w:val="nil"/>
            </w:tcBorders>
            <w:vAlign w:val="center"/>
          </w:tcPr>
          <w:p w:rsidR="003E0602" w:rsidRPr="00A41929" w:rsidRDefault="003E0602">
            <w:pPr>
              <w:jc w:val="center"/>
              <w:rPr>
                <w:sz w:val="22"/>
                <w:szCs w:val="22"/>
              </w:rPr>
            </w:pPr>
            <w:r w:rsidRPr="00A41929">
              <w:rPr>
                <w:sz w:val="22"/>
                <w:szCs w:val="22"/>
              </w:rPr>
              <w:t>2,99 b</w:t>
            </w:r>
          </w:p>
        </w:tc>
      </w:tr>
      <w:tr w:rsidR="003E0602" w:rsidRPr="00A41929">
        <w:trPr>
          <w:trHeight w:val="420"/>
        </w:trPr>
        <w:tc>
          <w:tcPr>
            <w:tcW w:w="991" w:type="pct"/>
            <w:tcBorders>
              <w:top w:val="single" w:sz="18" w:space="0" w:color="339966"/>
              <w:left w:val="nil"/>
              <w:bottom w:val="nil"/>
              <w:right w:val="nil"/>
            </w:tcBorders>
            <w:vAlign w:val="center"/>
          </w:tcPr>
          <w:p w:rsidR="003E0602" w:rsidRPr="00A41929" w:rsidRDefault="003E0602" w:rsidP="005E78F1">
            <w:pPr>
              <w:pStyle w:val="Textoindependiente2"/>
              <w:spacing w:after="0" w:line="240" w:lineRule="auto"/>
              <w:jc w:val="center"/>
              <w:rPr>
                <w:sz w:val="22"/>
                <w:szCs w:val="22"/>
              </w:rPr>
            </w:pPr>
            <w:r w:rsidRPr="00A41929">
              <w:rPr>
                <w:sz w:val="22"/>
                <w:szCs w:val="22"/>
              </w:rPr>
              <w:t>ES ±</w:t>
            </w:r>
          </w:p>
        </w:tc>
        <w:tc>
          <w:tcPr>
            <w:tcW w:w="1019" w:type="pct"/>
            <w:tcBorders>
              <w:top w:val="single" w:sz="18" w:space="0" w:color="339966"/>
              <w:left w:val="nil"/>
              <w:bottom w:val="nil"/>
              <w:right w:val="nil"/>
            </w:tcBorders>
            <w:vAlign w:val="center"/>
          </w:tcPr>
          <w:p w:rsidR="003E0602" w:rsidRPr="00A41929" w:rsidRDefault="003E0602">
            <w:pPr>
              <w:jc w:val="center"/>
              <w:rPr>
                <w:sz w:val="22"/>
                <w:szCs w:val="22"/>
              </w:rPr>
            </w:pPr>
            <w:r w:rsidRPr="00A41929">
              <w:rPr>
                <w:sz w:val="22"/>
                <w:szCs w:val="22"/>
              </w:rPr>
              <w:t xml:space="preserve">        0,23*</w:t>
            </w:r>
          </w:p>
        </w:tc>
        <w:tc>
          <w:tcPr>
            <w:tcW w:w="1020" w:type="pct"/>
            <w:tcBorders>
              <w:top w:val="single" w:sz="18" w:space="0" w:color="339966"/>
              <w:left w:val="nil"/>
              <w:bottom w:val="nil"/>
              <w:right w:val="nil"/>
            </w:tcBorders>
            <w:vAlign w:val="center"/>
          </w:tcPr>
          <w:p w:rsidR="003E0602" w:rsidRPr="00A41929" w:rsidRDefault="003E0602">
            <w:pPr>
              <w:ind w:left="553"/>
              <w:rPr>
                <w:sz w:val="22"/>
                <w:szCs w:val="22"/>
              </w:rPr>
            </w:pPr>
            <w:r w:rsidRPr="00A41929">
              <w:rPr>
                <w:sz w:val="22"/>
                <w:szCs w:val="22"/>
              </w:rPr>
              <w:t>0,15 *</w:t>
            </w:r>
          </w:p>
        </w:tc>
        <w:tc>
          <w:tcPr>
            <w:tcW w:w="790" w:type="pct"/>
            <w:tcBorders>
              <w:top w:val="single" w:sz="18" w:space="0" w:color="339966"/>
              <w:left w:val="nil"/>
              <w:bottom w:val="nil"/>
              <w:right w:val="nil"/>
            </w:tcBorders>
            <w:vAlign w:val="center"/>
          </w:tcPr>
          <w:p w:rsidR="003E0602" w:rsidRPr="00A41929" w:rsidRDefault="003E0602">
            <w:pPr>
              <w:tabs>
                <w:tab w:val="left" w:pos="679"/>
              </w:tabs>
              <w:ind w:left="463"/>
              <w:rPr>
                <w:sz w:val="22"/>
                <w:szCs w:val="22"/>
              </w:rPr>
            </w:pPr>
            <w:r w:rsidRPr="00A41929">
              <w:rPr>
                <w:sz w:val="22"/>
                <w:szCs w:val="22"/>
              </w:rPr>
              <w:t>0,12 *</w:t>
            </w:r>
          </w:p>
        </w:tc>
        <w:tc>
          <w:tcPr>
            <w:tcW w:w="614" w:type="pct"/>
            <w:tcBorders>
              <w:top w:val="single" w:sz="18" w:space="0" w:color="339966"/>
              <w:left w:val="nil"/>
              <w:bottom w:val="nil"/>
              <w:right w:val="nil"/>
            </w:tcBorders>
            <w:vAlign w:val="center"/>
          </w:tcPr>
          <w:p w:rsidR="003E0602" w:rsidRPr="00A41929" w:rsidRDefault="003E0602">
            <w:pPr>
              <w:jc w:val="center"/>
              <w:rPr>
                <w:sz w:val="22"/>
                <w:szCs w:val="22"/>
              </w:rPr>
            </w:pPr>
            <w:r w:rsidRPr="00A41929">
              <w:rPr>
                <w:sz w:val="22"/>
                <w:szCs w:val="22"/>
              </w:rPr>
              <w:t>0,16*</w:t>
            </w:r>
          </w:p>
        </w:tc>
        <w:tc>
          <w:tcPr>
            <w:tcW w:w="567" w:type="pct"/>
            <w:tcBorders>
              <w:top w:val="single" w:sz="18" w:space="0" w:color="339966"/>
              <w:left w:val="nil"/>
              <w:bottom w:val="nil"/>
              <w:right w:val="nil"/>
            </w:tcBorders>
            <w:vAlign w:val="center"/>
          </w:tcPr>
          <w:p w:rsidR="003E0602" w:rsidRPr="00A41929" w:rsidRDefault="003E0602">
            <w:pPr>
              <w:jc w:val="center"/>
              <w:rPr>
                <w:sz w:val="22"/>
                <w:szCs w:val="22"/>
              </w:rPr>
            </w:pPr>
            <w:r w:rsidRPr="00A41929">
              <w:rPr>
                <w:sz w:val="22"/>
                <w:szCs w:val="22"/>
              </w:rPr>
              <w:t>0,13 *</w:t>
            </w:r>
          </w:p>
        </w:tc>
      </w:tr>
      <w:tr w:rsidR="003E0602" w:rsidRPr="00A41929">
        <w:trPr>
          <w:trHeight w:val="420"/>
        </w:trPr>
        <w:tc>
          <w:tcPr>
            <w:tcW w:w="991" w:type="pct"/>
            <w:tcBorders>
              <w:top w:val="nil"/>
              <w:left w:val="nil"/>
              <w:bottom w:val="single" w:sz="18" w:space="0" w:color="339966"/>
              <w:right w:val="nil"/>
            </w:tcBorders>
            <w:vAlign w:val="center"/>
          </w:tcPr>
          <w:p w:rsidR="003E0602" w:rsidRPr="00A41929" w:rsidRDefault="003E0602" w:rsidP="005E78F1">
            <w:pPr>
              <w:ind w:right="-6"/>
              <w:jc w:val="center"/>
              <w:rPr>
                <w:sz w:val="22"/>
                <w:szCs w:val="22"/>
              </w:rPr>
            </w:pPr>
            <w:r w:rsidRPr="00A41929">
              <w:rPr>
                <w:sz w:val="22"/>
                <w:szCs w:val="22"/>
              </w:rPr>
              <w:t>CV (%)</w:t>
            </w:r>
          </w:p>
        </w:tc>
        <w:tc>
          <w:tcPr>
            <w:tcW w:w="1019" w:type="pct"/>
            <w:tcBorders>
              <w:top w:val="nil"/>
              <w:left w:val="nil"/>
              <w:bottom w:val="single" w:sz="18" w:space="0" w:color="339966"/>
              <w:right w:val="nil"/>
            </w:tcBorders>
            <w:vAlign w:val="center"/>
          </w:tcPr>
          <w:p w:rsidR="003E0602" w:rsidRPr="00A41929" w:rsidRDefault="003E0602">
            <w:pPr>
              <w:tabs>
                <w:tab w:val="left" w:pos="190"/>
                <w:tab w:val="left" w:pos="462"/>
                <w:tab w:val="left" w:pos="638"/>
                <w:tab w:val="left" w:pos="846"/>
              </w:tabs>
              <w:jc w:val="center"/>
              <w:rPr>
                <w:sz w:val="22"/>
                <w:szCs w:val="22"/>
              </w:rPr>
            </w:pPr>
            <w:r w:rsidRPr="00A41929">
              <w:rPr>
                <w:sz w:val="22"/>
                <w:szCs w:val="22"/>
              </w:rPr>
              <w:t xml:space="preserve">    17,65</w:t>
            </w:r>
          </w:p>
        </w:tc>
        <w:tc>
          <w:tcPr>
            <w:tcW w:w="1020" w:type="pct"/>
            <w:tcBorders>
              <w:top w:val="nil"/>
              <w:left w:val="nil"/>
              <w:bottom w:val="single" w:sz="18" w:space="0" w:color="339966"/>
              <w:right w:val="nil"/>
            </w:tcBorders>
            <w:vAlign w:val="center"/>
          </w:tcPr>
          <w:p w:rsidR="003E0602" w:rsidRPr="00A41929" w:rsidRDefault="003E0602">
            <w:pPr>
              <w:tabs>
                <w:tab w:val="left" w:pos="190"/>
                <w:tab w:val="left" w:pos="462"/>
                <w:tab w:val="left" w:pos="638"/>
                <w:tab w:val="left" w:pos="846"/>
              </w:tabs>
              <w:rPr>
                <w:sz w:val="22"/>
                <w:szCs w:val="22"/>
              </w:rPr>
            </w:pPr>
            <w:r w:rsidRPr="00A41929">
              <w:rPr>
                <w:sz w:val="22"/>
                <w:szCs w:val="22"/>
              </w:rPr>
              <w:t xml:space="preserve">        12,24</w:t>
            </w:r>
          </w:p>
        </w:tc>
        <w:tc>
          <w:tcPr>
            <w:tcW w:w="790" w:type="pct"/>
            <w:tcBorders>
              <w:top w:val="nil"/>
              <w:left w:val="nil"/>
              <w:bottom w:val="single" w:sz="18" w:space="0" w:color="339966"/>
              <w:right w:val="nil"/>
            </w:tcBorders>
            <w:vAlign w:val="center"/>
          </w:tcPr>
          <w:p w:rsidR="003E0602" w:rsidRPr="00A41929" w:rsidRDefault="003E0602">
            <w:pPr>
              <w:rPr>
                <w:sz w:val="22"/>
                <w:szCs w:val="22"/>
              </w:rPr>
            </w:pPr>
            <w:r w:rsidRPr="00A41929">
              <w:rPr>
                <w:sz w:val="22"/>
                <w:szCs w:val="22"/>
              </w:rPr>
              <w:t xml:space="preserve">       11,34</w:t>
            </w:r>
          </w:p>
        </w:tc>
        <w:tc>
          <w:tcPr>
            <w:tcW w:w="614" w:type="pct"/>
            <w:tcBorders>
              <w:top w:val="nil"/>
              <w:left w:val="nil"/>
              <w:bottom w:val="single" w:sz="18" w:space="0" w:color="339966"/>
              <w:right w:val="nil"/>
            </w:tcBorders>
            <w:vAlign w:val="center"/>
          </w:tcPr>
          <w:p w:rsidR="003E0602" w:rsidRPr="00A41929" w:rsidRDefault="003E0602">
            <w:pPr>
              <w:tabs>
                <w:tab w:val="left" w:pos="633"/>
              </w:tabs>
              <w:rPr>
                <w:sz w:val="22"/>
                <w:szCs w:val="22"/>
              </w:rPr>
            </w:pPr>
            <w:r w:rsidRPr="00A41929">
              <w:rPr>
                <w:sz w:val="22"/>
                <w:szCs w:val="22"/>
              </w:rPr>
              <w:t xml:space="preserve">  11,89</w:t>
            </w:r>
          </w:p>
        </w:tc>
        <w:tc>
          <w:tcPr>
            <w:tcW w:w="567" w:type="pct"/>
            <w:tcBorders>
              <w:top w:val="nil"/>
              <w:left w:val="nil"/>
              <w:bottom w:val="single" w:sz="18" w:space="0" w:color="339966"/>
              <w:right w:val="nil"/>
            </w:tcBorders>
            <w:vAlign w:val="center"/>
          </w:tcPr>
          <w:p w:rsidR="003E0602" w:rsidRPr="00A41929" w:rsidRDefault="003E0602">
            <w:pPr>
              <w:tabs>
                <w:tab w:val="left" w:pos="542"/>
              </w:tabs>
              <w:rPr>
                <w:sz w:val="22"/>
                <w:szCs w:val="22"/>
              </w:rPr>
            </w:pPr>
            <w:r w:rsidRPr="00A41929">
              <w:rPr>
                <w:sz w:val="22"/>
                <w:szCs w:val="22"/>
              </w:rPr>
              <w:t xml:space="preserve"> 11,37</w:t>
            </w:r>
          </w:p>
        </w:tc>
      </w:tr>
    </w:tbl>
    <w:p w:rsidR="003E0602" w:rsidRPr="00A41929" w:rsidRDefault="003E0602">
      <w:pPr>
        <w:pStyle w:val="Textoindependiente3"/>
        <w:spacing w:line="240" w:lineRule="auto"/>
        <w:jc w:val="center"/>
        <w:rPr>
          <w:b/>
          <w:bCs/>
          <w:i/>
          <w:iCs/>
          <w:sz w:val="22"/>
          <w:szCs w:val="22"/>
        </w:rPr>
      </w:pPr>
      <w:r w:rsidRPr="00A41929">
        <w:rPr>
          <w:i/>
          <w:iCs/>
          <w:sz w:val="22"/>
          <w:szCs w:val="22"/>
        </w:rPr>
        <w:t>Letras desiguales dentro de cada columna difieren para p</w:t>
      </w:r>
      <w:r w:rsidRPr="00A41929">
        <w:rPr>
          <w:i/>
          <w:iCs/>
          <w:sz w:val="22"/>
          <w:szCs w:val="22"/>
        </w:rPr>
        <w:sym w:font="Symbol" w:char="F03C"/>
      </w:r>
      <w:r w:rsidRPr="00A41929">
        <w:rPr>
          <w:i/>
          <w:iCs/>
          <w:sz w:val="22"/>
          <w:szCs w:val="22"/>
        </w:rPr>
        <w:t xml:space="preserve">0,05 según prueba de </w:t>
      </w:r>
      <w:proofErr w:type="spellStart"/>
      <w:r w:rsidRPr="00A41929">
        <w:rPr>
          <w:i/>
          <w:iCs/>
          <w:sz w:val="22"/>
          <w:szCs w:val="22"/>
        </w:rPr>
        <w:t>Tukey</w:t>
      </w:r>
      <w:proofErr w:type="spellEnd"/>
      <w:r w:rsidRPr="00A41929">
        <w:rPr>
          <w:i/>
          <w:iCs/>
          <w:sz w:val="22"/>
          <w:szCs w:val="22"/>
        </w:rPr>
        <w:t>.</w:t>
      </w:r>
    </w:p>
    <w:p w:rsidR="003E0602" w:rsidRPr="00A41929" w:rsidRDefault="003E0602" w:rsidP="005E78F1">
      <w:pPr>
        <w:pStyle w:val="Textoindependiente"/>
        <w:spacing w:after="0"/>
        <w:jc w:val="both"/>
        <w:rPr>
          <w:sz w:val="22"/>
          <w:szCs w:val="22"/>
        </w:rPr>
      </w:pPr>
    </w:p>
    <w:p w:rsidR="003E0602" w:rsidRPr="00A41929" w:rsidRDefault="003E0602">
      <w:pPr>
        <w:pStyle w:val="Textoindependiente"/>
        <w:spacing w:after="0"/>
        <w:jc w:val="both"/>
        <w:rPr>
          <w:sz w:val="22"/>
          <w:szCs w:val="22"/>
        </w:rPr>
      </w:pPr>
      <w:r w:rsidRPr="00A41929">
        <w:rPr>
          <w:sz w:val="22"/>
          <w:szCs w:val="22"/>
        </w:rPr>
        <w:t xml:space="preserve">Ha sido descrito por </w:t>
      </w:r>
      <w:proofErr w:type="spellStart"/>
      <w:r w:rsidRPr="00A41929">
        <w:rPr>
          <w:sz w:val="22"/>
          <w:szCs w:val="22"/>
        </w:rPr>
        <w:t>McAlister</w:t>
      </w:r>
      <w:proofErr w:type="spellEnd"/>
      <w:r w:rsidRPr="00A41929">
        <w:rPr>
          <w:sz w:val="22"/>
          <w:szCs w:val="22"/>
        </w:rPr>
        <w:t xml:space="preserve"> </w:t>
      </w:r>
      <w:r w:rsidRPr="00A41929">
        <w:rPr>
          <w:i/>
          <w:sz w:val="22"/>
          <w:szCs w:val="22"/>
        </w:rPr>
        <w:t>et al</w:t>
      </w:r>
      <w:r w:rsidRPr="00A41929">
        <w:rPr>
          <w:sz w:val="22"/>
          <w:szCs w:val="22"/>
        </w:rPr>
        <w:t xml:space="preserve">. (2005) y </w:t>
      </w:r>
      <w:proofErr w:type="spellStart"/>
      <w:r w:rsidRPr="00A41929">
        <w:rPr>
          <w:sz w:val="22"/>
          <w:szCs w:val="22"/>
        </w:rPr>
        <w:t>Mehrotra</w:t>
      </w:r>
      <w:proofErr w:type="spellEnd"/>
      <w:r w:rsidRPr="00A41929">
        <w:rPr>
          <w:sz w:val="22"/>
          <w:szCs w:val="22"/>
        </w:rPr>
        <w:t xml:space="preserve"> </w:t>
      </w:r>
      <w:r w:rsidRPr="00A41929">
        <w:rPr>
          <w:i/>
          <w:sz w:val="22"/>
          <w:szCs w:val="22"/>
        </w:rPr>
        <w:t>et al</w:t>
      </w:r>
      <w:r w:rsidRPr="00A41929">
        <w:rPr>
          <w:sz w:val="22"/>
          <w:szCs w:val="22"/>
        </w:rPr>
        <w:t xml:space="preserve">. (2007) que el tiempo y la frecuencia de inmersión influyen según el estado de desarrollo del material vegetal cultivado en la renovación de la atmósfera interna del frasco de cultivo, así como en la asimilación por el material vegetal de los nutrientes del medio de cultivo. Por lo que se hace necesario determinar el tiempo y la frecuencia de inmersión según la fase de cultivo para satisfacer los requerimientos del material vegetal (Escalona, 2006). </w:t>
      </w:r>
    </w:p>
    <w:p w:rsidR="003E0602" w:rsidRPr="00A41929" w:rsidRDefault="003E0602">
      <w:pPr>
        <w:pStyle w:val="Textoindependiente"/>
        <w:spacing w:after="0"/>
        <w:jc w:val="both"/>
        <w:rPr>
          <w:sz w:val="22"/>
          <w:szCs w:val="22"/>
        </w:rPr>
      </w:pPr>
    </w:p>
    <w:p w:rsidR="003E0602" w:rsidRPr="00A41929" w:rsidRDefault="003E0602">
      <w:pPr>
        <w:pStyle w:val="Textoindependiente"/>
        <w:spacing w:after="0"/>
        <w:jc w:val="both"/>
        <w:rPr>
          <w:sz w:val="22"/>
          <w:szCs w:val="22"/>
        </w:rPr>
      </w:pPr>
      <w:r w:rsidRPr="00A41929">
        <w:rPr>
          <w:sz w:val="22"/>
          <w:szCs w:val="22"/>
        </w:rPr>
        <w:t>Colmenares y Jiménez (2003) en el banano ‘Gran Enano’ (AAA) con inmersiones de dos minutos cada cuatro horas obtuvieron un coeficiente de multiplicación de 7,5 y para veinte minutos cada cuatro horas un índice de multiplicación de 8,0 en frascos de 10,0 L.</w:t>
      </w:r>
    </w:p>
    <w:p w:rsidR="003E0602" w:rsidRPr="00A41929" w:rsidRDefault="003E0602">
      <w:pPr>
        <w:pStyle w:val="Textoindependiente"/>
        <w:spacing w:after="0"/>
        <w:jc w:val="both"/>
        <w:rPr>
          <w:sz w:val="22"/>
          <w:szCs w:val="22"/>
        </w:rPr>
      </w:pPr>
    </w:p>
    <w:p w:rsidR="003E0602" w:rsidRPr="00A41929" w:rsidRDefault="003E0602">
      <w:pPr>
        <w:pStyle w:val="Textoindependiente"/>
        <w:spacing w:after="0"/>
        <w:rPr>
          <w:sz w:val="22"/>
          <w:szCs w:val="22"/>
        </w:rPr>
      </w:pPr>
      <w:r w:rsidRPr="00A41929">
        <w:rPr>
          <w:sz w:val="22"/>
          <w:szCs w:val="22"/>
        </w:rPr>
        <w:t xml:space="preserve">Castro (2001) señaló que durante la fase de multiplicación de brotes de </w:t>
      </w:r>
      <w:r w:rsidRPr="00A41929">
        <w:rPr>
          <w:i/>
          <w:iCs/>
          <w:sz w:val="22"/>
          <w:szCs w:val="22"/>
        </w:rPr>
        <w:t xml:space="preserve">Eucaliptus </w:t>
      </w:r>
      <w:proofErr w:type="spellStart"/>
      <w:r w:rsidRPr="00A41929">
        <w:rPr>
          <w:i/>
          <w:iCs/>
          <w:sz w:val="22"/>
          <w:szCs w:val="22"/>
        </w:rPr>
        <w:t>grandis</w:t>
      </w:r>
      <w:proofErr w:type="spellEnd"/>
      <w:r w:rsidRPr="00A41929">
        <w:rPr>
          <w:sz w:val="22"/>
          <w:szCs w:val="22"/>
        </w:rPr>
        <w:t xml:space="preserve">, al emplear una frecuencia de 24 horas con una duración de tres minutos el número de brotes por </w:t>
      </w:r>
      <w:proofErr w:type="spellStart"/>
      <w:r w:rsidRPr="00A41929">
        <w:rPr>
          <w:sz w:val="22"/>
          <w:szCs w:val="22"/>
        </w:rPr>
        <w:t>explantes</w:t>
      </w:r>
      <w:proofErr w:type="spellEnd"/>
      <w:r w:rsidRPr="00A41929">
        <w:rPr>
          <w:sz w:val="22"/>
          <w:szCs w:val="22"/>
        </w:rPr>
        <w:t xml:space="preserve"> fue significativamente superior al obtenido con un minuto de inmersión, sin embargo, en ambos se observó la presencia de brotes </w:t>
      </w:r>
      <w:proofErr w:type="spellStart"/>
      <w:r w:rsidRPr="00A41929">
        <w:rPr>
          <w:sz w:val="22"/>
          <w:szCs w:val="22"/>
        </w:rPr>
        <w:t>hiperhidratados</w:t>
      </w:r>
      <w:proofErr w:type="spellEnd"/>
      <w:r w:rsidRPr="00A41929">
        <w:rPr>
          <w:sz w:val="22"/>
          <w:szCs w:val="22"/>
        </w:rPr>
        <w:t>.</w:t>
      </w:r>
    </w:p>
    <w:p w:rsidR="003E0602" w:rsidRPr="00A41929" w:rsidRDefault="003E0602">
      <w:pPr>
        <w:pStyle w:val="Textoindependiente"/>
        <w:spacing w:after="0"/>
        <w:rPr>
          <w:sz w:val="22"/>
          <w:szCs w:val="22"/>
        </w:rPr>
      </w:pPr>
    </w:p>
    <w:p w:rsidR="003E0602" w:rsidRPr="00A41929" w:rsidRDefault="003E0602">
      <w:pPr>
        <w:jc w:val="both"/>
        <w:rPr>
          <w:sz w:val="22"/>
          <w:szCs w:val="22"/>
        </w:rPr>
      </w:pPr>
      <w:proofErr w:type="spellStart"/>
      <w:r w:rsidRPr="00A41929">
        <w:rPr>
          <w:sz w:val="22"/>
          <w:szCs w:val="22"/>
        </w:rPr>
        <w:t>Quiala</w:t>
      </w:r>
      <w:proofErr w:type="spellEnd"/>
      <w:r w:rsidRPr="00A41929">
        <w:rPr>
          <w:sz w:val="22"/>
          <w:szCs w:val="22"/>
        </w:rPr>
        <w:t xml:space="preserve"> </w:t>
      </w:r>
      <w:r w:rsidRPr="00A41929">
        <w:rPr>
          <w:i/>
          <w:sz w:val="22"/>
          <w:szCs w:val="22"/>
        </w:rPr>
        <w:t>et al.</w:t>
      </w:r>
      <w:r w:rsidRPr="00A41929">
        <w:rPr>
          <w:sz w:val="22"/>
          <w:szCs w:val="22"/>
        </w:rPr>
        <w:t xml:space="preserve"> (2006) en el cultivo de la caña santa (</w:t>
      </w:r>
      <w:proofErr w:type="spellStart"/>
      <w:r w:rsidRPr="00A41929">
        <w:rPr>
          <w:i/>
          <w:sz w:val="22"/>
          <w:szCs w:val="22"/>
          <w:lang w:eastAsia="en-US"/>
        </w:rPr>
        <w:t>Cymbopogon</w:t>
      </w:r>
      <w:proofErr w:type="spellEnd"/>
      <w:r w:rsidRPr="00A41929">
        <w:rPr>
          <w:i/>
          <w:sz w:val="22"/>
          <w:szCs w:val="22"/>
          <w:lang w:eastAsia="en-US"/>
        </w:rPr>
        <w:t xml:space="preserve"> </w:t>
      </w:r>
      <w:proofErr w:type="spellStart"/>
      <w:r w:rsidRPr="00A41929">
        <w:rPr>
          <w:i/>
          <w:sz w:val="22"/>
          <w:szCs w:val="22"/>
          <w:lang w:eastAsia="en-US"/>
        </w:rPr>
        <w:t>citratus</w:t>
      </w:r>
      <w:proofErr w:type="spellEnd"/>
      <w:r w:rsidRPr="00A41929">
        <w:rPr>
          <w:sz w:val="22"/>
          <w:szCs w:val="22"/>
          <w:lang w:eastAsia="en-US"/>
        </w:rPr>
        <w:t xml:space="preserve"> (D.C.) </w:t>
      </w:r>
      <w:proofErr w:type="spellStart"/>
      <w:r w:rsidRPr="00A41929">
        <w:rPr>
          <w:sz w:val="22"/>
          <w:szCs w:val="22"/>
          <w:lang w:eastAsia="en-US"/>
        </w:rPr>
        <w:t>Staff</w:t>
      </w:r>
      <w:proofErr w:type="spellEnd"/>
      <w:r w:rsidRPr="00A41929">
        <w:rPr>
          <w:sz w:val="22"/>
          <w:szCs w:val="22"/>
          <w:lang w:eastAsia="en-US"/>
        </w:rPr>
        <w:t>)</w:t>
      </w:r>
      <w:r w:rsidRPr="00A41929">
        <w:rPr>
          <w:i/>
          <w:sz w:val="22"/>
          <w:szCs w:val="22"/>
        </w:rPr>
        <w:t xml:space="preserve"> </w:t>
      </w:r>
      <w:r w:rsidRPr="00A41929">
        <w:rPr>
          <w:sz w:val="22"/>
          <w:szCs w:val="22"/>
        </w:rPr>
        <w:t>obtuvieron los mejores resultados para el peso fresco y el coeficiente de multiplicación al utilizar seis inmersiones por día (cada cuatro horas) en Sistemas de Inmersión Temporal de un litro de capacidad.</w:t>
      </w:r>
    </w:p>
    <w:p w:rsidR="003E0602" w:rsidRPr="00A41929" w:rsidRDefault="003E0602">
      <w:pPr>
        <w:jc w:val="both"/>
        <w:rPr>
          <w:sz w:val="22"/>
          <w:szCs w:val="22"/>
        </w:rPr>
      </w:pPr>
    </w:p>
    <w:p w:rsidR="003E0602" w:rsidRPr="00A41929" w:rsidRDefault="003E0602">
      <w:pPr>
        <w:pStyle w:val="Textoindependiente"/>
        <w:spacing w:after="0"/>
        <w:jc w:val="both"/>
        <w:rPr>
          <w:sz w:val="22"/>
          <w:szCs w:val="22"/>
        </w:rPr>
      </w:pPr>
      <w:r w:rsidRPr="00A41929">
        <w:rPr>
          <w:sz w:val="22"/>
          <w:szCs w:val="22"/>
        </w:rPr>
        <w:t xml:space="preserve">Por el contrario, Cabrera (2009) con las frecuencias de inmersión cada doce y veinticuatros horas, en el clon de ñame </w:t>
      </w:r>
      <w:r w:rsidRPr="00A41929">
        <w:rPr>
          <w:rFonts w:cs="Arial"/>
          <w:sz w:val="22"/>
          <w:szCs w:val="22"/>
        </w:rPr>
        <w:t>‘</w:t>
      </w:r>
      <w:proofErr w:type="spellStart"/>
      <w:r w:rsidRPr="00A41929">
        <w:rPr>
          <w:rFonts w:cs="Arial"/>
          <w:sz w:val="22"/>
          <w:szCs w:val="22"/>
        </w:rPr>
        <w:t>Pacala</w:t>
      </w:r>
      <w:proofErr w:type="spellEnd"/>
      <w:r w:rsidRPr="00A41929">
        <w:rPr>
          <w:rFonts w:cs="Arial"/>
          <w:sz w:val="22"/>
          <w:szCs w:val="22"/>
        </w:rPr>
        <w:t xml:space="preserve"> </w:t>
      </w:r>
      <w:proofErr w:type="spellStart"/>
      <w:r w:rsidRPr="00A41929">
        <w:rPr>
          <w:rFonts w:cs="Arial"/>
          <w:sz w:val="22"/>
          <w:szCs w:val="22"/>
        </w:rPr>
        <w:t>Duclos</w:t>
      </w:r>
      <w:proofErr w:type="spellEnd"/>
      <w:r w:rsidRPr="00A41929">
        <w:rPr>
          <w:rFonts w:cs="Arial"/>
          <w:sz w:val="22"/>
          <w:szCs w:val="22"/>
        </w:rPr>
        <w:t>’</w:t>
      </w:r>
      <w:r w:rsidRPr="00A41929">
        <w:rPr>
          <w:sz w:val="22"/>
          <w:szCs w:val="22"/>
        </w:rPr>
        <w:t xml:space="preserve"> tuvieron menos posibilidades para asimilar nutrientes y acumular sustancias de reserva en comparación al tratamiento con cuatro inmersiones al día, en el cual los </w:t>
      </w:r>
      <w:proofErr w:type="spellStart"/>
      <w:r w:rsidRPr="00A41929">
        <w:rPr>
          <w:sz w:val="22"/>
          <w:szCs w:val="22"/>
        </w:rPr>
        <w:t>microtubérculos</w:t>
      </w:r>
      <w:proofErr w:type="spellEnd"/>
      <w:r w:rsidRPr="00A41929">
        <w:rPr>
          <w:sz w:val="22"/>
          <w:szCs w:val="22"/>
        </w:rPr>
        <w:t xml:space="preserve"> alcanzaron los mayores porcentaje de masa seca.</w:t>
      </w:r>
    </w:p>
    <w:p w:rsidR="003E0602" w:rsidRPr="00A41929" w:rsidRDefault="003E0602">
      <w:pPr>
        <w:pStyle w:val="Textoindependiente"/>
        <w:spacing w:after="0"/>
        <w:jc w:val="both"/>
        <w:rPr>
          <w:sz w:val="22"/>
          <w:szCs w:val="22"/>
        </w:rPr>
      </w:pPr>
    </w:p>
    <w:p w:rsidR="003E0602" w:rsidRPr="00A41929" w:rsidRDefault="003E0602">
      <w:pPr>
        <w:pStyle w:val="Textoindependiente"/>
        <w:spacing w:after="0"/>
        <w:jc w:val="both"/>
        <w:rPr>
          <w:sz w:val="22"/>
          <w:szCs w:val="22"/>
        </w:rPr>
      </w:pPr>
      <w:r w:rsidRPr="00A41929">
        <w:rPr>
          <w:sz w:val="22"/>
          <w:szCs w:val="22"/>
        </w:rPr>
        <w:t>Los tiempos y frecuencias de inmersión que se ensayaron según las posibilidades de automatización, demostraron que con diez minutos de inmersión y tres horas empleados en los experimentos, se obtuvieron los mejores resultados en cuanto a la producción y calidad de los brotes.</w:t>
      </w:r>
    </w:p>
    <w:p w:rsidR="003E0602" w:rsidRPr="00A41929" w:rsidRDefault="003E0602" w:rsidP="005E78F1">
      <w:pPr>
        <w:pStyle w:val="Textoindependiente"/>
        <w:spacing w:after="0"/>
        <w:rPr>
          <w:b/>
          <w:i/>
          <w:sz w:val="22"/>
          <w:szCs w:val="22"/>
        </w:rPr>
      </w:pPr>
      <w:r w:rsidRPr="00A41929">
        <w:rPr>
          <w:b/>
          <w:i/>
          <w:sz w:val="22"/>
          <w:szCs w:val="22"/>
        </w:rPr>
        <w:t>Determinación del volumen de medio de cultivo en el Sistema de Inmersión Temporal</w:t>
      </w:r>
    </w:p>
    <w:p w:rsidR="003E0602" w:rsidRPr="00A41929" w:rsidRDefault="003E0602">
      <w:pPr>
        <w:pStyle w:val="Textoindependiente"/>
        <w:spacing w:after="0"/>
        <w:jc w:val="both"/>
        <w:rPr>
          <w:sz w:val="22"/>
          <w:szCs w:val="22"/>
        </w:rPr>
      </w:pPr>
      <w:r w:rsidRPr="00A41929">
        <w:rPr>
          <w:sz w:val="22"/>
          <w:szCs w:val="22"/>
        </w:rPr>
        <w:t xml:space="preserve">El volumen de medio de cultivo tuvo influencia sobre todas las variables evaluadas con la adición de 40 </w:t>
      </w:r>
      <w:proofErr w:type="spellStart"/>
      <w:r w:rsidRPr="00A41929">
        <w:rPr>
          <w:sz w:val="22"/>
          <w:szCs w:val="22"/>
        </w:rPr>
        <w:t>explantes</w:t>
      </w:r>
      <w:proofErr w:type="spellEnd"/>
      <w:r w:rsidRPr="00A41929">
        <w:rPr>
          <w:sz w:val="22"/>
          <w:szCs w:val="22"/>
        </w:rPr>
        <w:t xml:space="preserve"> por frasco de cultivo de 10 litros de volumen total. Los mayores valores en cuanto a las variables evaluadas se alcanzaron cuando se empleó una relación de 60 ml de medio de cultivo por </w:t>
      </w:r>
      <w:proofErr w:type="spellStart"/>
      <w:r w:rsidRPr="00A41929">
        <w:rPr>
          <w:sz w:val="22"/>
          <w:szCs w:val="22"/>
        </w:rPr>
        <w:t>explante</w:t>
      </w:r>
      <w:proofErr w:type="spellEnd"/>
      <w:r w:rsidRPr="00A41929">
        <w:rPr>
          <w:sz w:val="22"/>
          <w:szCs w:val="22"/>
        </w:rPr>
        <w:t xml:space="preserve"> obteniéndose los mejores resultados para el coeficiente de multiplicación (7,58), diámetro del </w:t>
      </w:r>
      <w:proofErr w:type="spellStart"/>
      <w:r w:rsidRPr="00A41929">
        <w:rPr>
          <w:sz w:val="22"/>
          <w:szCs w:val="22"/>
        </w:rPr>
        <w:t>pseudotallo</w:t>
      </w:r>
      <w:proofErr w:type="spellEnd"/>
      <w:r w:rsidRPr="00A41929">
        <w:rPr>
          <w:sz w:val="22"/>
          <w:szCs w:val="22"/>
        </w:rPr>
        <w:t xml:space="preserve"> (0,95), número de hojas activas (3,37) y altura del </w:t>
      </w:r>
      <w:proofErr w:type="spellStart"/>
      <w:r w:rsidRPr="00A41929">
        <w:rPr>
          <w:sz w:val="22"/>
          <w:szCs w:val="22"/>
        </w:rPr>
        <w:t>explantes</w:t>
      </w:r>
      <w:proofErr w:type="spellEnd"/>
      <w:r w:rsidRPr="00A41929">
        <w:rPr>
          <w:sz w:val="22"/>
          <w:szCs w:val="22"/>
        </w:rPr>
        <w:t xml:space="preserve"> (2,99) con diferencia significativa con los demás tratamientos no siendo así en cuanto al grado de oxidación donde se obtienen el menor valor (2,12) (tabla 3).</w:t>
      </w:r>
    </w:p>
    <w:p w:rsidR="003E0602" w:rsidRPr="00A41929" w:rsidRDefault="003E0602">
      <w:pPr>
        <w:pStyle w:val="Textoindependiente"/>
        <w:spacing w:after="0"/>
        <w:jc w:val="both"/>
        <w:rPr>
          <w:sz w:val="22"/>
          <w:szCs w:val="22"/>
        </w:rPr>
      </w:pPr>
    </w:p>
    <w:p w:rsidR="003E0602" w:rsidRPr="00A41929" w:rsidRDefault="003E0602">
      <w:pPr>
        <w:jc w:val="both"/>
        <w:rPr>
          <w:sz w:val="22"/>
          <w:szCs w:val="22"/>
        </w:rPr>
      </w:pPr>
      <w:r w:rsidRPr="00A41929">
        <w:rPr>
          <w:b/>
          <w:sz w:val="22"/>
          <w:szCs w:val="22"/>
        </w:rPr>
        <w:t>Tabla 3.</w:t>
      </w:r>
      <w:r w:rsidRPr="00A41929">
        <w:rPr>
          <w:sz w:val="22"/>
          <w:szCs w:val="22"/>
        </w:rPr>
        <w:t xml:space="preserve"> Efecto del volumen de medio de cultivo sobre las variables evaluadas en el  cultivar de plátano vianda </w:t>
      </w:r>
      <w:r w:rsidRPr="00A41929">
        <w:rPr>
          <w:bCs/>
          <w:sz w:val="22"/>
          <w:szCs w:val="22"/>
        </w:rPr>
        <w:t xml:space="preserve">"INIVITPV-2011" </w:t>
      </w:r>
      <w:r w:rsidRPr="00A41929">
        <w:rPr>
          <w:sz w:val="22"/>
          <w:szCs w:val="22"/>
        </w:rPr>
        <w:t>(AAB).</w:t>
      </w:r>
    </w:p>
    <w:tbl>
      <w:tblPr>
        <w:tblW w:w="5000" w:type="pct"/>
        <w:tblBorders>
          <w:top w:val="single" w:sz="12" w:space="0" w:color="008000"/>
          <w:bottom w:val="single" w:sz="12" w:space="0" w:color="008000"/>
        </w:tblBorders>
        <w:tblLook w:val="0000"/>
      </w:tblPr>
      <w:tblGrid>
        <w:gridCol w:w="1795"/>
        <w:gridCol w:w="1847"/>
        <w:gridCol w:w="1848"/>
        <w:gridCol w:w="1432"/>
        <w:gridCol w:w="1113"/>
        <w:gridCol w:w="1026"/>
      </w:tblGrid>
      <w:tr w:rsidR="003E0602" w:rsidRPr="00A41929">
        <w:trPr>
          <w:trHeight w:val="420"/>
        </w:trPr>
        <w:tc>
          <w:tcPr>
            <w:tcW w:w="991" w:type="pct"/>
            <w:tcBorders>
              <w:top w:val="single" w:sz="18" w:space="0" w:color="339966"/>
              <w:left w:val="nil"/>
              <w:bottom w:val="single" w:sz="18" w:space="0" w:color="339966"/>
              <w:right w:val="nil"/>
            </w:tcBorders>
            <w:vAlign w:val="center"/>
          </w:tcPr>
          <w:p w:rsidR="003E0602" w:rsidRPr="00A41929" w:rsidRDefault="003E0602">
            <w:pPr>
              <w:jc w:val="center"/>
              <w:rPr>
                <w:b/>
                <w:sz w:val="22"/>
                <w:szCs w:val="22"/>
              </w:rPr>
            </w:pPr>
            <w:r w:rsidRPr="00A41929">
              <w:rPr>
                <w:b/>
                <w:sz w:val="22"/>
                <w:szCs w:val="22"/>
              </w:rPr>
              <w:t>Tratamientos</w:t>
            </w:r>
          </w:p>
        </w:tc>
        <w:tc>
          <w:tcPr>
            <w:tcW w:w="1019" w:type="pct"/>
            <w:tcBorders>
              <w:top w:val="single" w:sz="18" w:space="0" w:color="339966"/>
              <w:left w:val="nil"/>
              <w:bottom w:val="single" w:sz="18" w:space="0" w:color="339966"/>
              <w:right w:val="nil"/>
            </w:tcBorders>
          </w:tcPr>
          <w:p w:rsidR="003E0602" w:rsidRPr="00A41929" w:rsidRDefault="003E0602">
            <w:pPr>
              <w:jc w:val="center"/>
              <w:rPr>
                <w:b/>
                <w:sz w:val="22"/>
                <w:szCs w:val="22"/>
              </w:rPr>
            </w:pPr>
            <w:r w:rsidRPr="00A41929">
              <w:rPr>
                <w:b/>
                <w:sz w:val="22"/>
                <w:szCs w:val="22"/>
              </w:rPr>
              <w:t>Coeficiente de Multiplicación</w:t>
            </w:r>
          </w:p>
        </w:tc>
        <w:tc>
          <w:tcPr>
            <w:tcW w:w="1020" w:type="pct"/>
            <w:tcBorders>
              <w:top w:val="single" w:sz="18" w:space="0" w:color="339966"/>
              <w:left w:val="nil"/>
              <w:bottom w:val="single" w:sz="18" w:space="0" w:color="339966"/>
              <w:right w:val="nil"/>
            </w:tcBorders>
            <w:vAlign w:val="center"/>
          </w:tcPr>
          <w:p w:rsidR="003E0602" w:rsidRPr="00A41929" w:rsidRDefault="003E0602">
            <w:pPr>
              <w:jc w:val="center"/>
              <w:rPr>
                <w:b/>
                <w:sz w:val="22"/>
                <w:szCs w:val="22"/>
              </w:rPr>
            </w:pPr>
            <w:r w:rsidRPr="00A41929">
              <w:rPr>
                <w:b/>
                <w:sz w:val="22"/>
                <w:szCs w:val="22"/>
              </w:rPr>
              <w:t xml:space="preserve">Diámetro del </w:t>
            </w:r>
            <w:proofErr w:type="spellStart"/>
            <w:r w:rsidRPr="00A41929">
              <w:rPr>
                <w:b/>
                <w:sz w:val="22"/>
                <w:szCs w:val="22"/>
              </w:rPr>
              <w:t>pseudotallo</w:t>
            </w:r>
            <w:proofErr w:type="spellEnd"/>
            <w:r w:rsidRPr="00A41929">
              <w:rPr>
                <w:b/>
                <w:sz w:val="22"/>
                <w:szCs w:val="22"/>
              </w:rPr>
              <w:t xml:space="preserve"> (cm)</w:t>
            </w:r>
          </w:p>
        </w:tc>
        <w:tc>
          <w:tcPr>
            <w:tcW w:w="790" w:type="pct"/>
            <w:tcBorders>
              <w:top w:val="single" w:sz="18" w:space="0" w:color="339966"/>
              <w:left w:val="nil"/>
              <w:bottom w:val="single" w:sz="18" w:space="0" w:color="339966"/>
              <w:right w:val="nil"/>
            </w:tcBorders>
            <w:vAlign w:val="center"/>
          </w:tcPr>
          <w:p w:rsidR="003E0602" w:rsidRPr="00A41929" w:rsidRDefault="003E0602">
            <w:pPr>
              <w:jc w:val="center"/>
              <w:rPr>
                <w:b/>
                <w:sz w:val="22"/>
                <w:szCs w:val="22"/>
              </w:rPr>
            </w:pPr>
            <w:r w:rsidRPr="00A41929">
              <w:rPr>
                <w:b/>
                <w:sz w:val="22"/>
                <w:szCs w:val="22"/>
              </w:rPr>
              <w:t xml:space="preserve">Grado Oxidación </w:t>
            </w:r>
          </w:p>
        </w:tc>
        <w:tc>
          <w:tcPr>
            <w:tcW w:w="614" w:type="pct"/>
            <w:tcBorders>
              <w:top w:val="single" w:sz="18" w:space="0" w:color="339966"/>
              <w:left w:val="nil"/>
              <w:bottom w:val="single" w:sz="18" w:space="0" w:color="339966"/>
              <w:right w:val="nil"/>
            </w:tcBorders>
            <w:vAlign w:val="center"/>
          </w:tcPr>
          <w:p w:rsidR="003E0602" w:rsidRPr="00A41929" w:rsidRDefault="003E0602">
            <w:pPr>
              <w:jc w:val="center"/>
              <w:rPr>
                <w:b/>
                <w:sz w:val="22"/>
                <w:szCs w:val="22"/>
              </w:rPr>
            </w:pPr>
            <w:r w:rsidRPr="00A41929">
              <w:rPr>
                <w:b/>
                <w:sz w:val="22"/>
                <w:szCs w:val="22"/>
              </w:rPr>
              <w:t xml:space="preserve">Hojas  Activas </w:t>
            </w:r>
          </w:p>
        </w:tc>
        <w:tc>
          <w:tcPr>
            <w:tcW w:w="567" w:type="pct"/>
            <w:tcBorders>
              <w:top w:val="single" w:sz="18" w:space="0" w:color="339966"/>
              <w:left w:val="nil"/>
              <w:bottom w:val="single" w:sz="18" w:space="0" w:color="339966"/>
              <w:right w:val="nil"/>
            </w:tcBorders>
            <w:vAlign w:val="center"/>
          </w:tcPr>
          <w:p w:rsidR="003E0602" w:rsidRPr="00A41929" w:rsidRDefault="003E0602">
            <w:pPr>
              <w:jc w:val="center"/>
              <w:rPr>
                <w:b/>
                <w:sz w:val="22"/>
                <w:szCs w:val="22"/>
              </w:rPr>
            </w:pPr>
            <w:r w:rsidRPr="00A41929">
              <w:rPr>
                <w:b/>
                <w:sz w:val="22"/>
                <w:szCs w:val="22"/>
              </w:rPr>
              <w:t>Altura (cm)</w:t>
            </w:r>
          </w:p>
        </w:tc>
      </w:tr>
      <w:tr w:rsidR="003E0602" w:rsidRPr="00A41929">
        <w:trPr>
          <w:trHeight w:val="420"/>
        </w:trPr>
        <w:tc>
          <w:tcPr>
            <w:tcW w:w="991" w:type="pct"/>
            <w:tcBorders>
              <w:top w:val="single" w:sz="18" w:space="0" w:color="339966"/>
              <w:left w:val="nil"/>
              <w:bottom w:val="nil"/>
              <w:right w:val="nil"/>
            </w:tcBorders>
            <w:vAlign w:val="center"/>
          </w:tcPr>
          <w:p w:rsidR="003E0602" w:rsidRPr="00A41929" w:rsidRDefault="003E0602" w:rsidP="005E78F1">
            <w:pPr>
              <w:jc w:val="center"/>
              <w:rPr>
                <w:sz w:val="22"/>
                <w:szCs w:val="22"/>
              </w:rPr>
            </w:pPr>
            <w:r w:rsidRPr="00A41929">
              <w:rPr>
                <w:sz w:val="22"/>
                <w:szCs w:val="22"/>
              </w:rPr>
              <w:t>20 ml/</w:t>
            </w:r>
            <w:proofErr w:type="spellStart"/>
            <w:r w:rsidRPr="00A41929">
              <w:rPr>
                <w:sz w:val="22"/>
                <w:szCs w:val="22"/>
              </w:rPr>
              <w:t>explante</w:t>
            </w:r>
            <w:proofErr w:type="spellEnd"/>
          </w:p>
        </w:tc>
        <w:tc>
          <w:tcPr>
            <w:tcW w:w="1019" w:type="pct"/>
            <w:tcBorders>
              <w:top w:val="single" w:sz="18" w:space="0" w:color="339966"/>
              <w:left w:val="nil"/>
              <w:bottom w:val="nil"/>
              <w:right w:val="nil"/>
            </w:tcBorders>
            <w:vAlign w:val="center"/>
          </w:tcPr>
          <w:p w:rsidR="003E0602" w:rsidRPr="00A41929" w:rsidRDefault="003E0602">
            <w:pPr>
              <w:ind w:left="553"/>
              <w:jc w:val="center"/>
              <w:rPr>
                <w:sz w:val="22"/>
                <w:szCs w:val="22"/>
              </w:rPr>
            </w:pPr>
            <w:r w:rsidRPr="00A41929">
              <w:rPr>
                <w:sz w:val="22"/>
                <w:szCs w:val="22"/>
              </w:rPr>
              <w:t>4,11 c</w:t>
            </w:r>
          </w:p>
        </w:tc>
        <w:tc>
          <w:tcPr>
            <w:tcW w:w="1020" w:type="pct"/>
            <w:tcBorders>
              <w:top w:val="single" w:sz="18" w:space="0" w:color="339966"/>
              <w:left w:val="nil"/>
              <w:bottom w:val="nil"/>
              <w:right w:val="nil"/>
            </w:tcBorders>
            <w:vAlign w:val="center"/>
          </w:tcPr>
          <w:p w:rsidR="003E0602" w:rsidRPr="00A41929" w:rsidRDefault="003E0602">
            <w:pPr>
              <w:ind w:left="553"/>
              <w:rPr>
                <w:sz w:val="22"/>
                <w:szCs w:val="22"/>
              </w:rPr>
            </w:pPr>
            <w:r w:rsidRPr="00A41929">
              <w:rPr>
                <w:sz w:val="22"/>
                <w:szCs w:val="22"/>
              </w:rPr>
              <w:t>0,63 b</w:t>
            </w:r>
          </w:p>
        </w:tc>
        <w:tc>
          <w:tcPr>
            <w:tcW w:w="790" w:type="pct"/>
            <w:tcBorders>
              <w:top w:val="single" w:sz="18" w:space="0" w:color="339966"/>
              <w:left w:val="nil"/>
              <w:bottom w:val="nil"/>
              <w:right w:val="nil"/>
            </w:tcBorders>
            <w:vAlign w:val="center"/>
          </w:tcPr>
          <w:p w:rsidR="003E0602" w:rsidRPr="00A41929" w:rsidRDefault="003E0602">
            <w:pPr>
              <w:ind w:left="463"/>
              <w:jc w:val="center"/>
              <w:rPr>
                <w:sz w:val="22"/>
                <w:szCs w:val="22"/>
              </w:rPr>
            </w:pPr>
            <w:r w:rsidRPr="00A41929">
              <w:rPr>
                <w:sz w:val="22"/>
                <w:szCs w:val="22"/>
              </w:rPr>
              <w:t>2,25 b</w:t>
            </w:r>
          </w:p>
        </w:tc>
        <w:tc>
          <w:tcPr>
            <w:tcW w:w="614" w:type="pct"/>
            <w:tcBorders>
              <w:top w:val="single" w:sz="18" w:space="0" w:color="339966"/>
              <w:left w:val="nil"/>
              <w:bottom w:val="nil"/>
              <w:right w:val="nil"/>
            </w:tcBorders>
            <w:vAlign w:val="center"/>
          </w:tcPr>
          <w:p w:rsidR="003E0602" w:rsidRPr="00A41929" w:rsidRDefault="003E0602">
            <w:pPr>
              <w:jc w:val="center"/>
              <w:rPr>
                <w:sz w:val="22"/>
                <w:szCs w:val="22"/>
              </w:rPr>
            </w:pPr>
            <w:r w:rsidRPr="00A41929">
              <w:rPr>
                <w:sz w:val="22"/>
                <w:szCs w:val="22"/>
              </w:rPr>
              <w:t>2,75 b</w:t>
            </w:r>
          </w:p>
        </w:tc>
        <w:tc>
          <w:tcPr>
            <w:tcW w:w="567" w:type="pct"/>
            <w:tcBorders>
              <w:top w:val="single" w:sz="18" w:space="0" w:color="339966"/>
              <w:left w:val="nil"/>
              <w:bottom w:val="nil"/>
              <w:right w:val="nil"/>
            </w:tcBorders>
            <w:vAlign w:val="center"/>
          </w:tcPr>
          <w:p w:rsidR="003E0602" w:rsidRPr="00A41929" w:rsidRDefault="003E0602">
            <w:pPr>
              <w:jc w:val="center"/>
              <w:rPr>
                <w:sz w:val="22"/>
                <w:szCs w:val="22"/>
              </w:rPr>
            </w:pPr>
            <w:r w:rsidRPr="00A41929">
              <w:rPr>
                <w:sz w:val="22"/>
                <w:szCs w:val="22"/>
              </w:rPr>
              <w:t>2,52 b</w:t>
            </w:r>
          </w:p>
        </w:tc>
      </w:tr>
      <w:tr w:rsidR="003E0602" w:rsidRPr="00A41929">
        <w:trPr>
          <w:trHeight w:val="420"/>
        </w:trPr>
        <w:tc>
          <w:tcPr>
            <w:tcW w:w="991" w:type="pct"/>
            <w:tcBorders>
              <w:top w:val="nil"/>
              <w:left w:val="nil"/>
              <w:bottom w:val="nil"/>
              <w:right w:val="nil"/>
            </w:tcBorders>
            <w:vAlign w:val="center"/>
          </w:tcPr>
          <w:p w:rsidR="003E0602" w:rsidRPr="00A41929" w:rsidRDefault="003E0602" w:rsidP="005E78F1">
            <w:pPr>
              <w:jc w:val="center"/>
              <w:rPr>
                <w:sz w:val="22"/>
                <w:szCs w:val="22"/>
              </w:rPr>
            </w:pPr>
            <w:r w:rsidRPr="00A41929">
              <w:rPr>
                <w:sz w:val="22"/>
                <w:szCs w:val="22"/>
              </w:rPr>
              <w:t>40 ml/</w:t>
            </w:r>
            <w:proofErr w:type="spellStart"/>
            <w:r w:rsidRPr="00A41929">
              <w:rPr>
                <w:sz w:val="22"/>
                <w:szCs w:val="22"/>
              </w:rPr>
              <w:t>explante</w:t>
            </w:r>
            <w:proofErr w:type="spellEnd"/>
          </w:p>
        </w:tc>
        <w:tc>
          <w:tcPr>
            <w:tcW w:w="1019" w:type="pct"/>
            <w:tcBorders>
              <w:top w:val="nil"/>
              <w:left w:val="nil"/>
              <w:bottom w:val="nil"/>
              <w:right w:val="nil"/>
            </w:tcBorders>
            <w:vAlign w:val="center"/>
          </w:tcPr>
          <w:p w:rsidR="003E0602" w:rsidRPr="00A41929" w:rsidRDefault="003E0602">
            <w:pPr>
              <w:ind w:left="553"/>
              <w:jc w:val="center"/>
              <w:rPr>
                <w:sz w:val="22"/>
                <w:szCs w:val="22"/>
              </w:rPr>
            </w:pPr>
            <w:r w:rsidRPr="00A41929">
              <w:rPr>
                <w:sz w:val="22"/>
                <w:szCs w:val="22"/>
              </w:rPr>
              <w:t>5,22 b</w:t>
            </w:r>
          </w:p>
        </w:tc>
        <w:tc>
          <w:tcPr>
            <w:tcW w:w="1020" w:type="pct"/>
            <w:tcBorders>
              <w:top w:val="nil"/>
              <w:left w:val="nil"/>
              <w:bottom w:val="nil"/>
              <w:right w:val="nil"/>
            </w:tcBorders>
            <w:vAlign w:val="center"/>
          </w:tcPr>
          <w:p w:rsidR="003E0602" w:rsidRPr="00A41929" w:rsidRDefault="003E0602">
            <w:pPr>
              <w:ind w:left="553"/>
              <w:rPr>
                <w:sz w:val="22"/>
                <w:szCs w:val="22"/>
              </w:rPr>
            </w:pPr>
            <w:r w:rsidRPr="00A41929">
              <w:rPr>
                <w:sz w:val="22"/>
                <w:szCs w:val="22"/>
              </w:rPr>
              <w:t>0,59 b</w:t>
            </w:r>
          </w:p>
        </w:tc>
        <w:tc>
          <w:tcPr>
            <w:tcW w:w="790" w:type="pct"/>
            <w:tcBorders>
              <w:top w:val="nil"/>
              <w:left w:val="nil"/>
              <w:bottom w:val="nil"/>
              <w:right w:val="nil"/>
            </w:tcBorders>
            <w:vAlign w:val="center"/>
          </w:tcPr>
          <w:p w:rsidR="003E0602" w:rsidRPr="00A41929" w:rsidRDefault="003E0602">
            <w:pPr>
              <w:ind w:left="463"/>
              <w:jc w:val="center"/>
              <w:rPr>
                <w:sz w:val="22"/>
                <w:szCs w:val="22"/>
              </w:rPr>
            </w:pPr>
            <w:r w:rsidRPr="00A41929">
              <w:rPr>
                <w:sz w:val="22"/>
                <w:szCs w:val="22"/>
              </w:rPr>
              <w:t>2,75 a</w:t>
            </w:r>
          </w:p>
        </w:tc>
        <w:tc>
          <w:tcPr>
            <w:tcW w:w="614" w:type="pct"/>
            <w:tcBorders>
              <w:top w:val="nil"/>
              <w:left w:val="nil"/>
              <w:bottom w:val="nil"/>
              <w:right w:val="nil"/>
            </w:tcBorders>
            <w:vAlign w:val="center"/>
          </w:tcPr>
          <w:p w:rsidR="003E0602" w:rsidRPr="00A41929" w:rsidRDefault="003E0602">
            <w:pPr>
              <w:tabs>
                <w:tab w:val="left" w:pos="541"/>
              </w:tabs>
              <w:jc w:val="center"/>
              <w:rPr>
                <w:sz w:val="22"/>
                <w:szCs w:val="22"/>
              </w:rPr>
            </w:pPr>
            <w:r w:rsidRPr="00A41929">
              <w:rPr>
                <w:sz w:val="22"/>
                <w:szCs w:val="22"/>
              </w:rPr>
              <w:t>2,99 b</w:t>
            </w:r>
          </w:p>
        </w:tc>
        <w:tc>
          <w:tcPr>
            <w:tcW w:w="567" w:type="pct"/>
            <w:tcBorders>
              <w:top w:val="nil"/>
              <w:left w:val="nil"/>
              <w:bottom w:val="nil"/>
              <w:right w:val="nil"/>
            </w:tcBorders>
            <w:vAlign w:val="center"/>
          </w:tcPr>
          <w:p w:rsidR="003E0602" w:rsidRPr="00A41929" w:rsidRDefault="003E0602">
            <w:pPr>
              <w:jc w:val="center"/>
              <w:rPr>
                <w:sz w:val="22"/>
                <w:szCs w:val="22"/>
              </w:rPr>
            </w:pPr>
            <w:r w:rsidRPr="00A41929">
              <w:rPr>
                <w:sz w:val="22"/>
                <w:szCs w:val="22"/>
              </w:rPr>
              <w:t>2,78 b</w:t>
            </w:r>
          </w:p>
        </w:tc>
      </w:tr>
      <w:tr w:rsidR="003E0602" w:rsidRPr="00A41929">
        <w:trPr>
          <w:trHeight w:val="420"/>
        </w:trPr>
        <w:tc>
          <w:tcPr>
            <w:tcW w:w="991" w:type="pct"/>
            <w:tcBorders>
              <w:top w:val="nil"/>
              <w:left w:val="nil"/>
              <w:bottom w:val="nil"/>
              <w:right w:val="nil"/>
            </w:tcBorders>
            <w:vAlign w:val="center"/>
          </w:tcPr>
          <w:p w:rsidR="003E0602" w:rsidRPr="00A41929" w:rsidRDefault="003E0602" w:rsidP="005E78F1">
            <w:pPr>
              <w:jc w:val="center"/>
              <w:rPr>
                <w:sz w:val="22"/>
                <w:szCs w:val="22"/>
              </w:rPr>
            </w:pPr>
            <w:r w:rsidRPr="00A41929">
              <w:rPr>
                <w:sz w:val="22"/>
                <w:szCs w:val="22"/>
              </w:rPr>
              <w:t>60 ml/</w:t>
            </w:r>
            <w:proofErr w:type="spellStart"/>
            <w:r w:rsidRPr="00A41929">
              <w:rPr>
                <w:sz w:val="22"/>
                <w:szCs w:val="22"/>
              </w:rPr>
              <w:t>explante</w:t>
            </w:r>
            <w:proofErr w:type="spellEnd"/>
          </w:p>
        </w:tc>
        <w:tc>
          <w:tcPr>
            <w:tcW w:w="1019" w:type="pct"/>
            <w:tcBorders>
              <w:top w:val="nil"/>
              <w:left w:val="nil"/>
              <w:bottom w:val="nil"/>
              <w:right w:val="nil"/>
            </w:tcBorders>
            <w:vAlign w:val="center"/>
          </w:tcPr>
          <w:p w:rsidR="003E0602" w:rsidRPr="00A41929" w:rsidRDefault="003E0602">
            <w:pPr>
              <w:ind w:left="553"/>
              <w:jc w:val="center"/>
              <w:rPr>
                <w:sz w:val="22"/>
                <w:szCs w:val="22"/>
              </w:rPr>
            </w:pPr>
            <w:r w:rsidRPr="00A41929">
              <w:rPr>
                <w:sz w:val="22"/>
                <w:szCs w:val="22"/>
              </w:rPr>
              <w:t>7,58 a</w:t>
            </w:r>
          </w:p>
        </w:tc>
        <w:tc>
          <w:tcPr>
            <w:tcW w:w="1020" w:type="pct"/>
            <w:tcBorders>
              <w:top w:val="nil"/>
              <w:left w:val="nil"/>
              <w:bottom w:val="nil"/>
              <w:right w:val="nil"/>
            </w:tcBorders>
            <w:vAlign w:val="center"/>
          </w:tcPr>
          <w:p w:rsidR="003E0602" w:rsidRPr="00A41929" w:rsidRDefault="003E0602">
            <w:pPr>
              <w:ind w:left="553"/>
              <w:rPr>
                <w:sz w:val="22"/>
                <w:szCs w:val="22"/>
              </w:rPr>
            </w:pPr>
            <w:r w:rsidRPr="00A41929">
              <w:rPr>
                <w:sz w:val="22"/>
                <w:szCs w:val="22"/>
              </w:rPr>
              <w:t>0,95 a</w:t>
            </w:r>
          </w:p>
        </w:tc>
        <w:tc>
          <w:tcPr>
            <w:tcW w:w="790" w:type="pct"/>
            <w:tcBorders>
              <w:top w:val="nil"/>
              <w:left w:val="nil"/>
              <w:bottom w:val="nil"/>
              <w:right w:val="nil"/>
            </w:tcBorders>
            <w:vAlign w:val="center"/>
          </w:tcPr>
          <w:p w:rsidR="003E0602" w:rsidRPr="00A41929" w:rsidRDefault="003E0602">
            <w:pPr>
              <w:ind w:left="463"/>
              <w:jc w:val="center"/>
              <w:rPr>
                <w:sz w:val="22"/>
                <w:szCs w:val="22"/>
              </w:rPr>
            </w:pPr>
            <w:r w:rsidRPr="00A41929">
              <w:rPr>
                <w:sz w:val="22"/>
                <w:szCs w:val="22"/>
              </w:rPr>
              <w:t>2,12 b</w:t>
            </w:r>
          </w:p>
        </w:tc>
        <w:tc>
          <w:tcPr>
            <w:tcW w:w="614" w:type="pct"/>
            <w:tcBorders>
              <w:top w:val="nil"/>
              <w:left w:val="nil"/>
              <w:bottom w:val="nil"/>
              <w:right w:val="nil"/>
            </w:tcBorders>
            <w:vAlign w:val="center"/>
          </w:tcPr>
          <w:p w:rsidR="003E0602" w:rsidRPr="00A41929" w:rsidRDefault="003E0602">
            <w:pPr>
              <w:jc w:val="center"/>
              <w:rPr>
                <w:sz w:val="22"/>
                <w:szCs w:val="22"/>
              </w:rPr>
            </w:pPr>
            <w:r w:rsidRPr="00A41929">
              <w:rPr>
                <w:sz w:val="22"/>
                <w:szCs w:val="22"/>
              </w:rPr>
              <w:t>3,37 a</w:t>
            </w:r>
          </w:p>
        </w:tc>
        <w:tc>
          <w:tcPr>
            <w:tcW w:w="567" w:type="pct"/>
            <w:tcBorders>
              <w:top w:val="nil"/>
              <w:left w:val="nil"/>
              <w:bottom w:val="nil"/>
              <w:right w:val="nil"/>
            </w:tcBorders>
            <w:vAlign w:val="center"/>
          </w:tcPr>
          <w:p w:rsidR="003E0602" w:rsidRPr="00A41929" w:rsidRDefault="003E0602">
            <w:pPr>
              <w:jc w:val="center"/>
              <w:rPr>
                <w:sz w:val="22"/>
                <w:szCs w:val="22"/>
              </w:rPr>
            </w:pPr>
            <w:r w:rsidRPr="00A41929">
              <w:rPr>
                <w:sz w:val="22"/>
                <w:szCs w:val="22"/>
              </w:rPr>
              <w:t>2,99 a</w:t>
            </w:r>
          </w:p>
        </w:tc>
      </w:tr>
      <w:tr w:rsidR="003E0602" w:rsidRPr="00A41929">
        <w:trPr>
          <w:trHeight w:val="420"/>
        </w:trPr>
        <w:tc>
          <w:tcPr>
            <w:tcW w:w="991" w:type="pct"/>
            <w:tcBorders>
              <w:top w:val="single" w:sz="18" w:space="0" w:color="339966"/>
              <w:left w:val="nil"/>
              <w:bottom w:val="nil"/>
              <w:right w:val="nil"/>
            </w:tcBorders>
            <w:vAlign w:val="center"/>
          </w:tcPr>
          <w:p w:rsidR="003E0602" w:rsidRPr="00A41929" w:rsidRDefault="003E0602" w:rsidP="005E78F1">
            <w:pPr>
              <w:pStyle w:val="Textoindependiente2"/>
              <w:spacing w:after="0" w:line="240" w:lineRule="auto"/>
              <w:jc w:val="center"/>
              <w:rPr>
                <w:sz w:val="22"/>
                <w:szCs w:val="22"/>
              </w:rPr>
            </w:pPr>
            <w:r w:rsidRPr="00A41929">
              <w:rPr>
                <w:sz w:val="22"/>
                <w:szCs w:val="22"/>
              </w:rPr>
              <w:t>ES ±</w:t>
            </w:r>
          </w:p>
        </w:tc>
        <w:tc>
          <w:tcPr>
            <w:tcW w:w="1019" w:type="pct"/>
            <w:tcBorders>
              <w:top w:val="single" w:sz="18" w:space="0" w:color="339966"/>
              <w:left w:val="nil"/>
              <w:bottom w:val="nil"/>
              <w:right w:val="nil"/>
            </w:tcBorders>
            <w:vAlign w:val="center"/>
          </w:tcPr>
          <w:p w:rsidR="003E0602" w:rsidRPr="00A41929" w:rsidRDefault="003E0602">
            <w:pPr>
              <w:jc w:val="center"/>
              <w:rPr>
                <w:sz w:val="22"/>
                <w:szCs w:val="22"/>
              </w:rPr>
            </w:pPr>
            <w:r w:rsidRPr="00A41929">
              <w:rPr>
                <w:sz w:val="22"/>
                <w:szCs w:val="22"/>
              </w:rPr>
              <w:t xml:space="preserve">        0,29*</w:t>
            </w:r>
          </w:p>
        </w:tc>
        <w:tc>
          <w:tcPr>
            <w:tcW w:w="1020" w:type="pct"/>
            <w:tcBorders>
              <w:top w:val="single" w:sz="18" w:space="0" w:color="339966"/>
              <w:left w:val="nil"/>
              <w:bottom w:val="nil"/>
              <w:right w:val="nil"/>
            </w:tcBorders>
            <w:vAlign w:val="center"/>
          </w:tcPr>
          <w:p w:rsidR="003E0602" w:rsidRPr="00A41929" w:rsidRDefault="003E0602">
            <w:pPr>
              <w:ind w:left="553"/>
              <w:rPr>
                <w:sz w:val="22"/>
                <w:szCs w:val="22"/>
              </w:rPr>
            </w:pPr>
            <w:r w:rsidRPr="00A41929">
              <w:rPr>
                <w:sz w:val="22"/>
                <w:szCs w:val="22"/>
              </w:rPr>
              <w:t>0,37 *</w:t>
            </w:r>
          </w:p>
        </w:tc>
        <w:tc>
          <w:tcPr>
            <w:tcW w:w="790" w:type="pct"/>
            <w:tcBorders>
              <w:top w:val="single" w:sz="18" w:space="0" w:color="339966"/>
              <w:left w:val="nil"/>
              <w:bottom w:val="nil"/>
              <w:right w:val="nil"/>
            </w:tcBorders>
            <w:vAlign w:val="center"/>
          </w:tcPr>
          <w:p w:rsidR="003E0602" w:rsidRPr="00A41929" w:rsidRDefault="003E0602">
            <w:pPr>
              <w:tabs>
                <w:tab w:val="left" w:pos="679"/>
              </w:tabs>
              <w:ind w:left="463"/>
              <w:jc w:val="center"/>
              <w:rPr>
                <w:sz w:val="22"/>
                <w:szCs w:val="22"/>
              </w:rPr>
            </w:pPr>
            <w:r w:rsidRPr="00A41929">
              <w:rPr>
                <w:sz w:val="22"/>
                <w:szCs w:val="22"/>
              </w:rPr>
              <w:t>0,18 *</w:t>
            </w:r>
          </w:p>
        </w:tc>
        <w:tc>
          <w:tcPr>
            <w:tcW w:w="614" w:type="pct"/>
            <w:tcBorders>
              <w:top w:val="single" w:sz="18" w:space="0" w:color="339966"/>
              <w:left w:val="nil"/>
              <w:bottom w:val="nil"/>
              <w:right w:val="nil"/>
            </w:tcBorders>
            <w:vAlign w:val="center"/>
          </w:tcPr>
          <w:p w:rsidR="003E0602" w:rsidRPr="00A41929" w:rsidRDefault="003E0602">
            <w:pPr>
              <w:jc w:val="center"/>
              <w:rPr>
                <w:sz w:val="22"/>
                <w:szCs w:val="22"/>
              </w:rPr>
            </w:pPr>
            <w:r w:rsidRPr="00A41929">
              <w:rPr>
                <w:sz w:val="22"/>
                <w:szCs w:val="22"/>
              </w:rPr>
              <w:t>0,13*</w:t>
            </w:r>
          </w:p>
        </w:tc>
        <w:tc>
          <w:tcPr>
            <w:tcW w:w="567" w:type="pct"/>
            <w:tcBorders>
              <w:top w:val="single" w:sz="18" w:space="0" w:color="339966"/>
              <w:left w:val="nil"/>
              <w:bottom w:val="nil"/>
              <w:right w:val="nil"/>
            </w:tcBorders>
            <w:vAlign w:val="center"/>
          </w:tcPr>
          <w:p w:rsidR="003E0602" w:rsidRPr="00A41929" w:rsidRDefault="003E0602">
            <w:pPr>
              <w:jc w:val="center"/>
              <w:rPr>
                <w:sz w:val="22"/>
                <w:szCs w:val="22"/>
              </w:rPr>
            </w:pPr>
            <w:r w:rsidRPr="00A41929">
              <w:rPr>
                <w:sz w:val="22"/>
                <w:szCs w:val="22"/>
              </w:rPr>
              <w:t>0,14 *</w:t>
            </w:r>
          </w:p>
        </w:tc>
      </w:tr>
      <w:tr w:rsidR="003E0602" w:rsidRPr="00A41929">
        <w:trPr>
          <w:trHeight w:val="420"/>
        </w:trPr>
        <w:tc>
          <w:tcPr>
            <w:tcW w:w="991" w:type="pct"/>
            <w:tcBorders>
              <w:top w:val="nil"/>
              <w:left w:val="nil"/>
              <w:bottom w:val="single" w:sz="18" w:space="0" w:color="339966"/>
              <w:right w:val="nil"/>
            </w:tcBorders>
            <w:vAlign w:val="center"/>
          </w:tcPr>
          <w:p w:rsidR="003E0602" w:rsidRPr="00A41929" w:rsidRDefault="003E0602" w:rsidP="005E78F1">
            <w:pPr>
              <w:ind w:right="-6"/>
              <w:jc w:val="center"/>
              <w:rPr>
                <w:sz w:val="22"/>
                <w:szCs w:val="22"/>
              </w:rPr>
            </w:pPr>
            <w:r w:rsidRPr="00A41929">
              <w:rPr>
                <w:sz w:val="22"/>
                <w:szCs w:val="22"/>
              </w:rPr>
              <w:t>CV (%)</w:t>
            </w:r>
          </w:p>
        </w:tc>
        <w:tc>
          <w:tcPr>
            <w:tcW w:w="1019" w:type="pct"/>
            <w:tcBorders>
              <w:top w:val="nil"/>
              <w:left w:val="nil"/>
              <w:bottom w:val="single" w:sz="18" w:space="0" w:color="339966"/>
              <w:right w:val="nil"/>
            </w:tcBorders>
            <w:vAlign w:val="center"/>
          </w:tcPr>
          <w:p w:rsidR="003E0602" w:rsidRPr="00A41929" w:rsidRDefault="003E0602">
            <w:pPr>
              <w:tabs>
                <w:tab w:val="left" w:pos="190"/>
                <w:tab w:val="left" w:pos="462"/>
                <w:tab w:val="left" w:pos="638"/>
                <w:tab w:val="left" w:pos="846"/>
              </w:tabs>
              <w:jc w:val="center"/>
              <w:rPr>
                <w:sz w:val="22"/>
                <w:szCs w:val="22"/>
              </w:rPr>
            </w:pPr>
            <w:r w:rsidRPr="00A41929">
              <w:rPr>
                <w:sz w:val="22"/>
                <w:szCs w:val="22"/>
              </w:rPr>
              <w:t xml:space="preserve">    10,45</w:t>
            </w:r>
          </w:p>
        </w:tc>
        <w:tc>
          <w:tcPr>
            <w:tcW w:w="1020" w:type="pct"/>
            <w:tcBorders>
              <w:top w:val="nil"/>
              <w:left w:val="nil"/>
              <w:bottom w:val="single" w:sz="18" w:space="0" w:color="339966"/>
              <w:right w:val="nil"/>
            </w:tcBorders>
            <w:vAlign w:val="center"/>
          </w:tcPr>
          <w:p w:rsidR="003E0602" w:rsidRPr="00A41929" w:rsidRDefault="003E0602">
            <w:pPr>
              <w:tabs>
                <w:tab w:val="left" w:pos="190"/>
                <w:tab w:val="left" w:pos="462"/>
                <w:tab w:val="left" w:pos="638"/>
                <w:tab w:val="left" w:pos="846"/>
              </w:tabs>
              <w:rPr>
                <w:sz w:val="22"/>
                <w:szCs w:val="22"/>
              </w:rPr>
            </w:pPr>
            <w:r w:rsidRPr="00A41929">
              <w:rPr>
                <w:sz w:val="22"/>
                <w:szCs w:val="22"/>
              </w:rPr>
              <w:t xml:space="preserve">        11,26</w:t>
            </w:r>
          </w:p>
        </w:tc>
        <w:tc>
          <w:tcPr>
            <w:tcW w:w="790" w:type="pct"/>
            <w:tcBorders>
              <w:top w:val="nil"/>
              <w:left w:val="nil"/>
              <w:bottom w:val="single" w:sz="18" w:space="0" w:color="339966"/>
              <w:right w:val="nil"/>
            </w:tcBorders>
            <w:vAlign w:val="center"/>
          </w:tcPr>
          <w:p w:rsidR="003E0602" w:rsidRPr="00A41929" w:rsidRDefault="003E0602">
            <w:pPr>
              <w:jc w:val="center"/>
              <w:rPr>
                <w:sz w:val="22"/>
                <w:szCs w:val="22"/>
              </w:rPr>
            </w:pPr>
            <w:r w:rsidRPr="00A41929">
              <w:rPr>
                <w:sz w:val="22"/>
                <w:szCs w:val="22"/>
              </w:rPr>
              <w:t xml:space="preserve">    12,96</w:t>
            </w:r>
          </w:p>
        </w:tc>
        <w:tc>
          <w:tcPr>
            <w:tcW w:w="614" w:type="pct"/>
            <w:tcBorders>
              <w:top w:val="nil"/>
              <w:left w:val="nil"/>
              <w:bottom w:val="single" w:sz="18" w:space="0" w:color="339966"/>
              <w:right w:val="nil"/>
            </w:tcBorders>
            <w:vAlign w:val="center"/>
          </w:tcPr>
          <w:p w:rsidR="003E0602" w:rsidRPr="00A41929" w:rsidRDefault="003E0602">
            <w:pPr>
              <w:tabs>
                <w:tab w:val="left" w:pos="633"/>
              </w:tabs>
              <w:rPr>
                <w:sz w:val="22"/>
                <w:szCs w:val="22"/>
              </w:rPr>
            </w:pPr>
            <w:r w:rsidRPr="00A41929">
              <w:rPr>
                <w:sz w:val="22"/>
                <w:szCs w:val="22"/>
              </w:rPr>
              <w:t xml:space="preserve">  12,96</w:t>
            </w:r>
          </w:p>
        </w:tc>
        <w:tc>
          <w:tcPr>
            <w:tcW w:w="567" w:type="pct"/>
            <w:tcBorders>
              <w:top w:val="nil"/>
              <w:left w:val="nil"/>
              <w:bottom w:val="single" w:sz="18" w:space="0" w:color="339966"/>
              <w:right w:val="nil"/>
            </w:tcBorders>
            <w:vAlign w:val="center"/>
          </w:tcPr>
          <w:p w:rsidR="003E0602" w:rsidRPr="00A41929" w:rsidRDefault="003E0602">
            <w:pPr>
              <w:tabs>
                <w:tab w:val="left" w:pos="542"/>
              </w:tabs>
              <w:rPr>
                <w:sz w:val="22"/>
                <w:szCs w:val="22"/>
              </w:rPr>
            </w:pPr>
            <w:r w:rsidRPr="00A41929">
              <w:rPr>
                <w:sz w:val="22"/>
                <w:szCs w:val="22"/>
              </w:rPr>
              <w:t xml:space="preserve"> 12,10</w:t>
            </w:r>
          </w:p>
        </w:tc>
      </w:tr>
    </w:tbl>
    <w:p w:rsidR="003E0602" w:rsidRPr="00A41929" w:rsidRDefault="003E0602">
      <w:pPr>
        <w:pStyle w:val="Textoindependiente3"/>
        <w:spacing w:line="240" w:lineRule="auto"/>
        <w:jc w:val="center"/>
        <w:rPr>
          <w:i/>
          <w:iCs/>
          <w:sz w:val="22"/>
          <w:szCs w:val="22"/>
        </w:rPr>
      </w:pPr>
      <w:r w:rsidRPr="00A41929">
        <w:rPr>
          <w:i/>
          <w:iCs/>
          <w:sz w:val="22"/>
          <w:szCs w:val="22"/>
        </w:rPr>
        <w:t>Letras desiguales dentro de cada columna difieren para p</w:t>
      </w:r>
      <w:r w:rsidRPr="00A41929">
        <w:rPr>
          <w:i/>
          <w:iCs/>
          <w:sz w:val="22"/>
          <w:szCs w:val="22"/>
        </w:rPr>
        <w:sym w:font="Symbol" w:char="F03C"/>
      </w:r>
      <w:r w:rsidRPr="00A41929">
        <w:rPr>
          <w:i/>
          <w:iCs/>
          <w:sz w:val="22"/>
          <w:szCs w:val="22"/>
        </w:rPr>
        <w:t xml:space="preserve">0,05 según prueba de </w:t>
      </w:r>
      <w:proofErr w:type="spellStart"/>
      <w:r w:rsidRPr="00A41929">
        <w:rPr>
          <w:i/>
          <w:iCs/>
          <w:sz w:val="22"/>
          <w:szCs w:val="22"/>
        </w:rPr>
        <w:t>Tukey</w:t>
      </w:r>
      <w:proofErr w:type="spellEnd"/>
      <w:r w:rsidRPr="00A41929">
        <w:rPr>
          <w:i/>
          <w:iCs/>
          <w:sz w:val="22"/>
          <w:szCs w:val="22"/>
        </w:rPr>
        <w:t>.</w:t>
      </w:r>
    </w:p>
    <w:p w:rsidR="003E0602" w:rsidRPr="00A41929" w:rsidRDefault="003E0602" w:rsidP="005E78F1">
      <w:pPr>
        <w:pStyle w:val="Textoindependiente"/>
        <w:spacing w:after="0"/>
        <w:jc w:val="both"/>
        <w:rPr>
          <w:sz w:val="22"/>
          <w:szCs w:val="22"/>
        </w:rPr>
      </w:pPr>
    </w:p>
    <w:p w:rsidR="003E0602" w:rsidRPr="00A41929" w:rsidRDefault="003E0602" w:rsidP="005E78F1">
      <w:pPr>
        <w:pStyle w:val="Textoindependiente"/>
        <w:spacing w:after="0"/>
        <w:jc w:val="both"/>
        <w:rPr>
          <w:sz w:val="22"/>
          <w:szCs w:val="22"/>
        </w:rPr>
      </w:pPr>
      <w:proofErr w:type="spellStart"/>
      <w:r w:rsidRPr="00A41929">
        <w:rPr>
          <w:sz w:val="22"/>
          <w:szCs w:val="22"/>
        </w:rPr>
        <w:lastRenderedPageBreak/>
        <w:t>Berthouly</w:t>
      </w:r>
      <w:proofErr w:type="spellEnd"/>
      <w:r w:rsidRPr="00A41929">
        <w:rPr>
          <w:sz w:val="22"/>
          <w:szCs w:val="22"/>
        </w:rPr>
        <w:t xml:space="preserve"> y </w:t>
      </w:r>
      <w:proofErr w:type="spellStart"/>
      <w:r w:rsidRPr="00A41929">
        <w:rPr>
          <w:sz w:val="22"/>
          <w:szCs w:val="22"/>
        </w:rPr>
        <w:t>Etiennen</w:t>
      </w:r>
      <w:proofErr w:type="spellEnd"/>
      <w:r w:rsidRPr="00A41929">
        <w:rPr>
          <w:sz w:val="22"/>
          <w:szCs w:val="22"/>
        </w:rPr>
        <w:t xml:space="preserve"> (2005) han señalado que el volumen de medio de cultivo por </w:t>
      </w:r>
      <w:proofErr w:type="spellStart"/>
      <w:r w:rsidRPr="00A41929">
        <w:rPr>
          <w:sz w:val="22"/>
          <w:szCs w:val="22"/>
        </w:rPr>
        <w:t>explante</w:t>
      </w:r>
      <w:proofErr w:type="spellEnd"/>
      <w:r w:rsidRPr="00A41929">
        <w:rPr>
          <w:sz w:val="22"/>
          <w:szCs w:val="22"/>
        </w:rPr>
        <w:t xml:space="preserve"> utilizado en los frascos de cultivo de Inmersión Temporal es uno de los principales factores a evaluar para utilizar eficientemente este tipo de sistema de cultivo. Lo cual se evidencia en los resultados del presente trabajo para la formación de </w:t>
      </w:r>
      <w:proofErr w:type="spellStart"/>
      <w:r w:rsidRPr="00A41929">
        <w:rPr>
          <w:sz w:val="22"/>
          <w:szCs w:val="22"/>
        </w:rPr>
        <w:t>microtubérculos</w:t>
      </w:r>
      <w:proofErr w:type="spellEnd"/>
      <w:r w:rsidRPr="00A41929">
        <w:rPr>
          <w:sz w:val="22"/>
          <w:szCs w:val="22"/>
        </w:rPr>
        <w:t xml:space="preserve"> de ñame en Sistema de Inmersión Temporal.</w:t>
      </w:r>
    </w:p>
    <w:p w:rsidR="003E0602" w:rsidRPr="00A41929" w:rsidRDefault="003E0602" w:rsidP="005E78F1">
      <w:pPr>
        <w:pStyle w:val="Textoindependiente"/>
        <w:spacing w:after="0"/>
        <w:jc w:val="both"/>
        <w:rPr>
          <w:sz w:val="22"/>
          <w:szCs w:val="22"/>
        </w:rPr>
      </w:pPr>
    </w:p>
    <w:p w:rsidR="003E0602" w:rsidRPr="00A41929" w:rsidRDefault="003E0602">
      <w:pPr>
        <w:pStyle w:val="Textoindependiente"/>
        <w:spacing w:after="0"/>
        <w:jc w:val="both"/>
        <w:rPr>
          <w:sz w:val="22"/>
          <w:szCs w:val="22"/>
        </w:rPr>
      </w:pPr>
      <w:r w:rsidRPr="00A41929">
        <w:rPr>
          <w:sz w:val="22"/>
          <w:szCs w:val="22"/>
        </w:rPr>
        <w:t xml:space="preserve">Cabrera (2009) en la medida que incrementó el volumen de medio de cultivo por planta </w:t>
      </w:r>
      <w:r w:rsidRPr="00A41929">
        <w:rPr>
          <w:i/>
          <w:sz w:val="22"/>
          <w:szCs w:val="22"/>
        </w:rPr>
        <w:t>in vitro</w:t>
      </w:r>
      <w:r w:rsidRPr="00A41929">
        <w:rPr>
          <w:sz w:val="22"/>
          <w:szCs w:val="22"/>
        </w:rPr>
        <w:t xml:space="preserve"> se incrementó el número y la masa fresca de los </w:t>
      </w:r>
      <w:proofErr w:type="spellStart"/>
      <w:r w:rsidRPr="00A41929">
        <w:rPr>
          <w:sz w:val="22"/>
          <w:szCs w:val="22"/>
        </w:rPr>
        <w:t>microtubérculos</w:t>
      </w:r>
      <w:proofErr w:type="spellEnd"/>
      <w:r w:rsidRPr="00A41929">
        <w:rPr>
          <w:sz w:val="22"/>
          <w:szCs w:val="22"/>
        </w:rPr>
        <w:t xml:space="preserve"> de ñame en el clon ´</w:t>
      </w:r>
      <w:proofErr w:type="spellStart"/>
      <w:r w:rsidRPr="00A41929">
        <w:rPr>
          <w:sz w:val="22"/>
          <w:szCs w:val="22"/>
        </w:rPr>
        <w:t>Pacala</w:t>
      </w:r>
      <w:proofErr w:type="spellEnd"/>
      <w:r w:rsidRPr="00A41929">
        <w:rPr>
          <w:sz w:val="22"/>
          <w:szCs w:val="22"/>
        </w:rPr>
        <w:t xml:space="preserve"> </w:t>
      </w:r>
      <w:proofErr w:type="spellStart"/>
      <w:r w:rsidRPr="00A41929">
        <w:rPr>
          <w:sz w:val="22"/>
          <w:szCs w:val="22"/>
        </w:rPr>
        <w:t>Duclos</w:t>
      </w:r>
      <w:proofErr w:type="spellEnd"/>
      <w:r w:rsidRPr="00A41929">
        <w:rPr>
          <w:sz w:val="22"/>
          <w:szCs w:val="22"/>
        </w:rPr>
        <w:t xml:space="preserve">´. Los mejores resultados se alcanzaron al emplear un volumen de 60 y 90 </w:t>
      </w:r>
      <w:proofErr w:type="spellStart"/>
      <w:r w:rsidRPr="00A41929">
        <w:rPr>
          <w:sz w:val="22"/>
          <w:szCs w:val="22"/>
        </w:rPr>
        <w:t>mL</w:t>
      </w:r>
      <w:proofErr w:type="spellEnd"/>
      <w:r w:rsidRPr="00A41929">
        <w:rPr>
          <w:sz w:val="22"/>
          <w:szCs w:val="22"/>
        </w:rPr>
        <w:t xml:space="preserve"> de medio de cultivo por planta </w:t>
      </w:r>
      <w:r w:rsidRPr="00A41929">
        <w:rPr>
          <w:i/>
          <w:sz w:val="22"/>
          <w:szCs w:val="22"/>
        </w:rPr>
        <w:t>in vitro</w:t>
      </w:r>
      <w:r w:rsidRPr="00A41929">
        <w:rPr>
          <w:sz w:val="22"/>
          <w:szCs w:val="22"/>
        </w:rPr>
        <w:t>.</w:t>
      </w:r>
    </w:p>
    <w:p w:rsidR="003E0602" w:rsidRPr="00A41929" w:rsidRDefault="003E0602">
      <w:pPr>
        <w:pStyle w:val="Textoindependiente"/>
        <w:spacing w:after="0"/>
        <w:jc w:val="both"/>
        <w:rPr>
          <w:sz w:val="22"/>
          <w:szCs w:val="22"/>
        </w:rPr>
      </w:pPr>
    </w:p>
    <w:p w:rsidR="003E0602" w:rsidRPr="00A41929" w:rsidRDefault="003E0602">
      <w:pPr>
        <w:pStyle w:val="Textoindependiente"/>
        <w:spacing w:after="0"/>
        <w:jc w:val="both"/>
        <w:rPr>
          <w:sz w:val="22"/>
          <w:szCs w:val="22"/>
        </w:rPr>
      </w:pPr>
      <w:proofErr w:type="spellStart"/>
      <w:r w:rsidRPr="00A41929">
        <w:rPr>
          <w:bCs/>
          <w:sz w:val="22"/>
          <w:szCs w:val="22"/>
        </w:rPr>
        <w:t>Berthouly</w:t>
      </w:r>
      <w:proofErr w:type="spellEnd"/>
      <w:r w:rsidRPr="00A41929">
        <w:rPr>
          <w:bCs/>
          <w:sz w:val="22"/>
          <w:szCs w:val="22"/>
        </w:rPr>
        <w:t xml:space="preserve"> y </w:t>
      </w:r>
      <w:proofErr w:type="spellStart"/>
      <w:r w:rsidRPr="00A41929">
        <w:rPr>
          <w:bCs/>
          <w:sz w:val="22"/>
          <w:szCs w:val="22"/>
        </w:rPr>
        <w:t>Etienne</w:t>
      </w:r>
      <w:proofErr w:type="spellEnd"/>
      <w:r w:rsidRPr="00A41929">
        <w:rPr>
          <w:bCs/>
          <w:sz w:val="22"/>
          <w:szCs w:val="22"/>
        </w:rPr>
        <w:t xml:space="preserve"> (2005) c</w:t>
      </w:r>
      <w:r w:rsidRPr="00A41929">
        <w:rPr>
          <w:sz w:val="22"/>
          <w:szCs w:val="22"/>
        </w:rPr>
        <w:t xml:space="preserve">on  40 y 50 </w:t>
      </w:r>
      <w:proofErr w:type="spellStart"/>
      <w:r w:rsidRPr="00A41929">
        <w:rPr>
          <w:sz w:val="22"/>
          <w:szCs w:val="22"/>
        </w:rPr>
        <w:t>mL</w:t>
      </w:r>
      <w:proofErr w:type="spellEnd"/>
      <w:r w:rsidRPr="00A41929">
        <w:rPr>
          <w:sz w:val="22"/>
          <w:szCs w:val="22"/>
        </w:rPr>
        <w:t xml:space="preserve"> de medio de cultivo por </w:t>
      </w:r>
      <w:proofErr w:type="spellStart"/>
      <w:r w:rsidRPr="00A41929">
        <w:rPr>
          <w:sz w:val="22"/>
          <w:szCs w:val="22"/>
        </w:rPr>
        <w:t>explante</w:t>
      </w:r>
      <w:proofErr w:type="spellEnd"/>
      <w:r w:rsidRPr="00A41929">
        <w:rPr>
          <w:sz w:val="22"/>
          <w:szCs w:val="22"/>
        </w:rPr>
        <w:t xml:space="preserve"> obtuvieron los mejores resultados en la multiplicación de brotes de yemas axilares, debido a que se garantizó durante esta fase de cultivo un adecuado equilibrio entre las necesidades de nutrientes de los brotes de yemas axilares y la disponibilidad de los mismos en el medio de cultivo, en comparación con los volúmenes de 20 y 30 ml/</w:t>
      </w:r>
      <w:proofErr w:type="spellStart"/>
      <w:r w:rsidRPr="00A41929">
        <w:rPr>
          <w:sz w:val="22"/>
          <w:szCs w:val="22"/>
        </w:rPr>
        <w:t>explante</w:t>
      </w:r>
      <w:proofErr w:type="spellEnd"/>
      <w:r w:rsidRPr="00A41929">
        <w:rPr>
          <w:sz w:val="22"/>
          <w:szCs w:val="22"/>
        </w:rPr>
        <w:t xml:space="preserve"> de medio de cultivo. Lo que demuestra la necesidad de ajustar el volumen de medio de cultivo por </w:t>
      </w:r>
      <w:proofErr w:type="spellStart"/>
      <w:r w:rsidRPr="00A41929">
        <w:rPr>
          <w:sz w:val="22"/>
          <w:szCs w:val="22"/>
        </w:rPr>
        <w:t>explantes</w:t>
      </w:r>
      <w:proofErr w:type="spellEnd"/>
      <w:r w:rsidRPr="00A41929">
        <w:rPr>
          <w:sz w:val="22"/>
          <w:szCs w:val="22"/>
        </w:rPr>
        <w:t xml:space="preserve"> cultivados en el SIT, sin renovación del medio de cultivo.</w:t>
      </w:r>
    </w:p>
    <w:p w:rsidR="003E0602" w:rsidRPr="00A41929" w:rsidRDefault="003E0602">
      <w:pPr>
        <w:pStyle w:val="Textoindependiente"/>
        <w:spacing w:after="0"/>
        <w:jc w:val="both"/>
        <w:rPr>
          <w:sz w:val="22"/>
          <w:szCs w:val="22"/>
        </w:rPr>
      </w:pPr>
    </w:p>
    <w:p w:rsidR="003E0602" w:rsidRPr="00A41929" w:rsidRDefault="003E0602">
      <w:pPr>
        <w:jc w:val="both"/>
        <w:rPr>
          <w:sz w:val="22"/>
          <w:szCs w:val="22"/>
        </w:rPr>
      </w:pPr>
      <w:proofErr w:type="spellStart"/>
      <w:r w:rsidRPr="00A41929">
        <w:rPr>
          <w:sz w:val="22"/>
          <w:szCs w:val="22"/>
        </w:rPr>
        <w:t>Ziv</w:t>
      </w:r>
      <w:proofErr w:type="spellEnd"/>
      <w:r w:rsidRPr="00A41929">
        <w:rPr>
          <w:sz w:val="22"/>
          <w:szCs w:val="22"/>
        </w:rPr>
        <w:t xml:space="preserve"> (2005) al utilizar 1250 ml de medio de cultivo en </w:t>
      </w:r>
      <w:proofErr w:type="spellStart"/>
      <w:r w:rsidRPr="00A41929">
        <w:rPr>
          <w:sz w:val="22"/>
          <w:szCs w:val="22"/>
        </w:rPr>
        <w:t>biorreactores</w:t>
      </w:r>
      <w:proofErr w:type="spellEnd"/>
      <w:r w:rsidRPr="00A41929">
        <w:rPr>
          <w:sz w:val="22"/>
          <w:szCs w:val="22"/>
        </w:rPr>
        <w:t xml:space="preserve"> de 2500 ml de volumen total obtuvo un coeficiente de multiplicación (15,10) con la adición de 20 </w:t>
      </w:r>
      <w:proofErr w:type="spellStart"/>
      <w:r w:rsidRPr="00A41929">
        <w:rPr>
          <w:sz w:val="22"/>
          <w:szCs w:val="22"/>
        </w:rPr>
        <w:t>explantes</w:t>
      </w:r>
      <w:proofErr w:type="spellEnd"/>
      <w:r w:rsidRPr="00A41929">
        <w:rPr>
          <w:sz w:val="22"/>
          <w:szCs w:val="22"/>
        </w:rPr>
        <w:t xml:space="preserve"> de bananos.</w:t>
      </w:r>
    </w:p>
    <w:p w:rsidR="003E0602" w:rsidRPr="00A41929" w:rsidRDefault="003E0602">
      <w:pPr>
        <w:jc w:val="both"/>
        <w:rPr>
          <w:sz w:val="22"/>
          <w:szCs w:val="22"/>
        </w:rPr>
      </w:pPr>
    </w:p>
    <w:p w:rsidR="003E0602" w:rsidRPr="00A41929" w:rsidRDefault="003E0602">
      <w:pPr>
        <w:jc w:val="both"/>
        <w:rPr>
          <w:sz w:val="22"/>
          <w:szCs w:val="22"/>
        </w:rPr>
      </w:pPr>
      <w:r w:rsidRPr="00A41929">
        <w:rPr>
          <w:sz w:val="22"/>
          <w:szCs w:val="22"/>
        </w:rPr>
        <w:t xml:space="preserve">Según Castro y González (2002) para lograr un mismo desarrollo en las técnicas de cultivo de tejidos es necesario proveer a las plantas con suficientes cantidades de nutrientes esenciales (incluyendo la sacarosa y carbono como fuentes de energía bajo condiciones heterotróficas y </w:t>
      </w:r>
      <w:proofErr w:type="spellStart"/>
      <w:r w:rsidRPr="00A41929">
        <w:rPr>
          <w:sz w:val="22"/>
          <w:szCs w:val="22"/>
        </w:rPr>
        <w:t>mesotróficas</w:t>
      </w:r>
      <w:proofErr w:type="spellEnd"/>
      <w:r w:rsidRPr="00A41929">
        <w:rPr>
          <w:sz w:val="22"/>
          <w:szCs w:val="22"/>
        </w:rPr>
        <w:t>), de tal manera que los nutrientes no sean un factor limitante para la multiplicación en el desarrollo de las plantas. De acuerdo con los resultados obtenidos (</w:t>
      </w:r>
      <w:proofErr w:type="spellStart"/>
      <w:r w:rsidRPr="00A41929">
        <w:rPr>
          <w:i/>
          <w:iCs/>
          <w:sz w:val="22"/>
          <w:szCs w:val="22"/>
        </w:rPr>
        <w:t>Eucalyptus</w:t>
      </w:r>
      <w:proofErr w:type="spellEnd"/>
      <w:r w:rsidRPr="00A41929">
        <w:rPr>
          <w:i/>
          <w:iCs/>
          <w:sz w:val="22"/>
          <w:szCs w:val="22"/>
        </w:rPr>
        <w:t xml:space="preserve"> </w:t>
      </w:r>
      <w:proofErr w:type="spellStart"/>
      <w:r w:rsidRPr="00A41929">
        <w:rPr>
          <w:i/>
          <w:iCs/>
          <w:sz w:val="22"/>
          <w:szCs w:val="22"/>
        </w:rPr>
        <w:t>grandis</w:t>
      </w:r>
      <w:proofErr w:type="spellEnd"/>
      <w:r w:rsidRPr="00A41929">
        <w:rPr>
          <w:i/>
          <w:iCs/>
          <w:sz w:val="22"/>
          <w:szCs w:val="22"/>
        </w:rPr>
        <w:t xml:space="preserve"> </w:t>
      </w:r>
      <w:r w:rsidRPr="00A41929">
        <w:rPr>
          <w:sz w:val="22"/>
          <w:szCs w:val="22"/>
        </w:rPr>
        <w:t xml:space="preserve">Hill ex </w:t>
      </w:r>
      <w:proofErr w:type="spellStart"/>
      <w:r w:rsidRPr="00A41929">
        <w:rPr>
          <w:sz w:val="22"/>
          <w:szCs w:val="22"/>
        </w:rPr>
        <w:t>Maiden</w:t>
      </w:r>
      <w:proofErr w:type="spellEnd"/>
      <w:r w:rsidRPr="00A41929">
        <w:rPr>
          <w:sz w:val="22"/>
          <w:szCs w:val="22"/>
        </w:rPr>
        <w:t xml:space="preserve">) demostraron que con el empleo de un volumen de 500 </w:t>
      </w:r>
      <w:proofErr w:type="spellStart"/>
      <w:r w:rsidRPr="00A41929">
        <w:rPr>
          <w:sz w:val="22"/>
          <w:szCs w:val="22"/>
        </w:rPr>
        <w:t>mL</w:t>
      </w:r>
      <w:proofErr w:type="spellEnd"/>
      <w:r w:rsidRPr="00A41929">
        <w:rPr>
          <w:sz w:val="22"/>
          <w:szCs w:val="22"/>
        </w:rPr>
        <w:t xml:space="preserve"> de medio de cultivo con 9 </w:t>
      </w:r>
      <w:proofErr w:type="spellStart"/>
      <w:r w:rsidRPr="00A41929">
        <w:rPr>
          <w:sz w:val="22"/>
          <w:szCs w:val="22"/>
        </w:rPr>
        <w:t>explantes</w:t>
      </w:r>
      <w:proofErr w:type="spellEnd"/>
      <w:r w:rsidRPr="00A41929">
        <w:rPr>
          <w:sz w:val="22"/>
          <w:szCs w:val="22"/>
        </w:rPr>
        <w:t xml:space="preserve"> se logró un coeficiente de multiplicación de 10,5 brotes y la mejor calidad de los brotes en t</w:t>
      </w:r>
      <w:r w:rsidRPr="00A41929">
        <w:rPr>
          <w:rFonts w:eastAsia="Arial Unicode MS"/>
          <w:sz w:val="22"/>
          <w:szCs w:val="22"/>
        </w:rPr>
        <w:t>érm</w:t>
      </w:r>
      <w:r w:rsidRPr="00A41929">
        <w:rPr>
          <w:sz w:val="22"/>
          <w:szCs w:val="22"/>
        </w:rPr>
        <w:t xml:space="preserve">inos de una mayor producción de masa seca. Es importante notar que en la medida que se incrementó el volumen de medio de cultivo se obtuvo un mayor coeficiente de multiplicación, sin embargo, la calidad de los brotes constituyó un factor importante, el cual permitió definir un volumen adecuado de medio de cultivo, que minimiza el estrés hídrico en los brotes, particularmente en las primeras etapas del cultivo. </w:t>
      </w:r>
    </w:p>
    <w:p w:rsidR="003E0602" w:rsidRPr="00A41929" w:rsidRDefault="003E0602">
      <w:pPr>
        <w:jc w:val="both"/>
        <w:rPr>
          <w:sz w:val="22"/>
          <w:szCs w:val="22"/>
        </w:rPr>
      </w:pPr>
    </w:p>
    <w:p w:rsidR="003E0602" w:rsidRPr="00A41929" w:rsidRDefault="003E0602" w:rsidP="005E78F1">
      <w:pPr>
        <w:pStyle w:val="Sangradetextonormal"/>
        <w:spacing w:after="0"/>
        <w:ind w:left="539" w:hanging="539"/>
        <w:rPr>
          <w:b/>
          <w:i/>
          <w:sz w:val="22"/>
          <w:szCs w:val="22"/>
        </w:rPr>
      </w:pPr>
      <w:r w:rsidRPr="00A41929">
        <w:rPr>
          <w:b/>
          <w:i/>
          <w:sz w:val="22"/>
          <w:szCs w:val="22"/>
        </w:rPr>
        <w:t xml:space="preserve">Determinación del momento de </w:t>
      </w:r>
      <w:proofErr w:type="spellStart"/>
      <w:r w:rsidRPr="00A41929">
        <w:rPr>
          <w:b/>
          <w:i/>
          <w:sz w:val="22"/>
          <w:szCs w:val="22"/>
        </w:rPr>
        <w:t>subcultivo</w:t>
      </w:r>
      <w:proofErr w:type="spellEnd"/>
      <w:r w:rsidRPr="00A41929">
        <w:rPr>
          <w:b/>
          <w:i/>
          <w:sz w:val="22"/>
          <w:szCs w:val="22"/>
        </w:rPr>
        <w:t xml:space="preserve"> en el Sistema de Inmersión Temporal</w:t>
      </w:r>
    </w:p>
    <w:p w:rsidR="003E0602" w:rsidRPr="00A41929" w:rsidRDefault="003E0602" w:rsidP="005E78F1">
      <w:pPr>
        <w:pStyle w:val="Textoindependiente3"/>
        <w:spacing w:line="240" w:lineRule="auto"/>
        <w:rPr>
          <w:sz w:val="22"/>
          <w:szCs w:val="22"/>
        </w:rPr>
      </w:pPr>
      <w:r w:rsidRPr="00A41929">
        <w:rPr>
          <w:sz w:val="22"/>
          <w:szCs w:val="22"/>
        </w:rPr>
        <w:t xml:space="preserve">A partir de los 18 días de realizado el </w:t>
      </w:r>
      <w:proofErr w:type="spellStart"/>
      <w:r w:rsidRPr="00A41929">
        <w:rPr>
          <w:sz w:val="22"/>
          <w:szCs w:val="22"/>
        </w:rPr>
        <w:t>subcultivo</w:t>
      </w:r>
      <w:proofErr w:type="spellEnd"/>
      <w:r w:rsidRPr="00A41929">
        <w:rPr>
          <w:sz w:val="22"/>
          <w:szCs w:val="22"/>
        </w:rPr>
        <w:t xml:space="preserve"> hubo un  incremento del coeficiente de multiplicación (8,15), diámetro del </w:t>
      </w:r>
      <w:proofErr w:type="spellStart"/>
      <w:r w:rsidRPr="00A41929">
        <w:rPr>
          <w:sz w:val="22"/>
          <w:szCs w:val="22"/>
        </w:rPr>
        <w:t>pseudotallo</w:t>
      </w:r>
      <w:proofErr w:type="spellEnd"/>
      <w:r w:rsidRPr="00A41929">
        <w:rPr>
          <w:sz w:val="22"/>
          <w:szCs w:val="22"/>
        </w:rPr>
        <w:t xml:space="preserve"> (0,99), número de hojas activas (3,03) y altura del </w:t>
      </w:r>
      <w:proofErr w:type="spellStart"/>
      <w:r w:rsidRPr="00A41929">
        <w:rPr>
          <w:sz w:val="22"/>
          <w:szCs w:val="22"/>
        </w:rPr>
        <w:t>explante</w:t>
      </w:r>
      <w:proofErr w:type="spellEnd"/>
      <w:r w:rsidRPr="00A41929">
        <w:rPr>
          <w:sz w:val="22"/>
          <w:szCs w:val="22"/>
        </w:rPr>
        <w:t xml:space="preserve"> (1,46), siendo este superior pero sin diferencias significativas en cuanto a los demás tratamientos pero sí con el de 15 días de cultivo. Al analizar la variable grado de oxidación se obtiene el menor resultado (2,16) con diferencias respecto al resto. Por lo tanto el tiempo de </w:t>
      </w:r>
      <w:proofErr w:type="spellStart"/>
      <w:r w:rsidRPr="00A41929">
        <w:rPr>
          <w:sz w:val="22"/>
          <w:szCs w:val="22"/>
        </w:rPr>
        <w:t>subcultivos</w:t>
      </w:r>
      <w:proofErr w:type="spellEnd"/>
      <w:r w:rsidRPr="00A41929">
        <w:rPr>
          <w:sz w:val="22"/>
          <w:szCs w:val="22"/>
        </w:rPr>
        <w:t xml:space="preserve"> es a partir de los 18 días, pues a través  de este período de proliferación se puede obtener una mayor cantidad de </w:t>
      </w:r>
      <w:proofErr w:type="spellStart"/>
      <w:r w:rsidRPr="00A41929">
        <w:rPr>
          <w:sz w:val="22"/>
          <w:szCs w:val="22"/>
        </w:rPr>
        <w:t>explantes</w:t>
      </w:r>
      <w:proofErr w:type="spellEnd"/>
      <w:r w:rsidRPr="00A41929">
        <w:rPr>
          <w:sz w:val="22"/>
          <w:szCs w:val="22"/>
        </w:rPr>
        <w:t xml:space="preserve"> en un menor tiempo y el material está menos expuesto a riesgo de contaminación (tabla 4).</w:t>
      </w:r>
    </w:p>
    <w:p w:rsidR="003E0602" w:rsidRPr="00A41929" w:rsidRDefault="003E0602" w:rsidP="005E78F1">
      <w:pPr>
        <w:pStyle w:val="Textoindependiente3"/>
        <w:spacing w:line="240" w:lineRule="auto"/>
        <w:rPr>
          <w:sz w:val="22"/>
          <w:szCs w:val="22"/>
        </w:rPr>
      </w:pPr>
    </w:p>
    <w:p w:rsidR="003E0602" w:rsidRPr="00A41929" w:rsidRDefault="003E0602">
      <w:pPr>
        <w:jc w:val="both"/>
        <w:rPr>
          <w:sz w:val="22"/>
          <w:szCs w:val="22"/>
        </w:rPr>
      </w:pPr>
      <w:r w:rsidRPr="00A41929">
        <w:rPr>
          <w:b/>
          <w:sz w:val="22"/>
          <w:szCs w:val="22"/>
        </w:rPr>
        <w:t>Tabla 4.</w:t>
      </w:r>
      <w:r w:rsidRPr="00A41929">
        <w:rPr>
          <w:sz w:val="22"/>
          <w:szCs w:val="22"/>
        </w:rPr>
        <w:t xml:space="preserve"> Efecto del tiempo de </w:t>
      </w:r>
      <w:proofErr w:type="spellStart"/>
      <w:r w:rsidRPr="00A41929">
        <w:rPr>
          <w:sz w:val="22"/>
          <w:szCs w:val="22"/>
        </w:rPr>
        <w:t>subcultivos</w:t>
      </w:r>
      <w:proofErr w:type="spellEnd"/>
      <w:r w:rsidRPr="00A41929">
        <w:rPr>
          <w:sz w:val="22"/>
          <w:szCs w:val="22"/>
        </w:rPr>
        <w:t xml:space="preserve"> de los </w:t>
      </w:r>
      <w:proofErr w:type="spellStart"/>
      <w:r w:rsidRPr="00A41929">
        <w:rPr>
          <w:sz w:val="22"/>
          <w:szCs w:val="22"/>
        </w:rPr>
        <w:t>explantes</w:t>
      </w:r>
      <w:proofErr w:type="spellEnd"/>
      <w:r w:rsidRPr="00A41929">
        <w:rPr>
          <w:sz w:val="22"/>
          <w:szCs w:val="22"/>
        </w:rPr>
        <w:t xml:space="preserve"> en el cultivar de plátano vianda </w:t>
      </w:r>
      <w:r w:rsidRPr="00A41929">
        <w:rPr>
          <w:bCs/>
          <w:sz w:val="22"/>
          <w:szCs w:val="22"/>
        </w:rPr>
        <w:t xml:space="preserve">"INIVITPV-2011" </w:t>
      </w:r>
      <w:r w:rsidRPr="00A41929">
        <w:rPr>
          <w:sz w:val="22"/>
          <w:szCs w:val="22"/>
        </w:rPr>
        <w:t>(AAB) en Sistema de Inmersión Temporal.</w:t>
      </w:r>
    </w:p>
    <w:tbl>
      <w:tblPr>
        <w:tblW w:w="4999" w:type="pct"/>
        <w:tblBorders>
          <w:top w:val="single" w:sz="12" w:space="0" w:color="008000"/>
          <w:bottom w:val="single" w:sz="12" w:space="0" w:color="008000"/>
        </w:tblBorders>
        <w:tblLook w:val="0000"/>
      </w:tblPr>
      <w:tblGrid>
        <w:gridCol w:w="1565"/>
        <w:gridCol w:w="2100"/>
        <w:gridCol w:w="2100"/>
        <w:gridCol w:w="1328"/>
        <w:gridCol w:w="1078"/>
        <w:gridCol w:w="888"/>
      </w:tblGrid>
      <w:tr w:rsidR="003E0602" w:rsidRPr="00A41929">
        <w:trPr>
          <w:trHeight w:val="420"/>
        </w:trPr>
        <w:tc>
          <w:tcPr>
            <w:tcW w:w="864" w:type="pct"/>
            <w:tcBorders>
              <w:top w:val="single" w:sz="18" w:space="0" w:color="339966"/>
              <w:bottom w:val="single" w:sz="18" w:space="0" w:color="339966"/>
            </w:tcBorders>
            <w:vAlign w:val="center"/>
          </w:tcPr>
          <w:p w:rsidR="003E0602" w:rsidRPr="00A41929" w:rsidRDefault="003E0602">
            <w:pPr>
              <w:jc w:val="center"/>
              <w:rPr>
                <w:b/>
                <w:sz w:val="22"/>
                <w:szCs w:val="22"/>
              </w:rPr>
            </w:pPr>
            <w:r w:rsidRPr="00A41929">
              <w:rPr>
                <w:b/>
                <w:sz w:val="22"/>
                <w:szCs w:val="22"/>
              </w:rPr>
              <w:lastRenderedPageBreak/>
              <w:t>Tratamientos</w:t>
            </w:r>
          </w:p>
        </w:tc>
        <w:tc>
          <w:tcPr>
            <w:tcW w:w="1159" w:type="pct"/>
            <w:tcBorders>
              <w:top w:val="single" w:sz="18" w:space="0" w:color="339966"/>
              <w:bottom w:val="single" w:sz="18" w:space="0" w:color="339966"/>
            </w:tcBorders>
          </w:tcPr>
          <w:p w:rsidR="003E0602" w:rsidRPr="00A41929" w:rsidRDefault="003E0602" w:rsidP="005E78F1">
            <w:pPr>
              <w:jc w:val="center"/>
              <w:rPr>
                <w:b/>
                <w:sz w:val="22"/>
                <w:szCs w:val="22"/>
              </w:rPr>
            </w:pPr>
            <w:r w:rsidRPr="00A41929">
              <w:rPr>
                <w:b/>
                <w:sz w:val="22"/>
                <w:szCs w:val="22"/>
              </w:rPr>
              <w:t>Coeficiente de Multiplicación</w:t>
            </w:r>
          </w:p>
        </w:tc>
        <w:tc>
          <w:tcPr>
            <w:tcW w:w="1159" w:type="pct"/>
            <w:tcBorders>
              <w:top w:val="single" w:sz="18" w:space="0" w:color="339966"/>
              <w:bottom w:val="single" w:sz="18" w:space="0" w:color="339966"/>
            </w:tcBorders>
            <w:vAlign w:val="center"/>
          </w:tcPr>
          <w:p w:rsidR="003E0602" w:rsidRPr="00A41929" w:rsidRDefault="003E0602">
            <w:pPr>
              <w:jc w:val="center"/>
              <w:rPr>
                <w:b/>
                <w:sz w:val="22"/>
                <w:szCs w:val="22"/>
              </w:rPr>
            </w:pPr>
            <w:r w:rsidRPr="00A41929">
              <w:rPr>
                <w:b/>
                <w:sz w:val="22"/>
                <w:szCs w:val="22"/>
              </w:rPr>
              <w:t xml:space="preserve">Diámetro del </w:t>
            </w:r>
            <w:proofErr w:type="spellStart"/>
            <w:r w:rsidRPr="00A41929">
              <w:rPr>
                <w:b/>
                <w:sz w:val="22"/>
                <w:szCs w:val="22"/>
              </w:rPr>
              <w:t>pseudotallo</w:t>
            </w:r>
            <w:proofErr w:type="spellEnd"/>
            <w:r w:rsidRPr="00A41929">
              <w:rPr>
                <w:b/>
                <w:sz w:val="22"/>
                <w:szCs w:val="22"/>
              </w:rPr>
              <w:t xml:space="preserve"> (cm)</w:t>
            </w:r>
          </w:p>
        </w:tc>
        <w:tc>
          <w:tcPr>
            <w:tcW w:w="733" w:type="pct"/>
            <w:tcBorders>
              <w:top w:val="single" w:sz="18" w:space="0" w:color="339966"/>
              <w:bottom w:val="single" w:sz="18" w:space="0" w:color="339966"/>
            </w:tcBorders>
            <w:vAlign w:val="center"/>
          </w:tcPr>
          <w:p w:rsidR="003E0602" w:rsidRPr="00A41929" w:rsidRDefault="003E0602">
            <w:pPr>
              <w:jc w:val="center"/>
              <w:rPr>
                <w:b/>
                <w:sz w:val="22"/>
                <w:szCs w:val="22"/>
              </w:rPr>
            </w:pPr>
            <w:r w:rsidRPr="00A41929">
              <w:rPr>
                <w:b/>
                <w:sz w:val="22"/>
                <w:szCs w:val="22"/>
              </w:rPr>
              <w:t>Grado Oxidación</w:t>
            </w:r>
          </w:p>
        </w:tc>
        <w:tc>
          <w:tcPr>
            <w:tcW w:w="595" w:type="pct"/>
            <w:tcBorders>
              <w:top w:val="single" w:sz="18" w:space="0" w:color="339966"/>
              <w:bottom w:val="single" w:sz="18" w:space="0" w:color="339966"/>
            </w:tcBorders>
            <w:vAlign w:val="center"/>
          </w:tcPr>
          <w:p w:rsidR="003E0602" w:rsidRPr="00A41929" w:rsidRDefault="003E0602">
            <w:pPr>
              <w:jc w:val="center"/>
              <w:rPr>
                <w:b/>
                <w:sz w:val="22"/>
                <w:szCs w:val="22"/>
              </w:rPr>
            </w:pPr>
            <w:r w:rsidRPr="00A41929">
              <w:rPr>
                <w:b/>
                <w:sz w:val="22"/>
                <w:szCs w:val="22"/>
              </w:rPr>
              <w:t>Hojas Activas</w:t>
            </w:r>
          </w:p>
        </w:tc>
        <w:tc>
          <w:tcPr>
            <w:tcW w:w="490" w:type="pct"/>
            <w:tcBorders>
              <w:top w:val="single" w:sz="18" w:space="0" w:color="339966"/>
              <w:bottom w:val="single" w:sz="18" w:space="0" w:color="339966"/>
            </w:tcBorders>
            <w:vAlign w:val="center"/>
          </w:tcPr>
          <w:p w:rsidR="003E0602" w:rsidRPr="00A41929" w:rsidRDefault="003E0602">
            <w:pPr>
              <w:jc w:val="center"/>
              <w:rPr>
                <w:b/>
                <w:sz w:val="22"/>
                <w:szCs w:val="22"/>
              </w:rPr>
            </w:pPr>
            <w:r w:rsidRPr="00A41929">
              <w:rPr>
                <w:b/>
                <w:sz w:val="22"/>
                <w:szCs w:val="22"/>
              </w:rPr>
              <w:t>Altura (cm)</w:t>
            </w:r>
          </w:p>
        </w:tc>
      </w:tr>
      <w:tr w:rsidR="003E0602" w:rsidRPr="00A41929">
        <w:trPr>
          <w:trHeight w:val="420"/>
        </w:trPr>
        <w:tc>
          <w:tcPr>
            <w:tcW w:w="864" w:type="pct"/>
            <w:tcBorders>
              <w:top w:val="single" w:sz="18" w:space="0" w:color="339966"/>
            </w:tcBorders>
            <w:vAlign w:val="center"/>
          </w:tcPr>
          <w:p w:rsidR="003E0602" w:rsidRPr="00A41929" w:rsidRDefault="003E0602" w:rsidP="005E78F1">
            <w:pPr>
              <w:jc w:val="center"/>
              <w:rPr>
                <w:sz w:val="22"/>
                <w:szCs w:val="22"/>
              </w:rPr>
            </w:pPr>
            <w:r w:rsidRPr="00A41929">
              <w:rPr>
                <w:sz w:val="22"/>
                <w:szCs w:val="22"/>
              </w:rPr>
              <w:t>15 días</w:t>
            </w:r>
          </w:p>
        </w:tc>
        <w:tc>
          <w:tcPr>
            <w:tcW w:w="1159" w:type="pct"/>
            <w:tcBorders>
              <w:top w:val="single" w:sz="18" w:space="0" w:color="339966"/>
            </w:tcBorders>
            <w:vAlign w:val="center"/>
          </w:tcPr>
          <w:p w:rsidR="003E0602" w:rsidRPr="00A41929" w:rsidRDefault="003E0602" w:rsidP="006838D1">
            <w:pPr>
              <w:ind w:right="595"/>
              <w:jc w:val="right"/>
              <w:rPr>
                <w:sz w:val="22"/>
                <w:szCs w:val="22"/>
              </w:rPr>
            </w:pPr>
            <w:r w:rsidRPr="00A41929">
              <w:rPr>
                <w:sz w:val="22"/>
                <w:szCs w:val="22"/>
              </w:rPr>
              <w:t>5,16 b</w:t>
            </w:r>
          </w:p>
        </w:tc>
        <w:tc>
          <w:tcPr>
            <w:tcW w:w="1159" w:type="pct"/>
            <w:tcBorders>
              <w:top w:val="single" w:sz="18" w:space="0" w:color="339966"/>
            </w:tcBorders>
            <w:vAlign w:val="center"/>
          </w:tcPr>
          <w:p w:rsidR="003E0602" w:rsidRPr="00A41929" w:rsidRDefault="003E0602">
            <w:pPr>
              <w:tabs>
                <w:tab w:val="left" w:pos="820"/>
                <w:tab w:val="left" w:pos="996"/>
              </w:tabs>
              <w:jc w:val="center"/>
              <w:rPr>
                <w:sz w:val="22"/>
                <w:szCs w:val="22"/>
              </w:rPr>
            </w:pPr>
            <w:r w:rsidRPr="00A41929">
              <w:rPr>
                <w:sz w:val="22"/>
                <w:szCs w:val="22"/>
              </w:rPr>
              <w:t>0,84 b</w:t>
            </w:r>
          </w:p>
        </w:tc>
        <w:tc>
          <w:tcPr>
            <w:tcW w:w="733" w:type="pct"/>
            <w:tcBorders>
              <w:top w:val="single" w:sz="18" w:space="0" w:color="339966"/>
            </w:tcBorders>
            <w:vAlign w:val="center"/>
          </w:tcPr>
          <w:p w:rsidR="003E0602" w:rsidRPr="00A41929" w:rsidRDefault="003E0602">
            <w:pPr>
              <w:tabs>
                <w:tab w:val="left" w:pos="684"/>
              </w:tabs>
              <w:jc w:val="center"/>
              <w:rPr>
                <w:sz w:val="22"/>
                <w:szCs w:val="22"/>
              </w:rPr>
            </w:pPr>
            <w:r w:rsidRPr="00A41929">
              <w:rPr>
                <w:sz w:val="22"/>
                <w:szCs w:val="22"/>
              </w:rPr>
              <w:t>2,50 a</w:t>
            </w:r>
          </w:p>
        </w:tc>
        <w:tc>
          <w:tcPr>
            <w:tcW w:w="595" w:type="pct"/>
            <w:tcBorders>
              <w:top w:val="single" w:sz="18" w:space="0" w:color="339966"/>
            </w:tcBorders>
            <w:vAlign w:val="center"/>
          </w:tcPr>
          <w:p w:rsidR="003E0602" w:rsidRPr="00A41929" w:rsidRDefault="003E0602">
            <w:pPr>
              <w:tabs>
                <w:tab w:val="left" w:pos="726"/>
              </w:tabs>
              <w:jc w:val="center"/>
              <w:rPr>
                <w:sz w:val="22"/>
                <w:szCs w:val="22"/>
              </w:rPr>
            </w:pPr>
            <w:r w:rsidRPr="00A41929">
              <w:rPr>
                <w:sz w:val="22"/>
                <w:szCs w:val="22"/>
              </w:rPr>
              <w:t>2,99 b</w:t>
            </w:r>
          </w:p>
        </w:tc>
        <w:tc>
          <w:tcPr>
            <w:tcW w:w="490" w:type="pct"/>
            <w:tcBorders>
              <w:top w:val="single" w:sz="18" w:space="0" w:color="339966"/>
            </w:tcBorders>
            <w:vAlign w:val="center"/>
          </w:tcPr>
          <w:p w:rsidR="003E0602" w:rsidRPr="00A41929" w:rsidRDefault="003E0602">
            <w:pPr>
              <w:jc w:val="center"/>
              <w:rPr>
                <w:sz w:val="22"/>
                <w:szCs w:val="22"/>
              </w:rPr>
            </w:pPr>
            <w:r w:rsidRPr="00A41929">
              <w:rPr>
                <w:sz w:val="22"/>
                <w:szCs w:val="22"/>
              </w:rPr>
              <w:t>1,18 b</w:t>
            </w:r>
          </w:p>
        </w:tc>
      </w:tr>
      <w:tr w:rsidR="003E0602" w:rsidRPr="00A41929">
        <w:trPr>
          <w:trHeight w:val="420"/>
        </w:trPr>
        <w:tc>
          <w:tcPr>
            <w:tcW w:w="864" w:type="pct"/>
            <w:vAlign w:val="center"/>
          </w:tcPr>
          <w:p w:rsidR="003E0602" w:rsidRPr="00A41929" w:rsidRDefault="003E0602" w:rsidP="005E78F1">
            <w:pPr>
              <w:jc w:val="center"/>
              <w:rPr>
                <w:sz w:val="22"/>
                <w:szCs w:val="22"/>
              </w:rPr>
            </w:pPr>
            <w:r w:rsidRPr="00A41929">
              <w:rPr>
                <w:sz w:val="22"/>
                <w:szCs w:val="22"/>
              </w:rPr>
              <w:t>18 días</w:t>
            </w:r>
          </w:p>
        </w:tc>
        <w:tc>
          <w:tcPr>
            <w:tcW w:w="1159" w:type="pct"/>
            <w:vAlign w:val="center"/>
          </w:tcPr>
          <w:p w:rsidR="003E0602" w:rsidRPr="00A41929" w:rsidRDefault="003E0602" w:rsidP="006838D1">
            <w:pPr>
              <w:ind w:right="595"/>
              <w:jc w:val="right"/>
              <w:rPr>
                <w:sz w:val="22"/>
                <w:szCs w:val="22"/>
              </w:rPr>
            </w:pPr>
            <w:r w:rsidRPr="00A41929">
              <w:rPr>
                <w:sz w:val="22"/>
                <w:szCs w:val="22"/>
              </w:rPr>
              <w:t xml:space="preserve">8,15 a </w:t>
            </w:r>
          </w:p>
        </w:tc>
        <w:tc>
          <w:tcPr>
            <w:tcW w:w="1159" w:type="pct"/>
            <w:vAlign w:val="center"/>
          </w:tcPr>
          <w:p w:rsidR="003E0602" w:rsidRPr="00A41929" w:rsidRDefault="003E0602">
            <w:pPr>
              <w:jc w:val="center"/>
              <w:rPr>
                <w:sz w:val="22"/>
                <w:szCs w:val="22"/>
              </w:rPr>
            </w:pPr>
            <w:r w:rsidRPr="00A41929">
              <w:rPr>
                <w:sz w:val="22"/>
                <w:szCs w:val="22"/>
              </w:rPr>
              <w:t>0,99 a</w:t>
            </w:r>
          </w:p>
        </w:tc>
        <w:tc>
          <w:tcPr>
            <w:tcW w:w="733" w:type="pct"/>
            <w:vAlign w:val="center"/>
          </w:tcPr>
          <w:p w:rsidR="003E0602" w:rsidRPr="00A41929" w:rsidRDefault="003E0602">
            <w:pPr>
              <w:jc w:val="center"/>
              <w:rPr>
                <w:sz w:val="22"/>
                <w:szCs w:val="22"/>
              </w:rPr>
            </w:pPr>
            <w:r w:rsidRPr="00A41929">
              <w:rPr>
                <w:sz w:val="22"/>
                <w:szCs w:val="22"/>
              </w:rPr>
              <w:t>2,16 b</w:t>
            </w:r>
          </w:p>
        </w:tc>
        <w:tc>
          <w:tcPr>
            <w:tcW w:w="595" w:type="pct"/>
            <w:vAlign w:val="center"/>
          </w:tcPr>
          <w:p w:rsidR="003E0602" w:rsidRPr="00A41929" w:rsidRDefault="003E0602">
            <w:pPr>
              <w:jc w:val="center"/>
              <w:rPr>
                <w:sz w:val="22"/>
                <w:szCs w:val="22"/>
              </w:rPr>
            </w:pPr>
            <w:r w:rsidRPr="00A41929">
              <w:rPr>
                <w:sz w:val="22"/>
                <w:szCs w:val="22"/>
              </w:rPr>
              <w:t>3,03 a</w:t>
            </w:r>
          </w:p>
        </w:tc>
        <w:tc>
          <w:tcPr>
            <w:tcW w:w="490" w:type="pct"/>
            <w:vAlign w:val="center"/>
          </w:tcPr>
          <w:p w:rsidR="003E0602" w:rsidRPr="00A41929" w:rsidRDefault="003E0602">
            <w:pPr>
              <w:tabs>
                <w:tab w:val="left" w:pos="596"/>
              </w:tabs>
              <w:jc w:val="center"/>
              <w:rPr>
                <w:sz w:val="22"/>
                <w:szCs w:val="22"/>
              </w:rPr>
            </w:pPr>
            <w:r w:rsidRPr="00A41929">
              <w:rPr>
                <w:sz w:val="22"/>
                <w:szCs w:val="22"/>
              </w:rPr>
              <w:t>1,46 a</w:t>
            </w:r>
          </w:p>
        </w:tc>
      </w:tr>
      <w:tr w:rsidR="003E0602" w:rsidRPr="00A41929">
        <w:trPr>
          <w:trHeight w:val="420"/>
        </w:trPr>
        <w:tc>
          <w:tcPr>
            <w:tcW w:w="864" w:type="pct"/>
            <w:vAlign w:val="center"/>
          </w:tcPr>
          <w:p w:rsidR="003E0602" w:rsidRPr="00A41929" w:rsidRDefault="003E0602" w:rsidP="005E78F1">
            <w:pPr>
              <w:jc w:val="center"/>
              <w:rPr>
                <w:sz w:val="22"/>
                <w:szCs w:val="22"/>
              </w:rPr>
            </w:pPr>
            <w:r w:rsidRPr="00A41929">
              <w:rPr>
                <w:sz w:val="22"/>
                <w:szCs w:val="22"/>
              </w:rPr>
              <w:t>21 días</w:t>
            </w:r>
          </w:p>
        </w:tc>
        <w:tc>
          <w:tcPr>
            <w:tcW w:w="1159" w:type="pct"/>
            <w:vAlign w:val="center"/>
          </w:tcPr>
          <w:p w:rsidR="003E0602" w:rsidRPr="00A41929" w:rsidRDefault="003E0602" w:rsidP="006838D1">
            <w:pPr>
              <w:ind w:right="595"/>
              <w:jc w:val="right"/>
              <w:rPr>
                <w:sz w:val="22"/>
                <w:szCs w:val="22"/>
              </w:rPr>
            </w:pPr>
            <w:r w:rsidRPr="00A41929">
              <w:rPr>
                <w:sz w:val="22"/>
                <w:szCs w:val="22"/>
              </w:rPr>
              <w:t>8,04 a</w:t>
            </w:r>
          </w:p>
        </w:tc>
        <w:tc>
          <w:tcPr>
            <w:tcW w:w="1159" w:type="pct"/>
            <w:vAlign w:val="center"/>
          </w:tcPr>
          <w:p w:rsidR="003E0602" w:rsidRPr="00A41929" w:rsidRDefault="003E0602">
            <w:pPr>
              <w:jc w:val="center"/>
              <w:rPr>
                <w:sz w:val="22"/>
                <w:szCs w:val="22"/>
              </w:rPr>
            </w:pPr>
            <w:r w:rsidRPr="00A41929">
              <w:rPr>
                <w:sz w:val="22"/>
                <w:szCs w:val="22"/>
              </w:rPr>
              <w:t>0,97 a</w:t>
            </w:r>
          </w:p>
        </w:tc>
        <w:tc>
          <w:tcPr>
            <w:tcW w:w="733" w:type="pct"/>
            <w:vAlign w:val="center"/>
          </w:tcPr>
          <w:p w:rsidR="003E0602" w:rsidRPr="00A41929" w:rsidRDefault="003E0602">
            <w:pPr>
              <w:jc w:val="center"/>
              <w:rPr>
                <w:sz w:val="22"/>
                <w:szCs w:val="22"/>
              </w:rPr>
            </w:pPr>
            <w:r w:rsidRPr="00A41929">
              <w:rPr>
                <w:sz w:val="22"/>
                <w:szCs w:val="22"/>
              </w:rPr>
              <w:t>2,60 a</w:t>
            </w:r>
          </w:p>
        </w:tc>
        <w:tc>
          <w:tcPr>
            <w:tcW w:w="595" w:type="pct"/>
            <w:vAlign w:val="center"/>
          </w:tcPr>
          <w:p w:rsidR="003E0602" w:rsidRPr="00A41929" w:rsidRDefault="003E0602">
            <w:pPr>
              <w:jc w:val="center"/>
              <w:rPr>
                <w:sz w:val="22"/>
                <w:szCs w:val="22"/>
              </w:rPr>
            </w:pPr>
            <w:r w:rsidRPr="00A41929">
              <w:rPr>
                <w:sz w:val="22"/>
                <w:szCs w:val="22"/>
              </w:rPr>
              <w:t>3,01 a</w:t>
            </w:r>
          </w:p>
        </w:tc>
        <w:tc>
          <w:tcPr>
            <w:tcW w:w="490" w:type="pct"/>
            <w:vAlign w:val="center"/>
          </w:tcPr>
          <w:p w:rsidR="003E0602" w:rsidRPr="00A41929" w:rsidRDefault="003E0602">
            <w:pPr>
              <w:jc w:val="center"/>
              <w:rPr>
                <w:sz w:val="22"/>
                <w:szCs w:val="22"/>
              </w:rPr>
            </w:pPr>
            <w:r w:rsidRPr="00A41929">
              <w:rPr>
                <w:sz w:val="22"/>
                <w:szCs w:val="22"/>
              </w:rPr>
              <w:t>1,42 a</w:t>
            </w:r>
          </w:p>
        </w:tc>
      </w:tr>
      <w:tr w:rsidR="003E0602" w:rsidRPr="00A41929">
        <w:trPr>
          <w:trHeight w:val="420"/>
        </w:trPr>
        <w:tc>
          <w:tcPr>
            <w:tcW w:w="864" w:type="pct"/>
            <w:tcBorders>
              <w:bottom w:val="single" w:sz="18" w:space="0" w:color="339966"/>
            </w:tcBorders>
            <w:vAlign w:val="center"/>
          </w:tcPr>
          <w:p w:rsidR="003E0602" w:rsidRPr="00A41929" w:rsidRDefault="003E0602" w:rsidP="005E78F1">
            <w:pPr>
              <w:jc w:val="center"/>
              <w:rPr>
                <w:sz w:val="22"/>
                <w:szCs w:val="22"/>
              </w:rPr>
            </w:pPr>
            <w:r w:rsidRPr="00A41929">
              <w:rPr>
                <w:sz w:val="22"/>
                <w:szCs w:val="22"/>
              </w:rPr>
              <w:t>25 días</w:t>
            </w:r>
          </w:p>
        </w:tc>
        <w:tc>
          <w:tcPr>
            <w:tcW w:w="1159" w:type="pct"/>
            <w:tcBorders>
              <w:bottom w:val="single" w:sz="18" w:space="0" w:color="339966"/>
            </w:tcBorders>
            <w:vAlign w:val="center"/>
          </w:tcPr>
          <w:p w:rsidR="003E0602" w:rsidRPr="00A41929" w:rsidRDefault="003E0602" w:rsidP="006838D1">
            <w:pPr>
              <w:ind w:right="595"/>
              <w:jc w:val="right"/>
              <w:rPr>
                <w:sz w:val="22"/>
                <w:szCs w:val="22"/>
              </w:rPr>
            </w:pPr>
            <w:r w:rsidRPr="00A41929">
              <w:rPr>
                <w:sz w:val="22"/>
                <w:szCs w:val="22"/>
              </w:rPr>
              <w:t>8,12 a</w:t>
            </w:r>
          </w:p>
        </w:tc>
        <w:tc>
          <w:tcPr>
            <w:tcW w:w="1159" w:type="pct"/>
            <w:tcBorders>
              <w:bottom w:val="single" w:sz="18" w:space="0" w:color="339966"/>
            </w:tcBorders>
            <w:vAlign w:val="center"/>
          </w:tcPr>
          <w:p w:rsidR="003E0602" w:rsidRPr="00A41929" w:rsidRDefault="003E0602">
            <w:pPr>
              <w:jc w:val="center"/>
              <w:rPr>
                <w:sz w:val="22"/>
                <w:szCs w:val="22"/>
              </w:rPr>
            </w:pPr>
            <w:r w:rsidRPr="00A41929">
              <w:rPr>
                <w:sz w:val="22"/>
                <w:szCs w:val="22"/>
              </w:rPr>
              <w:t>0,97 a</w:t>
            </w:r>
          </w:p>
        </w:tc>
        <w:tc>
          <w:tcPr>
            <w:tcW w:w="733" w:type="pct"/>
            <w:tcBorders>
              <w:bottom w:val="single" w:sz="18" w:space="0" w:color="339966"/>
            </w:tcBorders>
            <w:vAlign w:val="center"/>
          </w:tcPr>
          <w:p w:rsidR="003E0602" w:rsidRPr="00A41929" w:rsidRDefault="003E0602">
            <w:pPr>
              <w:jc w:val="center"/>
              <w:rPr>
                <w:sz w:val="22"/>
                <w:szCs w:val="22"/>
              </w:rPr>
            </w:pPr>
            <w:r w:rsidRPr="00A41929">
              <w:rPr>
                <w:sz w:val="22"/>
                <w:szCs w:val="22"/>
              </w:rPr>
              <w:t>2,62 a</w:t>
            </w:r>
          </w:p>
        </w:tc>
        <w:tc>
          <w:tcPr>
            <w:tcW w:w="595" w:type="pct"/>
            <w:tcBorders>
              <w:bottom w:val="single" w:sz="18" w:space="0" w:color="339966"/>
            </w:tcBorders>
            <w:vAlign w:val="center"/>
          </w:tcPr>
          <w:p w:rsidR="003E0602" w:rsidRPr="00A41929" w:rsidRDefault="003E0602">
            <w:pPr>
              <w:jc w:val="center"/>
              <w:rPr>
                <w:sz w:val="22"/>
                <w:szCs w:val="22"/>
              </w:rPr>
            </w:pPr>
            <w:r w:rsidRPr="00A41929">
              <w:rPr>
                <w:sz w:val="22"/>
                <w:szCs w:val="22"/>
              </w:rPr>
              <w:t>3,00 a</w:t>
            </w:r>
          </w:p>
        </w:tc>
        <w:tc>
          <w:tcPr>
            <w:tcW w:w="490" w:type="pct"/>
            <w:tcBorders>
              <w:bottom w:val="single" w:sz="18" w:space="0" w:color="339966"/>
            </w:tcBorders>
            <w:vAlign w:val="center"/>
          </w:tcPr>
          <w:p w:rsidR="003E0602" w:rsidRPr="00A41929" w:rsidRDefault="003E0602">
            <w:pPr>
              <w:jc w:val="center"/>
              <w:rPr>
                <w:sz w:val="22"/>
                <w:szCs w:val="22"/>
              </w:rPr>
            </w:pPr>
            <w:r w:rsidRPr="00A41929">
              <w:rPr>
                <w:sz w:val="22"/>
                <w:szCs w:val="22"/>
              </w:rPr>
              <w:t>1,43 a</w:t>
            </w:r>
          </w:p>
        </w:tc>
      </w:tr>
      <w:tr w:rsidR="003E0602" w:rsidRPr="00A41929">
        <w:trPr>
          <w:trHeight w:val="420"/>
        </w:trPr>
        <w:tc>
          <w:tcPr>
            <w:tcW w:w="864" w:type="pct"/>
            <w:tcBorders>
              <w:top w:val="single" w:sz="18" w:space="0" w:color="339966"/>
            </w:tcBorders>
            <w:vAlign w:val="center"/>
          </w:tcPr>
          <w:p w:rsidR="003E0602" w:rsidRPr="00A41929" w:rsidRDefault="003E0602">
            <w:pPr>
              <w:pStyle w:val="Textoindependiente2"/>
              <w:spacing w:after="0" w:line="240" w:lineRule="auto"/>
              <w:rPr>
                <w:sz w:val="22"/>
                <w:szCs w:val="22"/>
              </w:rPr>
            </w:pPr>
            <w:r w:rsidRPr="00A41929">
              <w:rPr>
                <w:sz w:val="22"/>
                <w:szCs w:val="22"/>
              </w:rPr>
              <w:t>ES ±</w:t>
            </w:r>
          </w:p>
        </w:tc>
        <w:tc>
          <w:tcPr>
            <w:tcW w:w="1159" w:type="pct"/>
            <w:tcBorders>
              <w:top w:val="single" w:sz="18" w:space="0" w:color="339966"/>
            </w:tcBorders>
            <w:vAlign w:val="center"/>
          </w:tcPr>
          <w:p w:rsidR="003E0602" w:rsidRPr="00A41929" w:rsidRDefault="003E0602" w:rsidP="006838D1">
            <w:pPr>
              <w:ind w:right="595"/>
              <w:jc w:val="right"/>
              <w:rPr>
                <w:sz w:val="22"/>
                <w:szCs w:val="22"/>
              </w:rPr>
            </w:pPr>
            <w:r w:rsidRPr="00A41929">
              <w:rPr>
                <w:sz w:val="22"/>
                <w:szCs w:val="22"/>
              </w:rPr>
              <w:t>0,29*</w:t>
            </w:r>
          </w:p>
        </w:tc>
        <w:tc>
          <w:tcPr>
            <w:tcW w:w="1159" w:type="pct"/>
            <w:tcBorders>
              <w:top w:val="single" w:sz="18" w:space="0" w:color="339966"/>
            </w:tcBorders>
            <w:vAlign w:val="center"/>
          </w:tcPr>
          <w:p w:rsidR="003E0602" w:rsidRPr="00A41929" w:rsidRDefault="003E0602" w:rsidP="00415307">
            <w:pPr>
              <w:ind w:right="643"/>
              <w:jc w:val="right"/>
              <w:rPr>
                <w:sz w:val="22"/>
                <w:szCs w:val="22"/>
              </w:rPr>
            </w:pPr>
            <w:r w:rsidRPr="00A41929">
              <w:rPr>
                <w:sz w:val="22"/>
                <w:szCs w:val="22"/>
              </w:rPr>
              <w:t>0,03 *</w:t>
            </w:r>
          </w:p>
        </w:tc>
        <w:tc>
          <w:tcPr>
            <w:tcW w:w="733" w:type="pct"/>
            <w:tcBorders>
              <w:top w:val="single" w:sz="18" w:space="0" w:color="339966"/>
            </w:tcBorders>
            <w:vAlign w:val="center"/>
          </w:tcPr>
          <w:p w:rsidR="003E0602" w:rsidRPr="00A41929" w:rsidRDefault="003E0602">
            <w:pPr>
              <w:rPr>
                <w:sz w:val="22"/>
                <w:szCs w:val="22"/>
              </w:rPr>
            </w:pPr>
            <w:r w:rsidRPr="00A41929">
              <w:rPr>
                <w:sz w:val="22"/>
                <w:szCs w:val="22"/>
              </w:rPr>
              <w:t xml:space="preserve">     0,10 *</w:t>
            </w:r>
          </w:p>
        </w:tc>
        <w:tc>
          <w:tcPr>
            <w:tcW w:w="595" w:type="pct"/>
            <w:tcBorders>
              <w:top w:val="single" w:sz="18" w:space="0" w:color="339966"/>
            </w:tcBorders>
            <w:vAlign w:val="center"/>
          </w:tcPr>
          <w:p w:rsidR="003E0602" w:rsidRPr="00A41929" w:rsidRDefault="003E0602">
            <w:pPr>
              <w:rPr>
                <w:sz w:val="22"/>
                <w:szCs w:val="22"/>
              </w:rPr>
            </w:pPr>
            <w:r w:rsidRPr="00A41929">
              <w:rPr>
                <w:sz w:val="22"/>
                <w:szCs w:val="22"/>
              </w:rPr>
              <w:t xml:space="preserve">    0,13 *</w:t>
            </w:r>
          </w:p>
        </w:tc>
        <w:tc>
          <w:tcPr>
            <w:tcW w:w="490" w:type="pct"/>
            <w:tcBorders>
              <w:top w:val="single" w:sz="18" w:space="0" w:color="339966"/>
            </w:tcBorders>
            <w:vAlign w:val="center"/>
          </w:tcPr>
          <w:p w:rsidR="003E0602" w:rsidRPr="00A41929" w:rsidRDefault="003E0602">
            <w:pPr>
              <w:jc w:val="center"/>
              <w:rPr>
                <w:sz w:val="22"/>
                <w:szCs w:val="22"/>
              </w:rPr>
            </w:pPr>
            <w:r w:rsidRPr="00A41929">
              <w:rPr>
                <w:sz w:val="22"/>
                <w:szCs w:val="22"/>
              </w:rPr>
              <w:t>0,06 *</w:t>
            </w:r>
          </w:p>
        </w:tc>
      </w:tr>
      <w:tr w:rsidR="003E0602" w:rsidRPr="00A41929">
        <w:trPr>
          <w:trHeight w:val="420"/>
        </w:trPr>
        <w:tc>
          <w:tcPr>
            <w:tcW w:w="864" w:type="pct"/>
            <w:tcBorders>
              <w:bottom w:val="single" w:sz="18" w:space="0" w:color="339966"/>
            </w:tcBorders>
            <w:vAlign w:val="center"/>
          </w:tcPr>
          <w:p w:rsidR="003E0602" w:rsidRPr="00A41929" w:rsidRDefault="003E0602">
            <w:pPr>
              <w:ind w:right="-6"/>
              <w:rPr>
                <w:sz w:val="22"/>
                <w:szCs w:val="22"/>
              </w:rPr>
            </w:pPr>
            <w:r w:rsidRPr="00A41929">
              <w:rPr>
                <w:sz w:val="22"/>
                <w:szCs w:val="22"/>
              </w:rPr>
              <w:t>CV (%)</w:t>
            </w:r>
          </w:p>
        </w:tc>
        <w:tc>
          <w:tcPr>
            <w:tcW w:w="1159" w:type="pct"/>
            <w:tcBorders>
              <w:bottom w:val="single" w:sz="18" w:space="0" w:color="339966"/>
            </w:tcBorders>
            <w:vAlign w:val="center"/>
          </w:tcPr>
          <w:p w:rsidR="003E0602" w:rsidRPr="00A41929" w:rsidRDefault="003E0602" w:rsidP="006838D1">
            <w:pPr>
              <w:tabs>
                <w:tab w:val="left" w:pos="190"/>
                <w:tab w:val="left" w:pos="462"/>
                <w:tab w:val="left" w:pos="638"/>
                <w:tab w:val="left" w:pos="846"/>
              </w:tabs>
              <w:ind w:right="595"/>
              <w:jc w:val="right"/>
              <w:rPr>
                <w:sz w:val="22"/>
                <w:szCs w:val="22"/>
              </w:rPr>
            </w:pPr>
            <w:r w:rsidRPr="00A41929">
              <w:rPr>
                <w:sz w:val="22"/>
                <w:szCs w:val="22"/>
              </w:rPr>
              <w:t>10,45</w:t>
            </w:r>
          </w:p>
        </w:tc>
        <w:tc>
          <w:tcPr>
            <w:tcW w:w="1159" w:type="pct"/>
            <w:tcBorders>
              <w:bottom w:val="single" w:sz="18" w:space="0" w:color="339966"/>
            </w:tcBorders>
            <w:vAlign w:val="center"/>
          </w:tcPr>
          <w:p w:rsidR="003E0602" w:rsidRPr="00A41929" w:rsidRDefault="003E0602" w:rsidP="00415307">
            <w:pPr>
              <w:ind w:right="643"/>
              <w:jc w:val="right"/>
              <w:rPr>
                <w:sz w:val="22"/>
                <w:szCs w:val="22"/>
              </w:rPr>
            </w:pPr>
            <w:r w:rsidRPr="00A41929">
              <w:rPr>
                <w:sz w:val="22"/>
                <w:szCs w:val="22"/>
              </w:rPr>
              <w:t>15,49</w:t>
            </w:r>
          </w:p>
        </w:tc>
        <w:tc>
          <w:tcPr>
            <w:tcW w:w="733" w:type="pct"/>
            <w:tcBorders>
              <w:bottom w:val="single" w:sz="18" w:space="0" w:color="339966"/>
            </w:tcBorders>
            <w:vAlign w:val="center"/>
          </w:tcPr>
          <w:p w:rsidR="003E0602" w:rsidRPr="00A41929" w:rsidRDefault="003E0602">
            <w:pPr>
              <w:rPr>
                <w:sz w:val="22"/>
                <w:szCs w:val="22"/>
              </w:rPr>
            </w:pPr>
            <w:r w:rsidRPr="00A41929">
              <w:rPr>
                <w:sz w:val="22"/>
                <w:szCs w:val="22"/>
              </w:rPr>
              <w:t xml:space="preserve">   12,84</w:t>
            </w:r>
          </w:p>
        </w:tc>
        <w:tc>
          <w:tcPr>
            <w:tcW w:w="595" w:type="pct"/>
            <w:tcBorders>
              <w:bottom w:val="single" w:sz="18" w:space="0" w:color="339966"/>
            </w:tcBorders>
            <w:vAlign w:val="center"/>
          </w:tcPr>
          <w:p w:rsidR="003E0602" w:rsidRPr="00A41929" w:rsidRDefault="003E0602">
            <w:pPr>
              <w:rPr>
                <w:sz w:val="22"/>
                <w:szCs w:val="22"/>
              </w:rPr>
            </w:pPr>
            <w:r w:rsidRPr="00A41929">
              <w:rPr>
                <w:sz w:val="22"/>
                <w:szCs w:val="22"/>
              </w:rPr>
              <w:t xml:space="preserve">  14,06</w:t>
            </w:r>
          </w:p>
        </w:tc>
        <w:tc>
          <w:tcPr>
            <w:tcW w:w="490" w:type="pct"/>
            <w:tcBorders>
              <w:bottom w:val="single" w:sz="18" w:space="0" w:color="339966"/>
            </w:tcBorders>
            <w:vAlign w:val="center"/>
          </w:tcPr>
          <w:p w:rsidR="003E0602" w:rsidRPr="00A41929" w:rsidRDefault="003E0602">
            <w:pPr>
              <w:rPr>
                <w:sz w:val="22"/>
                <w:szCs w:val="22"/>
              </w:rPr>
            </w:pPr>
            <w:r w:rsidRPr="00A41929">
              <w:rPr>
                <w:sz w:val="22"/>
                <w:szCs w:val="22"/>
              </w:rPr>
              <w:t>11,89</w:t>
            </w:r>
          </w:p>
        </w:tc>
      </w:tr>
    </w:tbl>
    <w:p w:rsidR="003E0602" w:rsidRPr="00A41929" w:rsidRDefault="003E0602">
      <w:pPr>
        <w:pStyle w:val="Textoindependiente3"/>
        <w:spacing w:line="240" w:lineRule="auto"/>
        <w:jc w:val="center"/>
        <w:rPr>
          <w:i/>
          <w:iCs/>
          <w:sz w:val="22"/>
          <w:szCs w:val="22"/>
        </w:rPr>
      </w:pPr>
      <w:r w:rsidRPr="00A41929">
        <w:rPr>
          <w:i/>
          <w:iCs/>
          <w:sz w:val="22"/>
          <w:szCs w:val="22"/>
        </w:rPr>
        <w:t>Letras desiguales dentro de cada columna difieren para p</w:t>
      </w:r>
      <w:r w:rsidRPr="00A41929">
        <w:rPr>
          <w:i/>
          <w:iCs/>
          <w:sz w:val="22"/>
          <w:szCs w:val="22"/>
        </w:rPr>
        <w:sym w:font="Symbol" w:char="F03C"/>
      </w:r>
      <w:r w:rsidRPr="00A41929">
        <w:rPr>
          <w:i/>
          <w:iCs/>
          <w:sz w:val="22"/>
          <w:szCs w:val="22"/>
        </w:rPr>
        <w:t xml:space="preserve">0,05 según prueba de </w:t>
      </w:r>
      <w:proofErr w:type="spellStart"/>
      <w:r w:rsidRPr="00A41929">
        <w:rPr>
          <w:i/>
          <w:iCs/>
          <w:sz w:val="22"/>
          <w:szCs w:val="22"/>
        </w:rPr>
        <w:t>Tukey</w:t>
      </w:r>
      <w:proofErr w:type="spellEnd"/>
      <w:r w:rsidRPr="00A41929">
        <w:rPr>
          <w:i/>
          <w:iCs/>
          <w:sz w:val="22"/>
          <w:szCs w:val="22"/>
        </w:rPr>
        <w:t>.</w:t>
      </w:r>
    </w:p>
    <w:p w:rsidR="003E0602" w:rsidRPr="00A41929" w:rsidRDefault="003E0602">
      <w:pPr>
        <w:pStyle w:val="Textoindependiente2"/>
        <w:spacing w:after="0" w:line="240" w:lineRule="auto"/>
        <w:jc w:val="both"/>
        <w:rPr>
          <w:sz w:val="22"/>
          <w:szCs w:val="22"/>
        </w:rPr>
      </w:pPr>
    </w:p>
    <w:p w:rsidR="003E0602" w:rsidRPr="00A41929" w:rsidRDefault="003E0602">
      <w:pPr>
        <w:pStyle w:val="Textoindependiente2"/>
        <w:spacing w:after="0" w:line="240" w:lineRule="auto"/>
        <w:jc w:val="both"/>
        <w:rPr>
          <w:sz w:val="22"/>
          <w:szCs w:val="22"/>
        </w:rPr>
      </w:pPr>
      <w:r w:rsidRPr="00A41929">
        <w:rPr>
          <w:sz w:val="22"/>
          <w:szCs w:val="22"/>
        </w:rPr>
        <w:t>Williams (1995) demostró que hay diversos cultivares de boniato (</w:t>
      </w:r>
      <w:proofErr w:type="spellStart"/>
      <w:r w:rsidRPr="00A41929">
        <w:rPr>
          <w:i/>
          <w:sz w:val="22"/>
          <w:szCs w:val="22"/>
        </w:rPr>
        <w:t>Ipomoea</w:t>
      </w:r>
      <w:proofErr w:type="spellEnd"/>
      <w:r w:rsidRPr="00A41929">
        <w:rPr>
          <w:i/>
          <w:sz w:val="22"/>
          <w:szCs w:val="22"/>
        </w:rPr>
        <w:t xml:space="preserve"> batatas</w:t>
      </w:r>
      <w:r w:rsidRPr="00A41929">
        <w:rPr>
          <w:sz w:val="22"/>
          <w:szCs w:val="22"/>
        </w:rPr>
        <w:t>, Lam) que con poco período de proliferación comienza un incremento, alcanzando el número y calidad de los brotes deseados.</w:t>
      </w:r>
    </w:p>
    <w:p w:rsidR="003E0602" w:rsidRPr="00A41929" w:rsidRDefault="003E0602">
      <w:pPr>
        <w:pStyle w:val="Textoindependiente2"/>
        <w:spacing w:after="0" w:line="240" w:lineRule="auto"/>
        <w:jc w:val="both"/>
        <w:rPr>
          <w:sz w:val="22"/>
          <w:szCs w:val="22"/>
        </w:rPr>
      </w:pPr>
    </w:p>
    <w:p w:rsidR="003E0602" w:rsidRPr="00A41929" w:rsidRDefault="003E0602">
      <w:pPr>
        <w:jc w:val="both"/>
        <w:rPr>
          <w:sz w:val="22"/>
          <w:szCs w:val="22"/>
        </w:rPr>
      </w:pPr>
      <w:r w:rsidRPr="00A41929">
        <w:rPr>
          <w:sz w:val="22"/>
          <w:szCs w:val="22"/>
        </w:rPr>
        <w:t xml:space="preserve">Escalona </w:t>
      </w:r>
      <w:r w:rsidRPr="00A41929">
        <w:rPr>
          <w:i/>
          <w:sz w:val="22"/>
          <w:szCs w:val="22"/>
        </w:rPr>
        <w:t>et al</w:t>
      </w:r>
      <w:r w:rsidRPr="00A41929">
        <w:rPr>
          <w:sz w:val="22"/>
          <w:szCs w:val="22"/>
        </w:rPr>
        <w:t>. (1999) para el cultivo de la piña demostraron que períodos prolongados promovieron la deformación de los brotes y por lo tanto afectaron el número de brotes que se podía obtener.</w:t>
      </w:r>
    </w:p>
    <w:p w:rsidR="003E0602" w:rsidRPr="00A41929" w:rsidRDefault="003E0602">
      <w:pPr>
        <w:jc w:val="both"/>
        <w:rPr>
          <w:sz w:val="22"/>
          <w:szCs w:val="22"/>
        </w:rPr>
      </w:pPr>
    </w:p>
    <w:p w:rsidR="003E0602" w:rsidRPr="00A41929" w:rsidRDefault="003E0602">
      <w:pPr>
        <w:jc w:val="both"/>
        <w:rPr>
          <w:sz w:val="22"/>
          <w:szCs w:val="22"/>
        </w:rPr>
      </w:pPr>
      <w:r w:rsidRPr="00A41929">
        <w:rPr>
          <w:sz w:val="22"/>
          <w:szCs w:val="22"/>
        </w:rPr>
        <w:t xml:space="preserve">Los resultados alcanzados en el presente trabajo con el uso del Sistema de Inmersión Temporal durante un período de 18 días de incubación, constituye una vía efectiva para incrementar el coeficiente de multiplicación en el cultivar de plátano vianda </w:t>
      </w:r>
      <w:r w:rsidRPr="00A41929">
        <w:rPr>
          <w:bCs/>
          <w:sz w:val="22"/>
          <w:szCs w:val="22"/>
        </w:rPr>
        <w:t xml:space="preserve">"INIVITPV-2011" </w:t>
      </w:r>
      <w:r w:rsidRPr="00A41929">
        <w:rPr>
          <w:sz w:val="22"/>
          <w:szCs w:val="22"/>
        </w:rPr>
        <w:t>(AAB).</w:t>
      </w:r>
    </w:p>
    <w:p w:rsidR="003E0602" w:rsidRPr="00A41929" w:rsidRDefault="003E0602">
      <w:pPr>
        <w:jc w:val="both"/>
        <w:rPr>
          <w:sz w:val="22"/>
          <w:szCs w:val="22"/>
        </w:rPr>
      </w:pPr>
    </w:p>
    <w:p w:rsidR="003E0602" w:rsidRPr="00A41929" w:rsidRDefault="003E0602" w:rsidP="005E78F1">
      <w:pPr>
        <w:jc w:val="both"/>
        <w:rPr>
          <w:b/>
          <w:i/>
          <w:sz w:val="22"/>
          <w:szCs w:val="22"/>
          <w:lang w:val="es-MX"/>
        </w:rPr>
      </w:pPr>
      <w:r w:rsidRPr="00A41929">
        <w:rPr>
          <w:b/>
          <w:i/>
          <w:sz w:val="22"/>
          <w:szCs w:val="22"/>
          <w:lang w:val="es-MX"/>
        </w:rPr>
        <w:t xml:space="preserve">Determinación de la densidad de </w:t>
      </w:r>
      <w:proofErr w:type="spellStart"/>
      <w:r w:rsidRPr="00A41929">
        <w:rPr>
          <w:b/>
          <w:i/>
          <w:sz w:val="22"/>
          <w:szCs w:val="22"/>
          <w:lang w:val="es-MX"/>
        </w:rPr>
        <w:t>explantes</w:t>
      </w:r>
      <w:proofErr w:type="spellEnd"/>
      <w:r w:rsidRPr="00A41929">
        <w:rPr>
          <w:b/>
          <w:i/>
          <w:sz w:val="22"/>
          <w:szCs w:val="22"/>
          <w:lang w:val="es-MX"/>
        </w:rPr>
        <w:t xml:space="preserve"> por frasco</w:t>
      </w:r>
    </w:p>
    <w:p w:rsidR="003E0602" w:rsidRPr="00A41929" w:rsidRDefault="003E0602" w:rsidP="005E78F1">
      <w:pPr>
        <w:pStyle w:val="Textoindependiente2"/>
        <w:spacing w:after="0" w:line="240" w:lineRule="auto"/>
        <w:jc w:val="both"/>
        <w:rPr>
          <w:sz w:val="22"/>
          <w:szCs w:val="22"/>
        </w:rPr>
      </w:pPr>
      <w:r w:rsidRPr="00A41929">
        <w:rPr>
          <w:sz w:val="22"/>
          <w:szCs w:val="22"/>
        </w:rPr>
        <w:t xml:space="preserve">La densidad de </w:t>
      </w:r>
      <w:proofErr w:type="spellStart"/>
      <w:r w:rsidRPr="00A41929">
        <w:rPr>
          <w:sz w:val="22"/>
          <w:szCs w:val="22"/>
        </w:rPr>
        <w:t>explantes</w:t>
      </w:r>
      <w:proofErr w:type="spellEnd"/>
      <w:r w:rsidRPr="00A41929">
        <w:rPr>
          <w:sz w:val="22"/>
          <w:szCs w:val="22"/>
        </w:rPr>
        <w:t xml:space="preserve"> por frasco también influyó en las variables evaluadas (tabla 5), el mejor resultado se obtuvo con 60 </w:t>
      </w:r>
      <w:proofErr w:type="spellStart"/>
      <w:r w:rsidRPr="00A41929">
        <w:rPr>
          <w:sz w:val="22"/>
          <w:szCs w:val="22"/>
        </w:rPr>
        <w:t>explantes</w:t>
      </w:r>
      <w:proofErr w:type="spellEnd"/>
      <w:r w:rsidRPr="00A41929">
        <w:rPr>
          <w:sz w:val="22"/>
          <w:szCs w:val="22"/>
        </w:rPr>
        <w:t xml:space="preserve"> por frasco de 10 litros de capacidad, con los mayores valores numéricos en cuanto al coeficiente de multiplicación (8,45), diámetro del </w:t>
      </w:r>
      <w:proofErr w:type="spellStart"/>
      <w:r w:rsidRPr="00A41929">
        <w:rPr>
          <w:sz w:val="22"/>
          <w:szCs w:val="22"/>
        </w:rPr>
        <w:t>pseudotallo</w:t>
      </w:r>
      <w:proofErr w:type="spellEnd"/>
      <w:r w:rsidRPr="00A41929">
        <w:rPr>
          <w:sz w:val="22"/>
          <w:szCs w:val="22"/>
        </w:rPr>
        <w:t xml:space="preserve"> (0,99) y altura del </w:t>
      </w:r>
      <w:proofErr w:type="spellStart"/>
      <w:r w:rsidRPr="00A41929">
        <w:rPr>
          <w:sz w:val="22"/>
          <w:szCs w:val="22"/>
        </w:rPr>
        <w:t>explante</w:t>
      </w:r>
      <w:proofErr w:type="spellEnd"/>
      <w:r w:rsidRPr="00A41929">
        <w:rPr>
          <w:sz w:val="22"/>
          <w:szCs w:val="22"/>
        </w:rPr>
        <w:t xml:space="preserve"> (1,98) con diferencias significativas con todos los demás tratamientos excepto en cuanto al grado de oxidación (2,06) y el número de hojas activas (2,58) donde se obtienen el menor valor con diferencias significativas con los demás tratamientos.</w:t>
      </w:r>
    </w:p>
    <w:p w:rsidR="003E0602" w:rsidRPr="00A41929" w:rsidRDefault="003E0602">
      <w:pPr>
        <w:pStyle w:val="Textoindependiente2"/>
        <w:spacing w:after="0" w:line="240" w:lineRule="auto"/>
        <w:jc w:val="both"/>
        <w:rPr>
          <w:sz w:val="22"/>
          <w:szCs w:val="22"/>
        </w:rPr>
      </w:pPr>
    </w:p>
    <w:p w:rsidR="003E0602" w:rsidRPr="00A41929" w:rsidRDefault="003E0602">
      <w:pPr>
        <w:jc w:val="both"/>
        <w:rPr>
          <w:sz w:val="22"/>
          <w:szCs w:val="22"/>
        </w:rPr>
      </w:pPr>
      <w:r w:rsidRPr="00A41929">
        <w:rPr>
          <w:b/>
          <w:sz w:val="22"/>
          <w:szCs w:val="22"/>
        </w:rPr>
        <w:t>Tabla 5.</w:t>
      </w:r>
      <w:r w:rsidRPr="00A41929">
        <w:rPr>
          <w:sz w:val="22"/>
          <w:szCs w:val="22"/>
        </w:rPr>
        <w:t xml:space="preserve"> Determinación de la densidad de </w:t>
      </w:r>
      <w:proofErr w:type="spellStart"/>
      <w:r w:rsidRPr="00A41929">
        <w:rPr>
          <w:sz w:val="22"/>
          <w:szCs w:val="22"/>
        </w:rPr>
        <w:t>explantes</w:t>
      </w:r>
      <w:proofErr w:type="spellEnd"/>
      <w:r w:rsidRPr="00A41929">
        <w:rPr>
          <w:sz w:val="22"/>
          <w:szCs w:val="22"/>
        </w:rPr>
        <w:t xml:space="preserve"> en el cultivar de plátano vianda               </w:t>
      </w:r>
      <w:r w:rsidRPr="00A41929">
        <w:rPr>
          <w:bCs/>
          <w:sz w:val="22"/>
          <w:szCs w:val="22"/>
        </w:rPr>
        <w:t xml:space="preserve">"INIVITPV-2011" </w:t>
      </w:r>
      <w:r w:rsidRPr="00A41929">
        <w:rPr>
          <w:sz w:val="22"/>
          <w:szCs w:val="22"/>
        </w:rPr>
        <w:t>(AAB)  en el Sistema de Inmersión Temporal.</w:t>
      </w:r>
    </w:p>
    <w:tbl>
      <w:tblPr>
        <w:tblW w:w="4942" w:type="pct"/>
        <w:tblInd w:w="108" w:type="dxa"/>
        <w:tblBorders>
          <w:top w:val="single" w:sz="12" w:space="0" w:color="008000"/>
          <w:bottom w:val="single" w:sz="12" w:space="0" w:color="008000"/>
        </w:tblBorders>
        <w:tblLook w:val="0000"/>
      </w:tblPr>
      <w:tblGrid>
        <w:gridCol w:w="1691"/>
        <w:gridCol w:w="1847"/>
        <w:gridCol w:w="1849"/>
        <w:gridCol w:w="1431"/>
        <w:gridCol w:w="1112"/>
        <w:gridCol w:w="1026"/>
      </w:tblGrid>
      <w:tr w:rsidR="003E0602" w:rsidRPr="00A41929">
        <w:trPr>
          <w:trHeight w:val="420"/>
        </w:trPr>
        <w:tc>
          <w:tcPr>
            <w:tcW w:w="944" w:type="pct"/>
            <w:tcBorders>
              <w:top w:val="single" w:sz="18" w:space="0" w:color="339966"/>
              <w:left w:val="nil"/>
              <w:bottom w:val="single" w:sz="18" w:space="0" w:color="339966"/>
              <w:right w:val="nil"/>
            </w:tcBorders>
            <w:vAlign w:val="center"/>
          </w:tcPr>
          <w:p w:rsidR="003E0602" w:rsidRPr="00A41929" w:rsidRDefault="003E0602">
            <w:pPr>
              <w:jc w:val="center"/>
              <w:rPr>
                <w:b/>
                <w:sz w:val="22"/>
                <w:szCs w:val="22"/>
              </w:rPr>
            </w:pPr>
            <w:r w:rsidRPr="00A41929">
              <w:rPr>
                <w:b/>
                <w:sz w:val="22"/>
                <w:szCs w:val="22"/>
              </w:rPr>
              <w:t>Tratamientos</w:t>
            </w:r>
          </w:p>
        </w:tc>
        <w:tc>
          <w:tcPr>
            <w:tcW w:w="1031" w:type="pct"/>
            <w:tcBorders>
              <w:top w:val="single" w:sz="18" w:space="0" w:color="339966"/>
              <w:left w:val="nil"/>
              <w:bottom w:val="single" w:sz="18" w:space="0" w:color="339966"/>
              <w:right w:val="nil"/>
            </w:tcBorders>
          </w:tcPr>
          <w:p w:rsidR="003E0602" w:rsidRPr="00A41929" w:rsidRDefault="003E0602">
            <w:pPr>
              <w:jc w:val="center"/>
              <w:rPr>
                <w:b/>
                <w:sz w:val="22"/>
                <w:szCs w:val="22"/>
              </w:rPr>
            </w:pPr>
            <w:r w:rsidRPr="00A41929">
              <w:rPr>
                <w:b/>
                <w:sz w:val="22"/>
                <w:szCs w:val="22"/>
              </w:rPr>
              <w:t>Coeficiente de Multiplicación</w:t>
            </w:r>
          </w:p>
        </w:tc>
        <w:tc>
          <w:tcPr>
            <w:tcW w:w="1032" w:type="pct"/>
            <w:tcBorders>
              <w:top w:val="single" w:sz="18" w:space="0" w:color="339966"/>
              <w:left w:val="nil"/>
              <w:bottom w:val="single" w:sz="18" w:space="0" w:color="339966"/>
              <w:right w:val="nil"/>
            </w:tcBorders>
            <w:vAlign w:val="center"/>
          </w:tcPr>
          <w:p w:rsidR="003E0602" w:rsidRPr="00A41929" w:rsidRDefault="003E0602">
            <w:pPr>
              <w:jc w:val="center"/>
              <w:rPr>
                <w:b/>
                <w:sz w:val="22"/>
                <w:szCs w:val="22"/>
              </w:rPr>
            </w:pPr>
            <w:r w:rsidRPr="00A41929">
              <w:rPr>
                <w:b/>
                <w:sz w:val="22"/>
                <w:szCs w:val="22"/>
              </w:rPr>
              <w:t xml:space="preserve">Diámetro del </w:t>
            </w:r>
            <w:proofErr w:type="spellStart"/>
            <w:r w:rsidRPr="00A41929">
              <w:rPr>
                <w:b/>
                <w:sz w:val="22"/>
                <w:szCs w:val="22"/>
              </w:rPr>
              <w:t>pseudotallo</w:t>
            </w:r>
            <w:proofErr w:type="spellEnd"/>
            <w:r w:rsidRPr="00A41929">
              <w:rPr>
                <w:b/>
                <w:sz w:val="22"/>
                <w:szCs w:val="22"/>
              </w:rPr>
              <w:t xml:space="preserve"> (cm)</w:t>
            </w:r>
          </w:p>
        </w:tc>
        <w:tc>
          <w:tcPr>
            <w:tcW w:w="799" w:type="pct"/>
            <w:tcBorders>
              <w:top w:val="single" w:sz="18" w:space="0" w:color="339966"/>
              <w:left w:val="nil"/>
              <w:bottom w:val="single" w:sz="18" w:space="0" w:color="339966"/>
              <w:right w:val="nil"/>
            </w:tcBorders>
            <w:vAlign w:val="center"/>
          </w:tcPr>
          <w:p w:rsidR="003E0602" w:rsidRPr="00A41929" w:rsidRDefault="003E0602">
            <w:pPr>
              <w:jc w:val="center"/>
              <w:rPr>
                <w:b/>
                <w:sz w:val="22"/>
                <w:szCs w:val="22"/>
              </w:rPr>
            </w:pPr>
            <w:r w:rsidRPr="00A41929">
              <w:rPr>
                <w:b/>
                <w:sz w:val="22"/>
                <w:szCs w:val="22"/>
              </w:rPr>
              <w:t xml:space="preserve">Grado Oxidación </w:t>
            </w:r>
          </w:p>
        </w:tc>
        <w:tc>
          <w:tcPr>
            <w:tcW w:w="621" w:type="pct"/>
            <w:tcBorders>
              <w:top w:val="single" w:sz="18" w:space="0" w:color="339966"/>
              <w:left w:val="nil"/>
              <w:bottom w:val="single" w:sz="18" w:space="0" w:color="339966"/>
              <w:right w:val="nil"/>
            </w:tcBorders>
            <w:vAlign w:val="center"/>
          </w:tcPr>
          <w:p w:rsidR="003E0602" w:rsidRPr="00A41929" w:rsidRDefault="003E0602">
            <w:pPr>
              <w:jc w:val="center"/>
              <w:rPr>
                <w:b/>
                <w:sz w:val="22"/>
                <w:szCs w:val="22"/>
              </w:rPr>
            </w:pPr>
            <w:r w:rsidRPr="00A41929">
              <w:rPr>
                <w:b/>
                <w:sz w:val="22"/>
                <w:szCs w:val="22"/>
              </w:rPr>
              <w:t xml:space="preserve">Hojas  Activas </w:t>
            </w:r>
          </w:p>
        </w:tc>
        <w:tc>
          <w:tcPr>
            <w:tcW w:w="574" w:type="pct"/>
            <w:tcBorders>
              <w:top w:val="single" w:sz="18" w:space="0" w:color="339966"/>
              <w:left w:val="nil"/>
              <w:bottom w:val="single" w:sz="18" w:space="0" w:color="339966"/>
              <w:right w:val="nil"/>
            </w:tcBorders>
            <w:vAlign w:val="center"/>
          </w:tcPr>
          <w:p w:rsidR="003E0602" w:rsidRPr="00A41929" w:rsidRDefault="003E0602">
            <w:pPr>
              <w:jc w:val="center"/>
              <w:rPr>
                <w:b/>
                <w:sz w:val="22"/>
                <w:szCs w:val="22"/>
              </w:rPr>
            </w:pPr>
            <w:r w:rsidRPr="00A41929">
              <w:rPr>
                <w:b/>
                <w:sz w:val="22"/>
                <w:szCs w:val="22"/>
              </w:rPr>
              <w:t>Altura (cm)</w:t>
            </w:r>
          </w:p>
        </w:tc>
      </w:tr>
      <w:tr w:rsidR="003E0602" w:rsidRPr="00A41929">
        <w:trPr>
          <w:trHeight w:val="348"/>
        </w:trPr>
        <w:tc>
          <w:tcPr>
            <w:tcW w:w="944" w:type="pct"/>
            <w:tcBorders>
              <w:top w:val="single" w:sz="18" w:space="0" w:color="339966"/>
              <w:left w:val="nil"/>
              <w:bottom w:val="nil"/>
              <w:right w:val="nil"/>
            </w:tcBorders>
            <w:vAlign w:val="center"/>
          </w:tcPr>
          <w:p w:rsidR="003E0602" w:rsidRPr="00A41929" w:rsidRDefault="003E0602" w:rsidP="005E78F1">
            <w:pPr>
              <w:jc w:val="center"/>
              <w:rPr>
                <w:sz w:val="22"/>
                <w:szCs w:val="22"/>
              </w:rPr>
            </w:pPr>
            <w:r w:rsidRPr="00A41929">
              <w:rPr>
                <w:sz w:val="22"/>
                <w:szCs w:val="22"/>
              </w:rPr>
              <w:t xml:space="preserve">20 </w:t>
            </w:r>
            <w:proofErr w:type="spellStart"/>
            <w:r w:rsidRPr="00A41929">
              <w:rPr>
                <w:sz w:val="22"/>
                <w:szCs w:val="22"/>
              </w:rPr>
              <w:t>explantes</w:t>
            </w:r>
            <w:proofErr w:type="spellEnd"/>
          </w:p>
        </w:tc>
        <w:tc>
          <w:tcPr>
            <w:tcW w:w="1031" w:type="pct"/>
            <w:tcBorders>
              <w:top w:val="single" w:sz="18" w:space="0" w:color="339966"/>
              <w:left w:val="nil"/>
              <w:bottom w:val="nil"/>
              <w:right w:val="nil"/>
            </w:tcBorders>
            <w:vAlign w:val="center"/>
          </w:tcPr>
          <w:p w:rsidR="003E0602" w:rsidRPr="00A41929" w:rsidRDefault="003E0602">
            <w:pPr>
              <w:ind w:left="553"/>
              <w:jc w:val="center"/>
              <w:rPr>
                <w:sz w:val="22"/>
                <w:szCs w:val="22"/>
              </w:rPr>
            </w:pPr>
            <w:r w:rsidRPr="00A41929">
              <w:rPr>
                <w:sz w:val="22"/>
                <w:szCs w:val="22"/>
              </w:rPr>
              <w:t>4,18 c</w:t>
            </w:r>
          </w:p>
        </w:tc>
        <w:tc>
          <w:tcPr>
            <w:tcW w:w="1032" w:type="pct"/>
            <w:tcBorders>
              <w:top w:val="single" w:sz="18" w:space="0" w:color="339966"/>
              <w:left w:val="nil"/>
              <w:bottom w:val="nil"/>
              <w:right w:val="nil"/>
            </w:tcBorders>
            <w:vAlign w:val="center"/>
          </w:tcPr>
          <w:p w:rsidR="003E0602" w:rsidRPr="00A41929" w:rsidRDefault="003E0602">
            <w:pPr>
              <w:ind w:left="553"/>
              <w:jc w:val="center"/>
              <w:rPr>
                <w:sz w:val="22"/>
                <w:szCs w:val="22"/>
              </w:rPr>
            </w:pPr>
            <w:r w:rsidRPr="00A41929">
              <w:rPr>
                <w:sz w:val="22"/>
                <w:szCs w:val="22"/>
              </w:rPr>
              <w:t>0,54 b</w:t>
            </w:r>
          </w:p>
        </w:tc>
        <w:tc>
          <w:tcPr>
            <w:tcW w:w="799" w:type="pct"/>
            <w:tcBorders>
              <w:top w:val="single" w:sz="18" w:space="0" w:color="339966"/>
              <w:left w:val="nil"/>
              <w:bottom w:val="nil"/>
              <w:right w:val="nil"/>
            </w:tcBorders>
            <w:vAlign w:val="center"/>
          </w:tcPr>
          <w:p w:rsidR="003E0602" w:rsidRPr="00A41929" w:rsidRDefault="003E0602">
            <w:pPr>
              <w:ind w:left="463"/>
              <w:jc w:val="center"/>
              <w:rPr>
                <w:sz w:val="22"/>
                <w:szCs w:val="22"/>
              </w:rPr>
            </w:pPr>
            <w:r w:rsidRPr="00A41929">
              <w:rPr>
                <w:sz w:val="22"/>
                <w:szCs w:val="22"/>
              </w:rPr>
              <w:t>2,50 a</w:t>
            </w:r>
          </w:p>
        </w:tc>
        <w:tc>
          <w:tcPr>
            <w:tcW w:w="621" w:type="pct"/>
            <w:tcBorders>
              <w:top w:val="single" w:sz="18" w:space="0" w:color="339966"/>
              <w:left w:val="nil"/>
              <w:bottom w:val="nil"/>
              <w:right w:val="nil"/>
            </w:tcBorders>
            <w:vAlign w:val="center"/>
          </w:tcPr>
          <w:p w:rsidR="003E0602" w:rsidRPr="00A41929" w:rsidRDefault="003E0602">
            <w:pPr>
              <w:jc w:val="center"/>
              <w:rPr>
                <w:sz w:val="22"/>
                <w:szCs w:val="22"/>
              </w:rPr>
            </w:pPr>
            <w:r w:rsidRPr="00A41929">
              <w:rPr>
                <w:sz w:val="22"/>
                <w:szCs w:val="22"/>
              </w:rPr>
              <w:t>2,99 b</w:t>
            </w:r>
          </w:p>
        </w:tc>
        <w:tc>
          <w:tcPr>
            <w:tcW w:w="574" w:type="pct"/>
            <w:tcBorders>
              <w:top w:val="single" w:sz="18" w:space="0" w:color="339966"/>
              <w:left w:val="nil"/>
              <w:bottom w:val="nil"/>
              <w:right w:val="nil"/>
            </w:tcBorders>
            <w:vAlign w:val="center"/>
          </w:tcPr>
          <w:p w:rsidR="003E0602" w:rsidRPr="00A41929" w:rsidRDefault="003E0602">
            <w:pPr>
              <w:jc w:val="center"/>
              <w:rPr>
                <w:sz w:val="22"/>
                <w:szCs w:val="22"/>
              </w:rPr>
            </w:pPr>
            <w:r w:rsidRPr="00A41929">
              <w:rPr>
                <w:sz w:val="22"/>
                <w:szCs w:val="22"/>
              </w:rPr>
              <w:t>1,42 b</w:t>
            </w:r>
          </w:p>
        </w:tc>
      </w:tr>
      <w:tr w:rsidR="003E0602" w:rsidRPr="00A41929">
        <w:trPr>
          <w:trHeight w:val="347"/>
        </w:trPr>
        <w:tc>
          <w:tcPr>
            <w:tcW w:w="944" w:type="pct"/>
            <w:tcBorders>
              <w:top w:val="nil"/>
              <w:left w:val="nil"/>
              <w:bottom w:val="nil"/>
              <w:right w:val="nil"/>
            </w:tcBorders>
            <w:vAlign w:val="center"/>
          </w:tcPr>
          <w:p w:rsidR="003E0602" w:rsidRPr="00A41929" w:rsidRDefault="003E0602" w:rsidP="005E78F1">
            <w:pPr>
              <w:jc w:val="center"/>
              <w:rPr>
                <w:sz w:val="22"/>
                <w:szCs w:val="22"/>
              </w:rPr>
            </w:pPr>
            <w:r w:rsidRPr="00A41929">
              <w:rPr>
                <w:sz w:val="22"/>
                <w:szCs w:val="22"/>
              </w:rPr>
              <w:t xml:space="preserve">40 </w:t>
            </w:r>
            <w:proofErr w:type="spellStart"/>
            <w:r w:rsidRPr="00A41929">
              <w:rPr>
                <w:sz w:val="22"/>
                <w:szCs w:val="22"/>
              </w:rPr>
              <w:t>explantes</w:t>
            </w:r>
            <w:proofErr w:type="spellEnd"/>
          </w:p>
        </w:tc>
        <w:tc>
          <w:tcPr>
            <w:tcW w:w="1031" w:type="pct"/>
            <w:tcBorders>
              <w:top w:val="nil"/>
              <w:left w:val="nil"/>
              <w:bottom w:val="nil"/>
              <w:right w:val="nil"/>
            </w:tcBorders>
            <w:vAlign w:val="center"/>
          </w:tcPr>
          <w:p w:rsidR="003E0602" w:rsidRPr="00A41929" w:rsidRDefault="003E0602">
            <w:pPr>
              <w:ind w:left="553"/>
              <w:jc w:val="center"/>
              <w:rPr>
                <w:sz w:val="22"/>
                <w:szCs w:val="22"/>
              </w:rPr>
            </w:pPr>
            <w:r w:rsidRPr="00A41929">
              <w:rPr>
                <w:sz w:val="22"/>
                <w:szCs w:val="22"/>
              </w:rPr>
              <w:t>6,71 b</w:t>
            </w:r>
          </w:p>
        </w:tc>
        <w:tc>
          <w:tcPr>
            <w:tcW w:w="1032" w:type="pct"/>
            <w:tcBorders>
              <w:top w:val="nil"/>
              <w:left w:val="nil"/>
              <w:bottom w:val="nil"/>
              <w:right w:val="nil"/>
            </w:tcBorders>
            <w:vAlign w:val="center"/>
          </w:tcPr>
          <w:p w:rsidR="003E0602" w:rsidRPr="00A41929" w:rsidRDefault="003E0602">
            <w:pPr>
              <w:ind w:left="553"/>
              <w:jc w:val="center"/>
              <w:rPr>
                <w:sz w:val="22"/>
                <w:szCs w:val="22"/>
              </w:rPr>
            </w:pPr>
            <w:r w:rsidRPr="00A41929">
              <w:rPr>
                <w:sz w:val="22"/>
                <w:szCs w:val="22"/>
              </w:rPr>
              <w:t>0,61 b</w:t>
            </w:r>
          </w:p>
        </w:tc>
        <w:tc>
          <w:tcPr>
            <w:tcW w:w="799" w:type="pct"/>
            <w:tcBorders>
              <w:top w:val="nil"/>
              <w:left w:val="nil"/>
              <w:bottom w:val="nil"/>
              <w:right w:val="nil"/>
            </w:tcBorders>
            <w:vAlign w:val="center"/>
          </w:tcPr>
          <w:p w:rsidR="003E0602" w:rsidRPr="00A41929" w:rsidRDefault="003E0602">
            <w:pPr>
              <w:ind w:left="463"/>
              <w:jc w:val="center"/>
              <w:rPr>
                <w:sz w:val="22"/>
                <w:szCs w:val="22"/>
              </w:rPr>
            </w:pPr>
            <w:r w:rsidRPr="00A41929">
              <w:rPr>
                <w:sz w:val="22"/>
                <w:szCs w:val="22"/>
              </w:rPr>
              <w:t>2,60 a</w:t>
            </w:r>
          </w:p>
        </w:tc>
        <w:tc>
          <w:tcPr>
            <w:tcW w:w="621" w:type="pct"/>
            <w:tcBorders>
              <w:top w:val="nil"/>
              <w:left w:val="nil"/>
              <w:bottom w:val="nil"/>
              <w:right w:val="nil"/>
            </w:tcBorders>
            <w:vAlign w:val="center"/>
          </w:tcPr>
          <w:p w:rsidR="003E0602" w:rsidRPr="00A41929" w:rsidRDefault="003E0602">
            <w:pPr>
              <w:tabs>
                <w:tab w:val="left" w:pos="541"/>
              </w:tabs>
              <w:jc w:val="center"/>
              <w:rPr>
                <w:sz w:val="22"/>
                <w:szCs w:val="22"/>
              </w:rPr>
            </w:pPr>
            <w:r w:rsidRPr="00A41929">
              <w:rPr>
                <w:sz w:val="22"/>
                <w:szCs w:val="22"/>
              </w:rPr>
              <w:t>3,03 a</w:t>
            </w:r>
          </w:p>
        </w:tc>
        <w:tc>
          <w:tcPr>
            <w:tcW w:w="574" w:type="pct"/>
            <w:tcBorders>
              <w:top w:val="nil"/>
              <w:left w:val="nil"/>
              <w:bottom w:val="nil"/>
              <w:right w:val="nil"/>
            </w:tcBorders>
            <w:vAlign w:val="center"/>
          </w:tcPr>
          <w:p w:rsidR="003E0602" w:rsidRPr="00A41929" w:rsidRDefault="003E0602">
            <w:pPr>
              <w:jc w:val="center"/>
              <w:rPr>
                <w:sz w:val="22"/>
                <w:szCs w:val="22"/>
              </w:rPr>
            </w:pPr>
            <w:r w:rsidRPr="00A41929">
              <w:rPr>
                <w:sz w:val="22"/>
                <w:szCs w:val="22"/>
              </w:rPr>
              <w:t>1,46 b</w:t>
            </w:r>
          </w:p>
        </w:tc>
      </w:tr>
      <w:tr w:rsidR="003E0602" w:rsidRPr="00A41929">
        <w:trPr>
          <w:trHeight w:val="357"/>
        </w:trPr>
        <w:tc>
          <w:tcPr>
            <w:tcW w:w="944" w:type="pct"/>
            <w:tcBorders>
              <w:top w:val="nil"/>
              <w:left w:val="nil"/>
              <w:bottom w:val="nil"/>
              <w:right w:val="nil"/>
            </w:tcBorders>
            <w:vAlign w:val="center"/>
          </w:tcPr>
          <w:p w:rsidR="003E0602" w:rsidRPr="00A41929" w:rsidRDefault="003E0602" w:rsidP="005E78F1">
            <w:pPr>
              <w:jc w:val="center"/>
              <w:rPr>
                <w:sz w:val="22"/>
                <w:szCs w:val="22"/>
              </w:rPr>
            </w:pPr>
            <w:r w:rsidRPr="00A41929">
              <w:rPr>
                <w:sz w:val="22"/>
                <w:szCs w:val="22"/>
              </w:rPr>
              <w:t xml:space="preserve">60 </w:t>
            </w:r>
            <w:proofErr w:type="spellStart"/>
            <w:r w:rsidRPr="00A41929">
              <w:rPr>
                <w:sz w:val="22"/>
                <w:szCs w:val="22"/>
              </w:rPr>
              <w:t>explantes</w:t>
            </w:r>
            <w:proofErr w:type="spellEnd"/>
          </w:p>
        </w:tc>
        <w:tc>
          <w:tcPr>
            <w:tcW w:w="1031" w:type="pct"/>
            <w:tcBorders>
              <w:top w:val="nil"/>
              <w:left w:val="nil"/>
              <w:bottom w:val="nil"/>
              <w:right w:val="nil"/>
            </w:tcBorders>
            <w:vAlign w:val="center"/>
          </w:tcPr>
          <w:p w:rsidR="003E0602" w:rsidRPr="00A41929" w:rsidRDefault="003E0602">
            <w:pPr>
              <w:ind w:left="553"/>
              <w:jc w:val="center"/>
              <w:rPr>
                <w:sz w:val="22"/>
                <w:szCs w:val="22"/>
              </w:rPr>
            </w:pPr>
            <w:r w:rsidRPr="00A41929">
              <w:rPr>
                <w:sz w:val="22"/>
                <w:szCs w:val="22"/>
              </w:rPr>
              <w:t>8,45 a</w:t>
            </w:r>
          </w:p>
        </w:tc>
        <w:tc>
          <w:tcPr>
            <w:tcW w:w="1032" w:type="pct"/>
            <w:tcBorders>
              <w:top w:val="nil"/>
              <w:left w:val="nil"/>
              <w:bottom w:val="nil"/>
              <w:right w:val="nil"/>
            </w:tcBorders>
            <w:vAlign w:val="center"/>
          </w:tcPr>
          <w:p w:rsidR="003E0602" w:rsidRPr="00A41929" w:rsidRDefault="003E0602">
            <w:pPr>
              <w:ind w:left="553"/>
              <w:rPr>
                <w:sz w:val="22"/>
                <w:szCs w:val="22"/>
              </w:rPr>
            </w:pPr>
            <w:r w:rsidRPr="00A41929">
              <w:rPr>
                <w:sz w:val="22"/>
                <w:szCs w:val="22"/>
              </w:rPr>
              <w:t xml:space="preserve">    0,99 a</w:t>
            </w:r>
          </w:p>
        </w:tc>
        <w:tc>
          <w:tcPr>
            <w:tcW w:w="799" w:type="pct"/>
            <w:tcBorders>
              <w:top w:val="nil"/>
              <w:left w:val="nil"/>
              <w:bottom w:val="nil"/>
              <w:right w:val="nil"/>
            </w:tcBorders>
            <w:vAlign w:val="center"/>
          </w:tcPr>
          <w:p w:rsidR="003E0602" w:rsidRPr="00A41929" w:rsidRDefault="003E0602">
            <w:pPr>
              <w:ind w:left="463"/>
              <w:jc w:val="center"/>
              <w:rPr>
                <w:sz w:val="22"/>
                <w:szCs w:val="22"/>
              </w:rPr>
            </w:pPr>
            <w:r w:rsidRPr="00A41929">
              <w:rPr>
                <w:sz w:val="22"/>
                <w:szCs w:val="22"/>
              </w:rPr>
              <w:t>2,06 b</w:t>
            </w:r>
          </w:p>
        </w:tc>
        <w:tc>
          <w:tcPr>
            <w:tcW w:w="621" w:type="pct"/>
            <w:tcBorders>
              <w:top w:val="nil"/>
              <w:left w:val="nil"/>
              <w:bottom w:val="nil"/>
              <w:right w:val="nil"/>
            </w:tcBorders>
            <w:vAlign w:val="center"/>
          </w:tcPr>
          <w:p w:rsidR="003E0602" w:rsidRPr="00A41929" w:rsidRDefault="003E0602">
            <w:pPr>
              <w:jc w:val="center"/>
              <w:rPr>
                <w:sz w:val="22"/>
                <w:szCs w:val="22"/>
              </w:rPr>
            </w:pPr>
            <w:r w:rsidRPr="00A41929">
              <w:rPr>
                <w:sz w:val="22"/>
                <w:szCs w:val="22"/>
              </w:rPr>
              <w:t>2,58 a</w:t>
            </w:r>
          </w:p>
        </w:tc>
        <w:tc>
          <w:tcPr>
            <w:tcW w:w="574" w:type="pct"/>
            <w:tcBorders>
              <w:top w:val="nil"/>
              <w:left w:val="nil"/>
              <w:bottom w:val="nil"/>
              <w:right w:val="nil"/>
            </w:tcBorders>
            <w:vAlign w:val="center"/>
          </w:tcPr>
          <w:p w:rsidR="003E0602" w:rsidRPr="00A41929" w:rsidRDefault="003E0602">
            <w:pPr>
              <w:jc w:val="center"/>
              <w:rPr>
                <w:sz w:val="22"/>
                <w:szCs w:val="22"/>
              </w:rPr>
            </w:pPr>
            <w:r w:rsidRPr="00A41929">
              <w:rPr>
                <w:sz w:val="22"/>
                <w:szCs w:val="22"/>
              </w:rPr>
              <w:t>1,98 a</w:t>
            </w:r>
          </w:p>
        </w:tc>
      </w:tr>
      <w:tr w:rsidR="003E0602" w:rsidRPr="00A41929">
        <w:trPr>
          <w:trHeight w:val="351"/>
        </w:trPr>
        <w:tc>
          <w:tcPr>
            <w:tcW w:w="944" w:type="pct"/>
            <w:tcBorders>
              <w:top w:val="nil"/>
              <w:left w:val="nil"/>
              <w:bottom w:val="single" w:sz="18" w:space="0" w:color="339966"/>
              <w:right w:val="nil"/>
            </w:tcBorders>
            <w:vAlign w:val="center"/>
          </w:tcPr>
          <w:p w:rsidR="003E0602" w:rsidRPr="00A41929" w:rsidRDefault="003E0602" w:rsidP="005E78F1">
            <w:pPr>
              <w:jc w:val="center"/>
              <w:rPr>
                <w:sz w:val="22"/>
                <w:szCs w:val="22"/>
              </w:rPr>
            </w:pPr>
            <w:r w:rsidRPr="00A41929">
              <w:rPr>
                <w:sz w:val="22"/>
                <w:szCs w:val="22"/>
              </w:rPr>
              <w:t xml:space="preserve">80 </w:t>
            </w:r>
            <w:proofErr w:type="spellStart"/>
            <w:r w:rsidRPr="00A41929">
              <w:rPr>
                <w:sz w:val="22"/>
                <w:szCs w:val="22"/>
              </w:rPr>
              <w:t>explantes</w:t>
            </w:r>
            <w:proofErr w:type="spellEnd"/>
          </w:p>
        </w:tc>
        <w:tc>
          <w:tcPr>
            <w:tcW w:w="1031" w:type="pct"/>
            <w:tcBorders>
              <w:top w:val="nil"/>
              <w:left w:val="nil"/>
              <w:bottom w:val="single" w:sz="18" w:space="0" w:color="339966"/>
              <w:right w:val="nil"/>
            </w:tcBorders>
            <w:vAlign w:val="center"/>
          </w:tcPr>
          <w:p w:rsidR="003E0602" w:rsidRPr="00A41929" w:rsidRDefault="003E0602">
            <w:pPr>
              <w:ind w:left="553"/>
              <w:jc w:val="center"/>
              <w:rPr>
                <w:sz w:val="22"/>
                <w:szCs w:val="22"/>
              </w:rPr>
            </w:pPr>
            <w:r w:rsidRPr="00A41929">
              <w:rPr>
                <w:sz w:val="22"/>
                <w:szCs w:val="22"/>
              </w:rPr>
              <w:t>8,22 a</w:t>
            </w:r>
          </w:p>
        </w:tc>
        <w:tc>
          <w:tcPr>
            <w:tcW w:w="1032" w:type="pct"/>
            <w:tcBorders>
              <w:top w:val="nil"/>
              <w:left w:val="nil"/>
              <w:bottom w:val="single" w:sz="18" w:space="0" w:color="339966"/>
              <w:right w:val="nil"/>
            </w:tcBorders>
            <w:vAlign w:val="center"/>
          </w:tcPr>
          <w:p w:rsidR="003E0602" w:rsidRPr="00A41929" w:rsidRDefault="003E0602">
            <w:pPr>
              <w:ind w:left="553"/>
              <w:jc w:val="center"/>
              <w:rPr>
                <w:sz w:val="22"/>
                <w:szCs w:val="22"/>
              </w:rPr>
            </w:pPr>
            <w:r w:rsidRPr="00A41929">
              <w:rPr>
                <w:sz w:val="22"/>
                <w:szCs w:val="22"/>
              </w:rPr>
              <w:t>0,97 a</w:t>
            </w:r>
          </w:p>
        </w:tc>
        <w:tc>
          <w:tcPr>
            <w:tcW w:w="799" w:type="pct"/>
            <w:tcBorders>
              <w:top w:val="nil"/>
              <w:left w:val="nil"/>
              <w:bottom w:val="single" w:sz="18" w:space="0" w:color="339966"/>
              <w:right w:val="nil"/>
            </w:tcBorders>
            <w:vAlign w:val="center"/>
          </w:tcPr>
          <w:p w:rsidR="003E0602" w:rsidRPr="00A41929" w:rsidRDefault="003E0602">
            <w:pPr>
              <w:ind w:left="463"/>
              <w:jc w:val="center"/>
              <w:rPr>
                <w:sz w:val="22"/>
                <w:szCs w:val="22"/>
              </w:rPr>
            </w:pPr>
            <w:r w:rsidRPr="00A41929">
              <w:rPr>
                <w:sz w:val="22"/>
                <w:szCs w:val="22"/>
              </w:rPr>
              <w:t>2,62 a</w:t>
            </w:r>
          </w:p>
        </w:tc>
        <w:tc>
          <w:tcPr>
            <w:tcW w:w="621" w:type="pct"/>
            <w:tcBorders>
              <w:top w:val="nil"/>
              <w:left w:val="nil"/>
              <w:bottom w:val="single" w:sz="18" w:space="0" w:color="339966"/>
              <w:right w:val="nil"/>
            </w:tcBorders>
            <w:vAlign w:val="center"/>
          </w:tcPr>
          <w:p w:rsidR="003E0602" w:rsidRPr="00A41929" w:rsidRDefault="003E0602">
            <w:pPr>
              <w:jc w:val="center"/>
              <w:rPr>
                <w:sz w:val="22"/>
                <w:szCs w:val="22"/>
              </w:rPr>
            </w:pPr>
            <w:r w:rsidRPr="00A41929">
              <w:rPr>
                <w:sz w:val="22"/>
                <w:szCs w:val="22"/>
              </w:rPr>
              <w:t>3,00 a</w:t>
            </w:r>
          </w:p>
        </w:tc>
        <w:tc>
          <w:tcPr>
            <w:tcW w:w="574" w:type="pct"/>
            <w:tcBorders>
              <w:top w:val="nil"/>
              <w:left w:val="nil"/>
              <w:bottom w:val="single" w:sz="18" w:space="0" w:color="339966"/>
              <w:right w:val="nil"/>
            </w:tcBorders>
            <w:vAlign w:val="center"/>
          </w:tcPr>
          <w:p w:rsidR="003E0602" w:rsidRPr="00A41929" w:rsidRDefault="003E0602">
            <w:pPr>
              <w:jc w:val="center"/>
              <w:rPr>
                <w:sz w:val="22"/>
                <w:szCs w:val="22"/>
              </w:rPr>
            </w:pPr>
            <w:r w:rsidRPr="00A41929">
              <w:rPr>
                <w:sz w:val="22"/>
                <w:szCs w:val="22"/>
              </w:rPr>
              <w:t>1,43 b</w:t>
            </w:r>
          </w:p>
        </w:tc>
      </w:tr>
      <w:tr w:rsidR="003E0602" w:rsidRPr="00A41929">
        <w:trPr>
          <w:trHeight w:val="332"/>
        </w:trPr>
        <w:tc>
          <w:tcPr>
            <w:tcW w:w="944" w:type="pct"/>
            <w:tcBorders>
              <w:top w:val="single" w:sz="18" w:space="0" w:color="339966"/>
              <w:left w:val="nil"/>
              <w:bottom w:val="nil"/>
              <w:right w:val="nil"/>
            </w:tcBorders>
            <w:vAlign w:val="center"/>
          </w:tcPr>
          <w:p w:rsidR="003E0602" w:rsidRPr="00A41929" w:rsidRDefault="003E0602" w:rsidP="005E78F1">
            <w:pPr>
              <w:pStyle w:val="Textoindependiente2"/>
              <w:spacing w:after="0" w:line="240" w:lineRule="auto"/>
              <w:jc w:val="center"/>
              <w:rPr>
                <w:sz w:val="22"/>
                <w:szCs w:val="22"/>
              </w:rPr>
            </w:pPr>
            <w:r w:rsidRPr="00A41929">
              <w:rPr>
                <w:sz w:val="22"/>
                <w:szCs w:val="22"/>
              </w:rPr>
              <w:t>ES ±</w:t>
            </w:r>
          </w:p>
        </w:tc>
        <w:tc>
          <w:tcPr>
            <w:tcW w:w="1031" w:type="pct"/>
            <w:tcBorders>
              <w:top w:val="single" w:sz="18" w:space="0" w:color="339966"/>
              <w:left w:val="nil"/>
              <w:bottom w:val="nil"/>
              <w:right w:val="nil"/>
            </w:tcBorders>
            <w:vAlign w:val="center"/>
          </w:tcPr>
          <w:p w:rsidR="003E0602" w:rsidRPr="00A41929" w:rsidRDefault="003E0602">
            <w:pPr>
              <w:jc w:val="center"/>
              <w:rPr>
                <w:sz w:val="22"/>
                <w:szCs w:val="22"/>
              </w:rPr>
            </w:pPr>
            <w:r w:rsidRPr="00A41929">
              <w:rPr>
                <w:sz w:val="22"/>
                <w:szCs w:val="22"/>
              </w:rPr>
              <w:t xml:space="preserve">        0,35*</w:t>
            </w:r>
          </w:p>
        </w:tc>
        <w:tc>
          <w:tcPr>
            <w:tcW w:w="1032" w:type="pct"/>
            <w:tcBorders>
              <w:top w:val="single" w:sz="18" w:space="0" w:color="339966"/>
              <w:left w:val="nil"/>
              <w:bottom w:val="nil"/>
              <w:right w:val="nil"/>
            </w:tcBorders>
            <w:vAlign w:val="center"/>
          </w:tcPr>
          <w:p w:rsidR="003E0602" w:rsidRPr="00A41929" w:rsidRDefault="003E0602">
            <w:pPr>
              <w:ind w:left="553"/>
              <w:rPr>
                <w:sz w:val="22"/>
                <w:szCs w:val="22"/>
              </w:rPr>
            </w:pPr>
            <w:r w:rsidRPr="00A41929">
              <w:rPr>
                <w:sz w:val="22"/>
                <w:szCs w:val="22"/>
              </w:rPr>
              <w:t xml:space="preserve">    0,05 *</w:t>
            </w:r>
          </w:p>
        </w:tc>
        <w:tc>
          <w:tcPr>
            <w:tcW w:w="799" w:type="pct"/>
            <w:tcBorders>
              <w:top w:val="single" w:sz="18" w:space="0" w:color="339966"/>
              <w:left w:val="nil"/>
              <w:bottom w:val="nil"/>
              <w:right w:val="nil"/>
            </w:tcBorders>
            <w:vAlign w:val="center"/>
          </w:tcPr>
          <w:p w:rsidR="003E0602" w:rsidRPr="00A41929" w:rsidRDefault="003E0602">
            <w:pPr>
              <w:tabs>
                <w:tab w:val="left" w:pos="679"/>
              </w:tabs>
              <w:ind w:left="463"/>
              <w:jc w:val="center"/>
              <w:rPr>
                <w:sz w:val="22"/>
                <w:szCs w:val="22"/>
              </w:rPr>
            </w:pPr>
            <w:r w:rsidRPr="00A41929">
              <w:rPr>
                <w:sz w:val="22"/>
                <w:szCs w:val="22"/>
              </w:rPr>
              <w:t>0,11 *</w:t>
            </w:r>
          </w:p>
        </w:tc>
        <w:tc>
          <w:tcPr>
            <w:tcW w:w="621" w:type="pct"/>
            <w:tcBorders>
              <w:top w:val="single" w:sz="18" w:space="0" w:color="339966"/>
              <w:left w:val="nil"/>
              <w:bottom w:val="nil"/>
              <w:right w:val="nil"/>
            </w:tcBorders>
            <w:vAlign w:val="center"/>
          </w:tcPr>
          <w:p w:rsidR="003E0602" w:rsidRPr="00A41929" w:rsidRDefault="003E0602">
            <w:pPr>
              <w:jc w:val="center"/>
              <w:rPr>
                <w:sz w:val="22"/>
                <w:szCs w:val="22"/>
              </w:rPr>
            </w:pPr>
            <w:r w:rsidRPr="00A41929">
              <w:rPr>
                <w:sz w:val="22"/>
                <w:szCs w:val="22"/>
              </w:rPr>
              <w:t>0,15*</w:t>
            </w:r>
          </w:p>
        </w:tc>
        <w:tc>
          <w:tcPr>
            <w:tcW w:w="574" w:type="pct"/>
            <w:tcBorders>
              <w:top w:val="single" w:sz="18" w:space="0" w:color="339966"/>
              <w:left w:val="nil"/>
              <w:bottom w:val="nil"/>
              <w:right w:val="nil"/>
            </w:tcBorders>
            <w:vAlign w:val="center"/>
          </w:tcPr>
          <w:p w:rsidR="003E0602" w:rsidRPr="00A41929" w:rsidRDefault="003E0602">
            <w:pPr>
              <w:jc w:val="center"/>
              <w:rPr>
                <w:sz w:val="22"/>
                <w:szCs w:val="22"/>
              </w:rPr>
            </w:pPr>
            <w:r w:rsidRPr="00A41929">
              <w:rPr>
                <w:sz w:val="22"/>
                <w:szCs w:val="22"/>
              </w:rPr>
              <w:t>0,08 *</w:t>
            </w:r>
          </w:p>
        </w:tc>
      </w:tr>
      <w:tr w:rsidR="003E0602" w:rsidRPr="00A41929">
        <w:trPr>
          <w:trHeight w:val="359"/>
        </w:trPr>
        <w:tc>
          <w:tcPr>
            <w:tcW w:w="944" w:type="pct"/>
            <w:tcBorders>
              <w:top w:val="nil"/>
              <w:left w:val="nil"/>
              <w:bottom w:val="single" w:sz="18" w:space="0" w:color="339966"/>
              <w:right w:val="nil"/>
            </w:tcBorders>
            <w:vAlign w:val="center"/>
          </w:tcPr>
          <w:p w:rsidR="003E0602" w:rsidRPr="00A41929" w:rsidRDefault="003E0602" w:rsidP="005E78F1">
            <w:pPr>
              <w:ind w:right="-6"/>
              <w:jc w:val="center"/>
              <w:rPr>
                <w:sz w:val="22"/>
                <w:szCs w:val="22"/>
              </w:rPr>
            </w:pPr>
            <w:r w:rsidRPr="00A41929">
              <w:rPr>
                <w:sz w:val="22"/>
                <w:szCs w:val="22"/>
              </w:rPr>
              <w:t>CV (%)</w:t>
            </w:r>
          </w:p>
        </w:tc>
        <w:tc>
          <w:tcPr>
            <w:tcW w:w="1031" w:type="pct"/>
            <w:tcBorders>
              <w:top w:val="nil"/>
              <w:left w:val="nil"/>
              <w:bottom w:val="single" w:sz="18" w:space="0" w:color="339966"/>
              <w:right w:val="nil"/>
            </w:tcBorders>
            <w:vAlign w:val="center"/>
          </w:tcPr>
          <w:p w:rsidR="003E0602" w:rsidRPr="00A41929" w:rsidRDefault="003E0602">
            <w:pPr>
              <w:tabs>
                <w:tab w:val="left" w:pos="190"/>
                <w:tab w:val="left" w:pos="462"/>
                <w:tab w:val="left" w:pos="638"/>
                <w:tab w:val="left" w:pos="846"/>
              </w:tabs>
              <w:jc w:val="center"/>
              <w:rPr>
                <w:sz w:val="22"/>
                <w:szCs w:val="22"/>
              </w:rPr>
            </w:pPr>
            <w:r w:rsidRPr="00A41929">
              <w:rPr>
                <w:sz w:val="22"/>
                <w:szCs w:val="22"/>
              </w:rPr>
              <w:t xml:space="preserve">    13,39</w:t>
            </w:r>
          </w:p>
        </w:tc>
        <w:tc>
          <w:tcPr>
            <w:tcW w:w="1032" w:type="pct"/>
            <w:tcBorders>
              <w:top w:val="nil"/>
              <w:left w:val="nil"/>
              <w:bottom w:val="single" w:sz="18" w:space="0" w:color="339966"/>
              <w:right w:val="nil"/>
            </w:tcBorders>
            <w:vAlign w:val="center"/>
          </w:tcPr>
          <w:p w:rsidR="003E0602" w:rsidRPr="00A41929" w:rsidRDefault="003E0602">
            <w:pPr>
              <w:tabs>
                <w:tab w:val="left" w:pos="190"/>
                <w:tab w:val="left" w:pos="462"/>
                <w:tab w:val="left" w:pos="638"/>
                <w:tab w:val="left" w:pos="846"/>
              </w:tabs>
              <w:jc w:val="center"/>
              <w:rPr>
                <w:sz w:val="22"/>
                <w:szCs w:val="22"/>
              </w:rPr>
            </w:pPr>
            <w:r w:rsidRPr="00A41929">
              <w:rPr>
                <w:sz w:val="22"/>
                <w:szCs w:val="22"/>
              </w:rPr>
              <w:t xml:space="preserve">    17,52</w:t>
            </w:r>
          </w:p>
        </w:tc>
        <w:tc>
          <w:tcPr>
            <w:tcW w:w="799" w:type="pct"/>
            <w:tcBorders>
              <w:top w:val="nil"/>
              <w:left w:val="nil"/>
              <w:bottom w:val="single" w:sz="18" w:space="0" w:color="339966"/>
              <w:right w:val="nil"/>
            </w:tcBorders>
            <w:vAlign w:val="center"/>
          </w:tcPr>
          <w:p w:rsidR="003E0602" w:rsidRPr="00A41929" w:rsidRDefault="003E0602">
            <w:pPr>
              <w:jc w:val="center"/>
              <w:rPr>
                <w:sz w:val="22"/>
                <w:szCs w:val="22"/>
              </w:rPr>
            </w:pPr>
            <w:r w:rsidRPr="00A41929">
              <w:rPr>
                <w:sz w:val="22"/>
                <w:szCs w:val="22"/>
              </w:rPr>
              <w:t xml:space="preserve">    13,07</w:t>
            </w:r>
          </w:p>
        </w:tc>
        <w:tc>
          <w:tcPr>
            <w:tcW w:w="621" w:type="pct"/>
            <w:tcBorders>
              <w:top w:val="nil"/>
              <w:left w:val="nil"/>
              <w:bottom w:val="single" w:sz="18" w:space="0" w:color="339966"/>
              <w:right w:val="nil"/>
            </w:tcBorders>
            <w:vAlign w:val="center"/>
          </w:tcPr>
          <w:p w:rsidR="003E0602" w:rsidRPr="00A41929" w:rsidRDefault="003E0602">
            <w:pPr>
              <w:tabs>
                <w:tab w:val="left" w:pos="633"/>
              </w:tabs>
              <w:rPr>
                <w:sz w:val="22"/>
                <w:szCs w:val="22"/>
              </w:rPr>
            </w:pPr>
            <w:r w:rsidRPr="00A41929">
              <w:rPr>
                <w:sz w:val="22"/>
                <w:szCs w:val="22"/>
              </w:rPr>
              <w:t xml:space="preserve">  14,58</w:t>
            </w:r>
          </w:p>
        </w:tc>
        <w:tc>
          <w:tcPr>
            <w:tcW w:w="574" w:type="pct"/>
            <w:tcBorders>
              <w:top w:val="nil"/>
              <w:left w:val="nil"/>
              <w:bottom w:val="single" w:sz="18" w:space="0" w:color="339966"/>
              <w:right w:val="nil"/>
            </w:tcBorders>
            <w:vAlign w:val="center"/>
          </w:tcPr>
          <w:p w:rsidR="003E0602" w:rsidRPr="00A41929" w:rsidRDefault="003E0602">
            <w:pPr>
              <w:tabs>
                <w:tab w:val="left" w:pos="542"/>
              </w:tabs>
              <w:rPr>
                <w:sz w:val="22"/>
                <w:szCs w:val="22"/>
              </w:rPr>
            </w:pPr>
            <w:r w:rsidRPr="00A41929">
              <w:rPr>
                <w:sz w:val="22"/>
                <w:szCs w:val="22"/>
              </w:rPr>
              <w:t xml:space="preserve"> 12,37</w:t>
            </w:r>
          </w:p>
        </w:tc>
      </w:tr>
    </w:tbl>
    <w:p w:rsidR="003E0602" w:rsidRPr="00A41929" w:rsidRDefault="003E0602">
      <w:pPr>
        <w:pStyle w:val="Textoindependiente3"/>
        <w:spacing w:line="240" w:lineRule="auto"/>
        <w:jc w:val="center"/>
        <w:rPr>
          <w:i/>
          <w:iCs/>
          <w:sz w:val="22"/>
          <w:szCs w:val="22"/>
        </w:rPr>
      </w:pPr>
      <w:r w:rsidRPr="00A41929">
        <w:rPr>
          <w:i/>
          <w:iCs/>
          <w:sz w:val="22"/>
          <w:szCs w:val="22"/>
        </w:rPr>
        <w:t>Letras desiguales dentro de cada columna difieren para p</w:t>
      </w:r>
      <w:r w:rsidRPr="00A41929">
        <w:rPr>
          <w:i/>
          <w:iCs/>
          <w:sz w:val="22"/>
          <w:szCs w:val="22"/>
        </w:rPr>
        <w:sym w:font="Symbol" w:char="F03C"/>
      </w:r>
      <w:r w:rsidRPr="00A41929">
        <w:rPr>
          <w:i/>
          <w:iCs/>
          <w:sz w:val="22"/>
          <w:szCs w:val="22"/>
        </w:rPr>
        <w:t xml:space="preserve">0,05 según prueba de </w:t>
      </w:r>
      <w:proofErr w:type="spellStart"/>
      <w:r w:rsidRPr="00A41929">
        <w:rPr>
          <w:i/>
          <w:iCs/>
          <w:sz w:val="22"/>
          <w:szCs w:val="22"/>
        </w:rPr>
        <w:t>Tukey</w:t>
      </w:r>
      <w:proofErr w:type="spellEnd"/>
      <w:r w:rsidRPr="00A41929">
        <w:rPr>
          <w:i/>
          <w:iCs/>
          <w:sz w:val="22"/>
          <w:szCs w:val="22"/>
        </w:rPr>
        <w:t>.</w:t>
      </w:r>
    </w:p>
    <w:p w:rsidR="003E0602" w:rsidRPr="00A41929" w:rsidRDefault="003E0602" w:rsidP="005E78F1">
      <w:pPr>
        <w:pStyle w:val="Textoindependiente2"/>
        <w:spacing w:after="0" w:line="240" w:lineRule="auto"/>
        <w:jc w:val="both"/>
        <w:rPr>
          <w:sz w:val="22"/>
          <w:szCs w:val="22"/>
        </w:rPr>
      </w:pPr>
    </w:p>
    <w:p w:rsidR="003E0602" w:rsidRPr="00A41929" w:rsidRDefault="003E0602" w:rsidP="005E78F1">
      <w:pPr>
        <w:pStyle w:val="Textoindependiente2"/>
        <w:spacing w:after="0" w:line="240" w:lineRule="auto"/>
        <w:jc w:val="both"/>
        <w:rPr>
          <w:sz w:val="22"/>
          <w:szCs w:val="22"/>
        </w:rPr>
      </w:pPr>
      <w:r w:rsidRPr="00A41929">
        <w:rPr>
          <w:sz w:val="22"/>
          <w:szCs w:val="22"/>
        </w:rPr>
        <w:t xml:space="preserve">A partir de los resultados obtenidos se  seleccionó la densidad de 60 </w:t>
      </w:r>
      <w:proofErr w:type="spellStart"/>
      <w:r w:rsidRPr="00A41929">
        <w:rPr>
          <w:sz w:val="22"/>
          <w:szCs w:val="22"/>
        </w:rPr>
        <w:t>explantes</w:t>
      </w:r>
      <w:proofErr w:type="spellEnd"/>
      <w:r w:rsidRPr="00A41929">
        <w:rPr>
          <w:sz w:val="22"/>
          <w:szCs w:val="22"/>
        </w:rPr>
        <w:t xml:space="preserve"> por frasco de cultivo, pues hay una mayor asimilación de los nutrientes que componen el medio de cultivo y por tanto un mejor aprovechamiento de los frascos de cultivo </w:t>
      </w:r>
      <w:proofErr w:type="spellStart"/>
      <w:r w:rsidRPr="00A41929">
        <w:rPr>
          <w:sz w:val="22"/>
          <w:szCs w:val="22"/>
        </w:rPr>
        <w:t>Nalgene</w:t>
      </w:r>
      <w:proofErr w:type="spellEnd"/>
      <w:r w:rsidRPr="00A41929">
        <w:rPr>
          <w:sz w:val="22"/>
          <w:szCs w:val="22"/>
        </w:rPr>
        <w:t xml:space="preserve"> de 10 litros de capacidad (figura 1).</w:t>
      </w:r>
    </w:p>
    <w:p w:rsidR="003E0602" w:rsidRPr="00A41929" w:rsidRDefault="003E0602">
      <w:pPr>
        <w:pStyle w:val="Textoindependiente2"/>
        <w:spacing w:after="0" w:line="240" w:lineRule="auto"/>
        <w:jc w:val="both"/>
        <w:rPr>
          <w:sz w:val="22"/>
          <w:szCs w:val="22"/>
        </w:rPr>
      </w:pPr>
    </w:p>
    <w:p w:rsidR="003E0602" w:rsidRPr="00A41929" w:rsidRDefault="003E0602">
      <w:pPr>
        <w:pStyle w:val="Textoindependiente2"/>
        <w:spacing w:after="0" w:line="240" w:lineRule="auto"/>
        <w:jc w:val="both"/>
        <w:rPr>
          <w:sz w:val="22"/>
          <w:szCs w:val="22"/>
        </w:rPr>
      </w:pPr>
    </w:p>
    <w:p w:rsidR="003E0602" w:rsidRPr="00A41929" w:rsidRDefault="0029220E">
      <w:pPr>
        <w:pStyle w:val="Textoindependiente2"/>
        <w:spacing w:after="0" w:line="240" w:lineRule="auto"/>
        <w:jc w:val="center"/>
        <w:rPr>
          <w:sz w:val="22"/>
          <w:szCs w:val="22"/>
        </w:rPr>
      </w:pPr>
      <w:r w:rsidRPr="00A41929">
        <w:rPr>
          <w:rFonts w:cs="Arial"/>
          <w:noProof/>
          <w:sz w:val="22"/>
          <w:szCs w:val="22"/>
          <w:lang w:val="en-US" w:eastAsia="en-US"/>
        </w:rPr>
        <w:drawing>
          <wp:inline distT="0" distB="0" distL="0" distR="0">
            <wp:extent cx="2743200" cy="1820545"/>
            <wp:effectExtent l="19050" t="19050" r="19050" b="27305"/>
            <wp:docPr id="1" name="Imagen 177" descr="DSC013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77" descr="DSC01316"/>
                    <pic:cNvPicPr>
                      <a:picLocks noChangeAspect="1" noChangeArrowheads="1"/>
                    </pic:cNvPicPr>
                  </pic:nvPicPr>
                  <pic:blipFill>
                    <a:blip r:embed="rId5">
                      <a:grayscl/>
                    </a:blip>
                    <a:srcRect/>
                    <a:stretch>
                      <a:fillRect/>
                    </a:stretch>
                  </pic:blipFill>
                  <pic:spPr bwMode="auto">
                    <a:xfrm>
                      <a:off x="0" y="0"/>
                      <a:ext cx="2743200" cy="1820545"/>
                    </a:xfrm>
                    <a:prstGeom prst="rect">
                      <a:avLst/>
                    </a:prstGeom>
                    <a:noFill/>
                    <a:ln w="9525" cmpd="sng">
                      <a:solidFill>
                        <a:srgbClr val="969696"/>
                      </a:solidFill>
                      <a:miter lim="800000"/>
                      <a:headEnd/>
                      <a:tailEnd/>
                    </a:ln>
                    <a:effectLst/>
                  </pic:spPr>
                </pic:pic>
              </a:graphicData>
            </a:graphic>
          </wp:inline>
        </w:drawing>
      </w:r>
    </w:p>
    <w:p w:rsidR="003E0602" w:rsidRPr="00A41929" w:rsidRDefault="003E0602">
      <w:pPr>
        <w:pStyle w:val="Textoindependiente2"/>
        <w:spacing w:after="0" w:line="240" w:lineRule="auto"/>
        <w:jc w:val="both"/>
        <w:rPr>
          <w:sz w:val="22"/>
          <w:szCs w:val="22"/>
        </w:rPr>
      </w:pPr>
    </w:p>
    <w:p w:rsidR="003E0602" w:rsidRPr="00A41929" w:rsidRDefault="003E0602">
      <w:pPr>
        <w:autoSpaceDE w:val="0"/>
        <w:autoSpaceDN w:val="0"/>
        <w:adjustRightInd w:val="0"/>
        <w:jc w:val="both"/>
        <w:rPr>
          <w:sz w:val="22"/>
          <w:szCs w:val="22"/>
        </w:rPr>
      </w:pPr>
      <w:r w:rsidRPr="00A41929">
        <w:rPr>
          <w:b/>
          <w:sz w:val="22"/>
          <w:szCs w:val="22"/>
        </w:rPr>
        <w:t>Figura 1.</w:t>
      </w:r>
      <w:r w:rsidRPr="00A41929">
        <w:rPr>
          <w:sz w:val="22"/>
          <w:szCs w:val="22"/>
        </w:rPr>
        <w:t xml:space="preserve"> Plantas </w:t>
      </w:r>
      <w:r w:rsidRPr="00A41929">
        <w:rPr>
          <w:i/>
          <w:sz w:val="22"/>
          <w:szCs w:val="22"/>
        </w:rPr>
        <w:t>in vitro</w:t>
      </w:r>
      <w:r w:rsidRPr="00A41929">
        <w:rPr>
          <w:sz w:val="22"/>
          <w:szCs w:val="22"/>
        </w:rPr>
        <w:t xml:space="preserve"> del cultivar plátano vianda </w:t>
      </w:r>
      <w:r w:rsidRPr="00A41929">
        <w:rPr>
          <w:bCs/>
          <w:sz w:val="22"/>
          <w:szCs w:val="22"/>
        </w:rPr>
        <w:t xml:space="preserve">"INIVITPV-2011" </w:t>
      </w:r>
      <w:r w:rsidRPr="00A41929">
        <w:rPr>
          <w:sz w:val="22"/>
          <w:szCs w:val="22"/>
        </w:rPr>
        <w:t>(AAB) obtenidas en Sistema de Inmersión Temporal a los 18 días de cultivo.</w:t>
      </w:r>
    </w:p>
    <w:p w:rsidR="003E0602" w:rsidRPr="00A41929" w:rsidRDefault="003E0602">
      <w:pPr>
        <w:autoSpaceDE w:val="0"/>
        <w:autoSpaceDN w:val="0"/>
        <w:adjustRightInd w:val="0"/>
        <w:jc w:val="both"/>
        <w:rPr>
          <w:sz w:val="22"/>
          <w:szCs w:val="22"/>
        </w:rPr>
      </w:pPr>
    </w:p>
    <w:p w:rsidR="003E0602" w:rsidRPr="00A41929" w:rsidRDefault="003E0602">
      <w:pPr>
        <w:pStyle w:val="Textoindependiente3"/>
        <w:spacing w:line="240" w:lineRule="auto"/>
        <w:rPr>
          <w:sz w:val="22"/>
          <w:szCs w:val="22"/>
        </w:rPr>
      </w:pPr>
      <w:r w:rsidRPr="00A41929">
        <w:rPr>
          <w:sz w:val="22"/>
          <w:szCs w:val="22"/>
        </w:rPr>
        <w:t xml:space="preserve">En el cultivar ‘Gran Enano’ (AAA), empleando los Sistemas de Inmersión Temporal de 5 litros de capacidad, Albany (2001) señala que la variable que determina un incremento en el coeficiente de multiplicación, peso de los brotes, peso final y peso útil, es la densidad de </w:t>
      </w:r>
      <w:proofErr w:type="spellStart"/>
      <w:r w:rsidRPr="00A41929">
        <w:rPr>
          <w:sz w:val="22"/>
          <w:szCs w:val="22"/>
        </w:rPr>
        <w:t>inóculo</w:t>
      </w:r>
      <w:proofErr w:type="spellEnd"/>
      <w:r w:rsidRPr="00A41929">
        <w:rPr>
          <w:sz w:val="22"/>
          <w:szCs w:val="22"/>
        </w:rPr>
        <w:t xml:space="preserve">, obteniendo los mejores resultados con 25 </w:t>
      </w:r>
      <w:proofErr w:type="spellStart"/>
      <w:r w:rsidRPr="00A41929">
        <w:rPr>
          <w:sz w:val="22"/>
          <w:szCs w:val="22"/>
        </w:rPr>
        <w:t>explantes</w:t>
      </w:r>
      <w:proofErr w:type="spellEnd"/>
      <w:r w:rsidRPr="00A41929">
        <w:rPr>
          <w:sz w:val="22"/>
          <w:szCs w:val="22"/>
        </w:rPr>
        <w:t>.</w:t>
      </w:r>
    </w:p>
    <w:p w:rsidR="003E0602" w:rsidRPr="00A41929" w:rsidRDefault="003E0602">
      <w:pPr>
        <w:pStyle w:val="Textoindependiente3"/>
        <w:spacing w:line="240" w:lineRule="auto"/>
        <w:rPr>
          <w:sz w:val="22"/>
          <w:szCs w:val="22"/>
        </w:rPr>
      </w:pPr>
      <w:r w:rsidRPr="00A41929">
        <w:rPr>
          <w:sz w:val="22"/>
          <w:szCs w:val="22"/>
        </w:rPr>
        <w:t xml:space="preserve">Según Posada </w:t>
      </w:r>
      <w:r w:rsidRPr="00A41929">
        <w:rPr>
          <w:i/>
          <w:sz w:val="22"/>
          <w:szCs w:val="22"/>
        </w:rPr>
        <w:t>et al</w:t>
      </w:r>
      <w:r w:rsidRPr="00A41929">
        <w:rPr>
          <w:sz w:val="22"/>
          <w:szCs w:val="22"/>
        </w:rPr>
        <w:t xml:space="preserve">. (2003) los mejores resultados para la multiplicación de los cultivares de banano ‘FHIA 01’ y ‘FHIA 18’ se alcanzaron con la densidad de cinco </w:t>
      </w:r>
      <w:proofErr w:type="spellStart"/>
      <w:r w:rsidRPr="00A41929">
        <w:rPr>
          <w:sz w:val="22"/>
          <w:szCs w:val="22"/>
        </w:rPr>
        <w:t>explantes</w:t>
      </w:r>
      <w:proofErr w:type="spellEnd"/>
      <w:r w:rsidRPr="00A41929">
        <w:rPr>
          <w:sz w:val="22"/>
          <w:szCs w:val="22"/>
        </w:rPr>
        <w:t xml:space="preserve"> y una frecuencia de inmersión de tres veces durante un minuto cada 24 horas, en frascos de Inmersión Temporal (Sistema RITA).</w:t>
      </w:r>
    </w:p>
    <w:p w:rsidR="003E0602" w:rsidRPr="00A41929" w:rsidRDefault="003E0602">
      <w:pPr>
        <w:pStyle w:val="Textoindependiente3"/>
        <w:spacing w:line="240" w:lineRule="auto"/>
        <w:rPr>
          <w:sz w:val="22"/>
          <w:szCs w:val="22"/>
        </w:rPr>
      </w:pPr>
    </w:p>
    <w:p w:rsidR="003E0602" w:rsidRPr="00A41929" w:rsidRDefault="003E0602">
      <w:pPr>
        <w:jc w:val="both"/>
        <w:rPr>
          <w:sz w:val="22"/>
          <w:szCs w:val="22"/>
        </w:rPr>
      </w:pPr>
      <w:r w:rsidRPr="00A41929">
        <w:rPr>
          <w:sz w:val="22"/>
          <w:szCs w:val="22"/>
        </w:rPr>
        <w:t xml:space="preserve">Orellana (1998), puntualizó la necesidad de valorar experimentalmente la densidad de </w:t>
      </w:r>
      <w:proofErr w:type="spellStart"/>
      <w:r w:rsidRPr="00A41929">
        <w:rPr>
          <w:sz w:val="22"/>
          <w:szCs w:val="22"/>
        </w:rPr>
        <w:t>explantes</w:t>
      </w:r>
      <w:proofErr w:type="spellEnd"/>
      <w:r w:rsidRPr="00A41929">
        <w:rPr>
          <w:sz w:val="22"/>
          <w:szCs w:val="22"/>
        </w:rPr>
        <w:t xml:space="preserve"> por frasco porque este parámetro pudiera ocasionar deficiencias en el sistema; ya que una baja densidad ocasionaría pérdidas de espacio y de medio de cultivo, y con ello la subutilización de los recipientes; mientras que una alta densidad propicia un crecimiento limitado de los brotes e insuficiente proliferación con </w:t>
      </w:r>
      <w:proofErr w:type="spellStart"/>
      <w:r w:rsidRPr="00A41929">
        <w:rPr>
          <w:sz w:val="22"/>
          <w:szCs w:val="22"/>
        </w:rPr>
        <w:t>subcultivos</w:t>
      </w:r>
      <w:proofErr w:type="spellEnd"/>
      <w:r w:rsidRPr="00A41929">
        <w:rPr>
          <w:sz w:val="22"/>
          <w:szCs w:val="22"/>
        </w:rPr>
        <w:t xml:space="preserve"> más frecuentes.</w:t>
      </w:r>
    </w:p>
    <w:p w:rsidR="003E0602" w:rsidRPr="00A41929" w:rsidRDefault="003E0602">
      <w:pPr>
        <w:jc w:val="both"/>
        <w:rPr>
          <w:sz w:val="22"/>
          <w:szCs w:val="22"/>
        </w:rPr>
      </w:pPr>
    </w:p>
    <w:p w:rsidR="003E0602" w:rsidRPr="00A41929" w:rsidRDefault="003E0602">
      <w:pPr>
        <w:jc w:val="both"/>
        <w:rPr>
          <w:sz w:val="22"/>
          <w:szCs w:val="22"/>
        </w:rPr>
      </w:pPr>
      <w:r w:rsidRPr="00A41929">
        <w:rPr>
          <w:sz w:val="22"/>
          <w:szCs w:val="22"/>
        </w:rPr>
        <w:t xml:space="preserve">De Feria </w:t>
      </w:r>
      <w:r w:rsidRPr="00A41929">
        <w:rPr>
          <w:i/>
          <w:sz w:val="22"/>
          <w:szCs w:val="22"/>
        </w:rPr>
        <w:t>et al</w:t>
      </w:r>
      <w:r w:rsidRPr="00A41929">
        <w:rPr>
          <w:sz w:val="22"/>
          <w:szCs w:val="22"/>
        </w:rPr>
        <w:t>. (1998), recomendaron para los recipientes de los Sistemas de Inmersión Temporal una densidad de 40 brotes de caña de azúcar, la cual les permitió obtener mayor coeficiente de multiplicación (10,92) y un peso promedio de 5,74 mg por brote.</w:t>
      </w:r>
    </w:p>
    <w:p w:rsidR="003E0602" w:rsidRPr="00A41929" w:rsidRDefault="003E0602">
      <w:pPr>
        <w:jc w:val="both"/>
        <w:rPr>
          <w:sz w:val="22"/>
          <w:szCs w:val="22"/>
        </w:rPr>
      </w:pPr>
    </w:p>
    <w:p w:rsidR="003E0602" w:rsidRPr="00A41929" w:rsidRDefault="003E0602">
      <w:pPr>
        <w:jc w:val="both"/>
        <w:rPr>
          <w:sz w:val="22"/>
          <w:szCs w:val="22"/>
        </w:rPr>
      </w:pPr>
      <w:r w:rsidRPr="00A41929">
        <w:rPr>
          <w:sz w:val="22"/>
          <w:szCs w:val="22"/>
        </w:rPr>
        <w:t xml:space="preserve">Los experimentos desarrollados permitieron incrementar de forma significativa el coeficiente de multiplicación en el cultivar de plátano vianda </w:t>
      </w:r>
      <w:r w:rsidRPr="00A41929">
        <w:rPr>
          <w:bCs/>
          <w:sz w:val="22"/>
          <w:szCs w:val="22"/>
        </w:rPr>
        <w:t xml:space="preserve">"INIVITPV-2011" </w:t>
      </w:r>
      <w:r w:rsidRPr="00A41929">
        <w:rPr>
          <w:sz w:val="22"/>
          <w:szCs w:val="22"/>
        </w:rPr>
        <w:t>(AAB) en Sistema de Inmersión Temporal de 3,5 a 8,45 obteniendo plantas con características muy superiores a las obtenidas por el método de propagación convencional.</w:t>
      </w:r>
    </w:p>
    <w:p w:rsidR="003E0602" w:rsidRPr="00A41929" w:rsidRDefault="003E0602">
      <w:pPr>
        <w:jc w:val="both"/>
        <w:rPr>
          <w:sz w:val="22"/>
          <w:szCs w:val="22"/>
        </w:rPr>
      </w:pPr>
    </w:p>
    <w:p w:rsidR="003E0602" w:rsidRPr="00A41929" w:rsidRDefault="003E0602">
      <w:pPr>
        <w:jc w:val="both"/>
        <w:rPr>
          <w:b/>
          <w:sz w:val="22"/>
          <w:szCs w:val="22"/>
          <w:lang w:val="es-MX"/>
        </w:rPr>
      </w:pPr>
      <w:r w:rsidRPr="00A41929">
        <w:rPr>
          <w:b/>
          <w:sz w:val="22"/>
          <w:szCs w:val="22"/>
          <w:lang w:val="es-MX"/>
        </w:rPr>
        <w:t>Conclusiones</w:t>
      </w:r>
    </w:p>
    <w:p w:rsidR="003E0602" w:rsidRPr="00A41929" w:rsidRDefault="003E0602">
      <w:pPr>
        <w:jc w:val="both"/>
        <w:rPr>
          <w:b/>
          <w:i/>
          <w:sz w:val="22"/>
          <w:szCs w:val="22"/>
          <w:lang w:val="es-MX"/>
        </w:rPr>
      </w:pPr>
    </w:p>
    <w:p w:rsidR="003E0602" w:rsidRPr="00A41929" w:rsidRDefault="003E0602">
      <w:pPr>
        <w:jc w:val="both"/>
        <w:rPr>
          <w:sz w:val="22"/>
          <w:szCs w:val="22"/>
        </w:rPr>
      </w:pPr>
      <w:r w:rsidRPr="00A41929">
        <w:rPr>
          <w:sz w:val="22"/>
          <w:szCs w:val="22"/>
          <w:lang w:val="es-MX"/>
        </w:rPr>
        <w:lastRenderedPageBreak/>
        <w:t>Se</w:t>
      </w:r>
      <w:r w:rsidRPr="00A41929">
        <w:rPr>
          <w:sz w:val="22"/>
          <w:szCs w:val="22"/>
        </w:rPr>
        <w:t xml:space="preserve"> estableció una metodología que permitió incrementar el coeficiente de multiplicación a 8,45 y la calidad del material </w:t>
      </w:r>
      <w:proofErr w:type="spellStart"/>
      <w:r w:rsidRPr="00A41929">
        <w:rPr>
          <w:sz w:val="22"/>
          <w:szCs w:val="22"/>
        </w:rPr>
        <w:t>micropropagado</w:t>
      </w:r>
      <w:proofErr w:type="spellEnd"/>
      <w:r w:rsidRPr="00A41929">
        <w:rPr>
          <w:sz w:val="22"/>
          <w:szCs w:val="22"/>
        </w:rPr>
        <w:t xml:space="preserve"> en el cultivar de plátano vianda     </w:t>
      </w:r>
      <w:r w:rsidRPr="00A41929">
        <w:rPr>
          <w:bCs/>
          <w:sz w:val="22"/>
          <w:szCs w:val="22"/>
        </w:rPr>
        <w:t xml:space="preserve">"INIVITPV-2011" </w:t>
      </w:r>
      <w:r w:rsidRPr="00A41929">
        <w:rPr>
          <w:sz w:val="22"/>
          <w:szCs w:val="22"/>
        </w:rPr>
        <w:t xml:space="preserve">(AAB).  A través del Sistema de Inmersión Temporal con un tiempo de 10 minutos de inmersión y una frecuencia cada 3 horas (8 inmersiones al día), con una densidad de </w:t>
      </w:r>
      <w:proofErr w:type="spellStart"/>
      <w:r w:rsidRPr="00A41929">
        <w:rPr>
          <w:sz w:val="22"/>
          <w:szCs w:val="22"/>
        </w:rPr>
        <w:t>inóculo</w:t>
      </w:r>
      <w:proofErr w:type="spellEnd"/>
      <w:r w:rsidRPr="00A41929">
        <w:rPr>
          <w:sz w:val="22"/>
          <w:szCs w:val="22"/>
        </w:rPr>
        <w:t xml:space="preserve"> de 60 </w:t>
      </w:r>
      <w:proofErr w:type="spellStart"/>
      <w:r w:rsidRPr="00A41929">
        <w:rPr>
          <w:sz w:val="22"/>
          <w:szCs w:val="22"/>
        </w:rPr>
        <w:t>explantes</w:t>
      </w:r>
      <w:proofErr w:type="spellEnd"/>
      <w:r w:rsidRPr="00A41929">
        <w:rPr>
          <w:sz w:val="22"/>
          <w:szCs w:val="22"/>
        </w:rPr>
        <w:t xml:space="preserve">, un volumen de 3600 ml de medio de cultivo y un tiempo de cultivo de 18 días se garantizó el mejor comportamiento del material. </w:t>
      </w:r>
    </w:p>
    <w:p w:rsidR="003E0602" w:rsidRPr="00A41929" w:rsidRDefault="003E0602">
      <w:pPr>
        <w:jc w:val="both"/>
        <w:rPr>
          <w:sz w:val="22"/>
          <w:szCs w:val="22"/>
        </w:rPr>
      </w:pPr>
    </w:p>
    <w:p w:rsidR="003E0602" w:rsidRPr="00A41929" w:rsidRDefault="009112E6">
      <w:pPr>
        <w:jc w:val="both"/>
        <w:rPr>
          <w:b/>
          <w:sz w:val="22"/>
          <w:szCs w:val="22"/>
          <w:lang w:val="es-CO"/>
        </w:rPr>
      </w:pPr>
      <w:r w:rsidRPr="00A41929">
        <w:rPr>
          <w:b/>
          <w:sz w:val="22"/>
          <w:szCs w:val="22"/>
          <w:lang w:val="es-CO"/>
        </w:rPr>
        <w:t xml:space="preserve">Referencias bibliográficas </w:t>
      </w:r>
    </w:p>
    <w:p w:rsidR="003E0602" w:rsidRPr="00A41929" w:rsidRDefault="003E0602">
      <w:pPr>
        <w:jc w:val="both"/>
        <w:rPr>
          <w:b/>
          <w:i/>
          <w:sz w:val="22"/>
          <w:szCs w:val="22"/>
          <w:lang w:val="es-CO"/>
        </w:rPr>
      </w:pPr>
    </w:p>
    <w:p w:rsidR="003E0602" w:rsidRPr="00A41929" w:rsidRDefault="003E0602">
      <w:pPr>
        <w:ind w:left="360" w:hanging="360"/>
        <w:jc w:val="both"/>
        <w:rPr>
          <w:sz w:val="22"/>
          <w:szCs w:val="22"/>
          <w:lang w:val="en-US"/>
        </w:rPr>
      </w:pPr>
      <w:r w:rsidRPr="00A41929">
        <w:rPr>
          <w:sz w:val="22"/>
          <w:szCs w:val="22"/>
          <w:lang w:val="nl-NL"/>
        </w:rPr>
        <w:t xml:space="preserve">Aitken-Christie, J., Davies, H.E., Kubota, C., Kosai, T. 1995. </w:t>
      </w:r>
      <w:proofErr w:type="gramStart"/>
      <w:r w:rsidRPr="00A41929">
        <w:rPr>
          <w:sz w:val="22"/>
          <w:szCs w:val="22"/>
          <w:lang w:val="en-US"/>
        </w:rPr>
        <w:t>Automation in Plant Tissue Culture.</w:t>
      </w:r>
      <w:proofErr w:type="gramEnd"/>
      <w:r w:rsidRPr="00A41929">
        <w:rPr>
          <w:sz w:val="22"/>
          <w:szCs w:val="22"/>
          <w:lang w:val="en-US"/>
        </w:rPr>
        <w:t xml:space="preserve"> General introduction overview: Automation and environment control in </w:t>
      </w:r>
      <w:r w:rsidRPr="00A41929">
        <w:rPr>
          <w:i/>
          <w:sz w:val="22"/>
          <w:szCs w:val="22"/>
          <w:lang w:val="en-US"/>
        </w:rPr>
        <w:t xml:space="preserve">Plant Tissue Culture </w:t>
      </w:r>
      <w:proofErr w:type="spellStart"/>
      <w:r w:rsidRPr="00A41929">
        <w:rPr>
          <w:i/>
          <w:sz w:val="22"/>
          <w:szCs w:val="22"/>
          <w:lang w:val="en-US"/>
        </w:rPr>
        <w:t>Kluwer</w:t>
      </w:r>
      <w:proofErr w:type="spellEnd"/>
      <w:r w:rsidRPr="00A41929">
        <w:rPr>
          <w:sz w:val="22"/>
          <w:szCs w:val="22"/>
          <w:lang w:val="en-US"/>
        </w:rPr>
        <w:t xml:space="preserve">, Academic Publisher, </w:t>
      </w:r>
      <w:proofErr w:type="spellStart"/>
      <w:r w:rsidRPr="00A41929">
        <w:rPr>
          <w:sz w:val="22"/>
          <w:szCs w:val="22"/>
          <w:lang w:val="en-US"/>
        </w:rPr>
        <w:t>Dordrech</w:t>
      </w:r>
      <w:proofErr w:type="spellEnd"/>
      <w:r w:rsidRPr="00A41929">
        <w:rPr>
          <w:sz w:val="22"/>
          <w:szCs w:val="22"/>
          <w:lang w:val="en-US"/>
        </w:rPr>
        <w:t>, pp.1-19.</w:t>
      </w:r>
    </w:p>
    <w:p w:rsidR="003E0602" w:rsidRPr="00A41929" w:rsidRDefault="003E0602">
      <w:pPr>
        <w:ind w:left="360" w:hanging="360"/>
        <w:jc w:val="both"/>
        <w:rPr>
          <w:sz w:val="22"/>
          <w:szCs w:val="22"/>
          <w:lang w:val="es-ES_tradnl" w:eastAsia="en-US"/>
        </w:rPr>
      </w:pPr>
      <w:r w:rsidRPr="00A41929">
        <w:rPr>
          <w:sz w:val="22"/>
          <w:szCs w:val="22"/>
          <w:lang w:val="es-ES_tradnl" w:eastAsia="en-US"/>
        </w:rPr>
        <w:t>Albany, N. 20</w:t>
      </w:r>
      <w:r w:rsidRPr="00A41929">
        <w:rPr>
          <w:sz w:val="22"/>
          <w:szCs w:val="22"/>
          <w:lang w:eastAsia="en-US"/>
        </w:rPr>
        <w:t>01.</w:t>
      </w:r>
      <w:r w:rsidRPr="00A41929">
        <w:rPr>
          <w:sz w:val="22"/>
          <w:szCs w:val="22"/>
          <w:lang w:val="es-ES_tradnl" w:eastAsia="en-US"/>
        </w:rPr>
        <w:t xml:space="preserve"> Efectos de </w:t>
      </w:r>
      <w:proofErr w:type="spellStart"/>
      <w:r w:rsidRPr="00A41929">
        <w:rPr>
          <w:sz w:val="22"/>
          <w:szCs w:val="22"/>
          <w:lang w:val="es-ES_tradnl" w:eastAsia="en-US"/>
        </w:rPr>
        <w:t>retardantes</w:t>
      </w:r>
      <w:proofErr w:type="spellEnd"/>
      <w:r w:rsidRPr="00A41929">
        <w:rPr>
          <w:sz w:val="22"/>
          <w:szCs w:val="22"/>
          <w:lang w:val="es-ES_tradnl" w:eastAsia="en-US"/>
        </w:rPr>
        <w:t xml:space="preserve"> del crecimiento en la </w:t>
      </w:r>
      <w:proofErr w:type="spellStart"/>
      <w:r w:rsidRPr="00A41929">
        <w:rPr>
          <w:sz w:val="22"/>
          <w:szCs w:val="22"/>
          <w:lang w:val="es-ES_tradnl" w:eastAsia="en-US"/>
        </w:rPr>
        <w:t>micropropagación</w:t>
      </w:r>
      <w:proofErr w:type="spellEnd"/>
      <w:r w:rsidRPr="00A41929">
        <w:rPr>
          <w:sz w:val="22"/>
          <w:szCs w:val="22"/>
          <w:lang w:val="es-ES_tradnl" w:eastAsia="en-US"/>
        </w:rPr>
        <w:t xml:space="preserve"> de bananos en medios de cultivo líquidos en agitador orbital y sistemas de inmersión temporal. Tesis para optar por el Grado Científico de </w:t>
      </w:r>
      <w:proofErr w:type="spellStart"/>
      <w:r w:rsidRPr="00A41929">
        <w:rPr>
          <w:sz w:val="22"/>
          <w:szCs w:val="22"/>
          <w:lang w:val="es-ES_tradnl" w:eastAsia="en-US"/>
        </w:rPr>
        <w:t>Master</w:t>
      </w:r>
      <w:proofErr w:type="spellEnd"/>
      <w:r w:rsidRPr="00A41929">
        <w:rPr>
          <w:sz w:val="22"/>
          <w:szCs w:val="22"/>
          <w:lang w:val="es-ES_tradnl" w:eastAsia="en-US"/>
        </w:rPr>
        <w:t xml:space="preserve"> en Biotecnología Vegetal. Instituto de Biotecnología de las Plantas. Santa Clara, pp. 34-36.</w:t>
      </w:r>
    </w:p>
    <w:p w:rsidR="003E0602" w:rsidRPr="00A41929" w:rsidRDefault="003E0602">
      <w:pPr>
        <w:ind w:left="360" w:hanging="360"/>
        <w:jc w:val="both"/>
        <w:rPr>
          <w:sz w:val="22"/>
          <w:szCs w:val="22"/>
          <w:lang w:val="en-US"/>
        </w:rPr>
      </w:pPr>
      <w:proofErr w:type="spellStart"/>
      <w:r w:rsidRPr="00A41929">
        <w:rPr>
          <w:sz w:val="22"/>
          <w:szCs w:val="22"/>
          <w:lang w:val="es-ES_tradnl"/>
        </w:rPr>
        <w:t>Alvard</w:t>
      </w:r>
      <w:proofErr w:type="spellEnd"/>
      <w:r w:rsidRPr="00A41929">
        <w:rPr>
          <w:sz w:val="22"/>
          <w:szCs w:val="22"/>
          <w:lang w:val="es-ES_tradnl"/>
        </w:rPr>
        <w:t xml:space="preserve">, D., Cote, F., </w:t>
      </w:r>
      <w:proofErr w:type="spellStart"/>
      <w:r w:rsidRPr="00A41929">
        <w:rPr>
          <w:sz w:val="22"/>
          <w:szCs w:val="22"/>
          <w:lang w:val="es-ES_tradnl"/>
        </w:rPr>
        <w:t>Teisson</w:t>
      </w:r>
      <w:proofErr w:type="spellEnd"/>
      <w:r w:rsidRPr="00A41929">
        <w:rPr>
          <w:sz w:val="22"/>
          <w:szCs w:val="22"/>
          <w:lang w:val="es-ES_tradnl"/>
        </w:rPr>
        <w:t xml:space="preserve">, C. 1993. </w:t>
      </w:r>
      <w:proofErr w:type="gramStart"/>
      <w:r w:rsidR="009112E6" w:rsidRPr="00A41929">
        <w:rPr>
          <w:sz w:val="22"/>
          <w:szCs w:val="22"/>
          <w:lang w:val="en-US"/>
        </w:rPr>
        <w:t xml:space="preserve">Comparison of methods of liquids medium culture for banana </w:t>
      </w:r>
      <w:proofErr w:type="spellStart"/>
      <w:r w:rsidR="009112E6" w:rsidRPr="00A41929">
        <w:rPr>
          <w:sz w:val="22"/>
          <w:szCs w:val="22"/>
          <w:lang w:val="en-US"/>
        </w:rPr>
        <w:t>micropropagation</w:t>
      </w:r>
      <w:proofErr w:type="spellEnd"/>
      <w:r w:rsidR="009112E6" w:rsidRPr="00A41929">
        <w:rPr>
          <w:sz w:val="22"/>
          <w:szCs w:val="22"/>
          <w:lang w:val="en-US"/>
        </w:rPr>
        <w:t>.</w:t>
      </w:r>
      <w:proofErr w:type="gramEnd"/>
      <w:r w:rsidR="009112E6" w:rsidRPr="00A41929">
        <w:rPr>
          <w:sz w:val="22"/>
          <w:szCs w:val="22"/>
          <w:lang w:val="en-US"/>
        </w:rPr>
        <w:t xml:space="preserve"> </w:t>
      </w:r>
      <w:proofErr w:type="gramStart"/>
      <w:r w:rsidRPr="00A41929">
        <w:rPr>
          <w:sz w:val="22"/>
          <w:szCs w:val="22"/>
          <w:lang w:val="en-US"/>
        </w:rPr>
        <w:t xml:space="preserve">Effects of temporary </w:t>
      </w:r>
      <w:proofErr w:type="spellStart"/>
      <w:r w:rsidRPr="00A41929">
        <w:rPr>
          <w:sz w:val="22"/>
          <w:szCs w:val="22"/>
          <w:lang w:val="en-US"/>
        </w:rPr>
        <w:t>inmersion</w:t>
      </w:r>
      <w:proofErr w:type="spellEnd"/>
      <w:r w:rsidRPr="00A41929">
        <w:rPr>
          <w:sz w:val="22"/>
          <w:szCs w:val="22"/>
          <w:lang w:val="en-US"/>
        </w:rPr>
        <w:t xml:space="preserve"> of explants.</w:t>
      </w:r>
      <w:proofErr w:type="gramEnd"/>
      <w:r w:rsidRPr="00A41929">
        <w:rPr>
          <w:sz w:val="22"/>
          <w:szCs w:val="22"/>
          <w:lang w:val="en-US"/>
        </w:rPr>
        <w:t xml:space="preserve"> </w:t>
      </w:r>
      <w:r w:rsidRPr="00A41929">
        <w:rPr>
          <w:i/>
          <w:sz w:val="22"/>
          <w:szCs w:val="22"/>
          <w:lang w:val="en-US"/>
        </w:rPr>
        <w:t>Plant Cell Tissue and Organ Culture</w:t>
      </w:r>
      <w:r w:rsidRPr="00A41929">
        <w:rPr>
          <w:sz w:val="22"/>
          <w:szCs w:val="22"/>
          <w:lang w:val="en-US"/>
        </w:rPr>
        <w:t xml:space="preserve"> 2: 55-61.</w:t>
      </w:r>
    </w:p>
    <w:p w:rsidR="003E0602" w:rsidRPr="00A41929" w:rsidRDefault="003E0602">
      <w:pPr>
        <w:ind w:left="360" w:hanging="360"/>
        <w:jc w:val="both"/>
        <w:rPr>
          <w:bCs/>
          <w:sz w:val="22"/>
          <w:szCs w:val="22"/>
        </w:rPr>
      </w:pPr>
      <w:proofErr w:type="spellStart"/>
      <w:r w:rsidRPr="00A41929">
        <w:rPr>
          <w:sz w:val="22"/>
          <w:szCs w:val="22"/>
        </w:rPr>
        <w:t>Basail</w:t>
      </w:r>
      <w:proofErr w:type="spellEnd"/>
      <w:r w:rsidRPr="00A41929">
        <w:rPr>
          <w:sz w:val="22"/>
          <w:szCs w:val="22"/>
        </w:rPr>
        <w:t>, M. y Santos, A. 2010. Comunicación personal.</w:t>
      </w:r>
    </w:p>
    <w:p w:rsidR="003E0602" w:rsidRPr="00A41929" w:rsidRDefault="009112E6">
      <w:pPr>
        <w:ind w:left="360" w:hanging="360"/>
        <w:jc w:val="both"/>
        <w:rPr>
          <w:sz w:val="22"/>
          <w:szCs w:val="22"/>
          <w:lang w:val="en-US" w:eastAsia="en-US"/>
        </w:rPr>
      </w:pPr>
      <w:proofErr w:type="spellStart"/>
      <w:r w:rsidRPr="00A41929">
        <w:rPr>
          <w:sz w:val="22"/>
          <w:szCs w:val="22"/>
          <w:lang w:val="es-CO" w:eastAsia="en-US"/>
        </w:rPr>
        <w:t>Berthouly</w:t>
      </w:r>
      <w:proofErr w:type="spellEnd"/>
      <w:r w:rsidRPr="00A41929">
        <w:rPr>
          <w:sz w:val="22"/>
          <w:szCs w:val="22"/>
          <w:lang w:val="es-CO" w:eastAsia="en-US"/>
        </w:rPr>
        <w:t xml:space="preserve">, M., </w:t>
      </w:r>
      <w:proofErr w:type="spellStart"/>
      <w:r w:rsidRPr="00A41929">
        <w:rPr>
          <w:sz w:val="22"/>
          <w:szCs w:val="22"/>
          <w:lang w:val="es-CO" w:eastAsia="en-US"/>
        </w:rPr>
        <w:t>Etienne</w:t>
      </w:r>
      <w:proofErr w:type="spellEnd"/>
      <w:r w:rsidRPr="00A41929">
        <w:rPr>
          <w:sz w:val="22"/>
          <w:szCs w:val="22"/>
          <w:lang w:val="es-CO" w:eastAsia="en-US"/>
        </w:rPr>
        <w:t xml:space="preserve">, H. 2005. </w:t>
      </w:r>
      <w:r w:rsidR="003E0602" w:rsidRPr="00A41929">
        <w:rPr>
          <w:sz w:val="22"/>
          <w:szCs w:val="22"/>
          <w:lang w:val="en-US" w:eastAsia="en-US"/>
        </w:rPr>
        <w:t xml:space="preserve">Temporary immersion systems: a new concept for use liquid medium in mass propagation. En: </w:t>
      </w:r>
      <w:proofErr w:type="spellStart"/>
      <w:r w:rsidR="003E0602" w:rsidRPr="00A41929">
        <w:rPr>
          <w:sz w:val="22"/>
          <w:szCs w:val="22"/>
          <w:lang w:val="en-US" w:eastAsia="en-US"/>
        </w:rPr>
        <w:t>Hvoslef-Eide</w:t>
      </w:r>
      <w:proofErr w:type="spellEnd"/>
      <w:r w:rsidR="003E0602" w:rsidRPr="00A41929">
        <w:rPr>
          <w:sz w:val="22"/>
          <w:szCs w:val="22"/>
          <w:lang w:val="en-US" w:eastAsia="en-US"/>
        </w:rPr>
        <w:t xml:space="preserve"> A. K. y </w:t>
      </w:r>
      <w:proofErr w:type="spellStart"/>
      <w:r w:rsidR="003E0602" w:rsidRPr="00A41929">
        <w:rPr>
          <w:sz w:val="22"/>
          <w:szCs w:val="22"/>
          <w:lang w:val="en-US" w:eastAsia="en-US"/>
        </w:rPr>
        <w:t>Preil</w:t>
      </w:r>
      <w:proofErr w:type="spellEnd"/>
      <w:r w:rsidR="003E0602" w:rsidRPr="00A41929">
        <w:rPr>
          <w:sz w:val="22"/>
          <w:szCs w:val="22"/>
          <w:lang w:val="en-US" w:eastAsia="en-US"/>
        </w:rPr>
        <w:t xml:space="preserve"> W. (Ed). </w:t>
      </w:r>
      <w:proofErr w:type="gramStart"/>
      <w:r w:rsidR="003E0602" w:rsidRPr="00A41929">
        <w:rPr>
          <w:sz w:val="22"/>
          <w:szCs w:val="22"/>
          <w:lang w:val="en-US" w:eastAsia="en-US"/>
        </w:rPr>
        <w:t xml:space="preserve">Liquid Culture Systems or </w:t>
      </w:r>
      <w:r w:rsidR="003E0602" w:rsidRPr="00A41929">
        <w:rPr>
          <w:i/>
          <w:sz w:val="22"/>
          <w:szCs w:val="22"/>
          <w:lang w:val="en-US" w:eastAsia="en-US"/>
        </w:rPr>
        <w:t>in vitro</w:t>
      </w:r>
      <w:r w:rsidR="003E0602" w:rsidRPr="00A41929">
        <w:rPr>
          <w:sz w:val="22"/>
          <w:szCs w:val="22"/>
          <w:lang w:val="en-US" w:eastAsia="en-US"/>
        </w:rPr>
        <w:t xml:space="preserve"> Plant Propagation, pp. 165-195.</w:t>
      </w:r>
      <w:proofErr w:type="gramEnd"/>
    </w:p>
    <w:p w:rsidR="003E0602" w:rsidRPr="00A41929" w:rsidRDefault="003E0602">
      <w:pPr>
        <w:ind w:left="357" w:hanging="357"/>
        <w:jc w:val="both"/>
        <w:rPr>
          <w:sz w:val="22"/>
          <w:szCs w:val="22"/>
        </w:rPr>
      </w:pPr>
      <w:r w:rsidRPr="00A41929">
        <w:rPr>
          <w:sz w:val="22"/>
          <w:szCs w:val="22"/>
          <w:lang w:val="es-CO"/>
        </w:rPr>
        <w:t xml:space="preserve">Cabrera, M. 2009. </w:t>
      </w:r>
      <w:r w:rsidRPr="00A41929">
        <w:rPr>
          <w:sz w:val="22"/>
          <w:szCs w:val="22"/>
        </w:rPr>
        <w:t xml:space="preserve">Formación de </w:t>
      </w:r>
      <w:proofErr w:type="spellStart"/>
      <w:r w:rsidRPr="00A41929">
        <w:rPr>
          <w:sz w:val="22"/>
          <w:szCs w:val="22"/>
        </w:rPr>
        <w:t>microtuberculos</w:t>
      </w:r>
      <w:proofErr w:type="spellEnd"/>
      <w:r w:rsidRPr="00A41929">
        <w:rPr>
          <w:sz w:val="22"/>
          <w:szCs w:val="22"/>
        </w:rPr>
        <w:t xml:space="preserve"> de ñame (</w:t>
      </w:r>
      <w:proofErr w:type="spellStart"/>
      <w:r w:rsidRPr="00A41929">
        <w:rPr>
          <w:i/>
          <w:sz w:val="22"/>
          <w:szCs w:val="22"/>
        </w:rPr>
        <w:t>Dioscorea</w:t>
      </w:r>
      <w:proofErr w:type="spellEnd"/>
      <w:r w:rsidRPr="00A41929">
        <w:rPr>
          <w:i/>
          <w:sz w:val="22"/>
          <w:szCs w:val="22"/>
        </w:rPr>
        <w:t xml:space="preserve"> </w:t>
      </w:r>
      <w:proofErr w:type="spellStart"/>
      <w:r w:rsidRPr="00A41929">
        <w:rPr>
          <w:i/>
          <w:sz w:val="22"/>
          <w:szCs w:val="22"/>
        </w:rPr>
        <w:t>alata</w:t>
      </w:r>
      <w:proofErr w:type="spellEnd"/>
      <w:r w:rsidRPr="00A41929">
        <w:rPr>
          <w:sz w:val="22"/>
          <w:szCs w:val="22"/>
        </w:rPr>
        <w:t xml:space="preserve"> L.) clon ‘</w:t>
      </w:r>
      <w:proofErr w:type="spellStart"/>
      <w:r w:rsidRPr="00A41929">
        <w:rPr>
          <w:sz w:val="22"/>
          <w:szCs w:val="22"/>
        </w:rPr>
        <w:t>Pacala</w:t>
      </w:r>
      <w:proofErr w:type="spellEnd"/>
      <w:r w:rsidRPr="00A41929">
        <w:rPr>
          <w:sz w:val="22"/>
          <w:szCs w:val="22"/>
        </w:rPr>
        <w:t xml:space="preserve"> </w:t>
      </w:r>
      <w:proofErr w:type="spellStart"/>
      <w:r w:rsidRPr="00A41929">
        <w:rPr>
          <w:sz w:val="22"/>
          <w:szCs w:val="22"/>
        </w:rPr>
        <w:t>duclos</w:t>
      </w:r>
      <w:proofErr w:type="spellEnd"/>
      <w:r w:rsidRPr="00A41929">
        <w:rPr>
          <w:sz w:val="22"/>
          <w:szCs w:val="22"/>
        </w:rPr>
        <w:t>’ en Sistema de Inmersión Temporal como material vegetal de plantación. Tesis para aspirar  al Grado Científico de Doctor en Ciencias Agrícolas. Universidad de Santa Clara, Instituto de Biotecnología de las Plantas. Cuba.</w:t>
      </w:r>
    </w:p>
    <w:p w:rsidR="003E0602" w:rsidRPr="00A41929" w:rsidRDefault="003E0602">
      <w:pPr>
        <w:ind w:left="357" w:hanging="357"/>
        <w:jc w:val="both"/>
        <w:rPr>
          <w:sz w:val="22"/>
          <w:szCs w:val="22"/>
          <w:lang w:val="es-ES_tradnl" w:eastAsia="en-US"/>
        </w:rPr>
      </w:pPr>
      <w:r w:rsidRPr="00A41929">
        <w:rPr>
          <w:sz w:val="22"/>
          <w:szCs w:val="22"/>
          <w:lang w:val="es-ES_tradnl" w:eastAsia="en-US"/>
        </w:rPr>
        <w:t xml:space="preserve">Castro, D. 2001. Propagación  </w:t>
      </w:r>
      <w:proofErr w:type="spellStart"/>
      <w:r w:rsidRPr="00A41929">
        <w:rPr>
          <w:sz w:val="22"/>
          <w:szCs w:val="22"/>
          <w:lang w:val="es-ES_tradnl" w:eastAsia="en-US"/>
        </w:rPr>
        <w:t>mixotrófica</w:t>
      </w:r>
      <w:proofErr w:type="spellEnd"/>
      <w:r w:rsidRPr="00A41929">
        <w:rPr>
          <w:sz w:val="22"/>
          <w:szCs w:val="22"/>
          <w:lang w:val="es-ES_tradnl" w:eastAsia="en-US"/>
        </w:rPr>
        <w:t xml:space="preserve"> de </w:t>
      </w:r>
      <w:r w:rsidRPr="00A41929">
        <w:rPr>
          <w:i/>
          <w:sz w:val="22"/>
          <w:szCs w:val="22"/>
          <w:lang w:val="es-ES_tradnl" w:eastAsia="en-US"/>
        </w:rPr>
        <w:t xml:space="preserve">Eucalipto </w:t>
      </w:r>
      <w:proofErr w:type="spellStart"/>
      <w:r w:rsidRPr="00A41929">
        <w:rPr>
          <w:i/>
          <w:sz w:val="22"/>
          <w:szCs w:val="22"/>
          <w:lang w:val="es-ES_tradnl" w:eastAsia="en-US"/>
        </w:rPr>
        <w:t>grandis</w:t>
      </w:r>
      <w:proofErr w:type="spellEnd"/>
      <w:r w:rsidRPr="00A41929">
        <w:rPr>
          <w:sz w:val="22"/>
          <w:szCs w:val="22"/>
          <w:lang w:val="es-ES_tradnl" w:eastAsia="en-US"/>
        </w:rPr>
        <w:t xml:space="preserve"> Hill ex </w:t>
      </w:r>
      <w:proofErr w:type="spellStart"/>
      <w:r w:rsidRPr="00A41929">
        <w:rPr>
          <w:sz w:val="22"/>
          <w:szCs w:val="22"/>
          <w:lang w:val="es-ES_tradnl" w:eastAsia="en-US"/>
        </w:rPr>
        <w:t>Maide</w:t>
      </w:r>
      <w:proofErr w:type="spellEnd"/>
      <w:r w:rsidRPr="00A41929">
        <w:rPr>
          <w:sz w:val="22"/>
          <w:szCs w:val="22"/>
          <w:lang w:val="es-ES_tradnl" w:eastAsia="en-US"/>
        </w:rPr>
        <w:t xml:space="preserve"> en </w:t>
      </w:r>
      <w:proofErr w:type="spellStart"/>
      <w:r w:rsidRPr="00A41929">
        <w:rPr>
          <w:sz w:val="22"/>
          <w:szCs w:val="22"/>
          <w:lang w:val="es-ES_tradnl" w:eastAsia="en-US"/>
        </w:rPr>
        <w:t>biorreactores</w:t>
      </w:r>
      <w:proofErr w:type="spellEnd"/>
      <w:r w:rsidRPr="00A41929">
        <w:rPr>
          <w:sz w:val="22"/>
          <w:szCs w:val="22"/>
          <w:lang w:val="es-ES_tradnl" w:eastAsia="en-US"/>
        </w:rPr>
        <w:t xml:space="preserve">  de inmersión temporal. Tesis para aspirar  al Grado Científico de Doctor en Ciencias Agrícolas. Universidad de Ciego de Ávila, Centro de </w:t>
      </w:r>
      <w:proofErr w:type="spellStart"/>
      <w:r w:rsidRPr="00A41929">
        <w:rPr>
          <w:sz w:val="22"/>
          <w:szCs w:val="22"/>
          <w:lang w:val="es-ES_tradnl" w:eastAsia="en-US"/>
        </w:rPr>
        <w:t>Bioplantas</w:t>
      </w:r>
      <w:proofErr w:type="spellEnd"/>
      <w:r w:rsidRPr="00A41929">
        <w:rPr>
          <w:sz w:val="22"/>
          <w:szCs w:val="22"/>
          <w:lang w:val="es-ES_tradnl" w:eastAsia="en-US"/>
        </w:rPr>
        <w:t>. Cuba.</w:t>
      </w:r>
    </w:p>
    <w:p w:rsidR="003E0602" w:rsidRPr="00A41929" w:rsidRDefault="003E0602" w:rsidP="006838D1">
      <w:pPr>
        <w:pStyle w:val="Ttulo2"/>
        <w:spacing w:before="0" w:beforeAutospacing="0" w:after="0" w:afterAutospacing="0"/>
        <w:ind w:left="360" w:hanging="360"/>
        <w:jc w:val="both"/>
        <w:rPr>
          <w:b w:val="0"/>
          <w:sz w:val="22"/>
          <w:szCs w:val="22"/>
          <w:lang w:val="es-VE"/>
        </w:rPr>
      </w:pPr>
      <w:r w:rsidRPr="00A41929">
        <w:rPr>
          <w:b w:val="0"/>
          <w:sz w:val="22"/>
          <w:szCs w:val="22"/>
        </w:rPr>
        <w:t xml:space="preserve">Castro, D. R., González, J. 2002. </w:t>
      </w:r>
      <w:proofErr w:type="gramStart"/>
      <w:r w:rsidR="009112E6" w:rsidRPr="00A41929">
        <w:rPr>
          <w:b w:val="0"/>
          <w:sz w:val="22"/>
          <w:szCs w:val="22"/>
          <w:lang w:val="en-US"/>
        </w:rPr>
        <w:t>Eucalyptus (</w:t>
      </w:r>
      <w:r w:rsidR="009112E6" w:rsidRPr="00A41929">
        <w:rPr>
          <w:b w:val="0"/>
          <w:i w:val="0"/>
          <w:iCs w:val="0"/>
          <w:sz w:val="22"/>
          <w:szCs w:val="22"/>
          <w:lang w:val="en-US"/>
        </w:rPr>
        <w:t xml:space="preserve">Eucalyptus </w:t>
      </w:r>
      <w:proofErr w:type="spellStart"/>
      <w:r w:rsidR="009112E6" w:rsidRPr="00A41929">
        <w:rPr>
          <w:b w:val="0"/>
          <w:i w:val="0"/>
          <w:iCs w:val="0"/>
          <w:sz w:val="22"/>
          <w:szCs w:val="22"/>
          <w:lang w:val="en-US"/>
        </w:rPr>
        <w:t>grandis</w:t>
      </w:r>
      <w:proofErr w:type="spellEnd"/>
      <w:r w:rsidR="009112E6" w:rsidRPr="00A41929">
        <w:rPr>
          <w:b w:val="0"/>
          <w:i w:val="0"/>
          <w:iCs w:val="0"/>
          <w:sz w:val="22"/>
          <w:szCs w:val="22"/>
          <w:lang w:val="en-US"/>
        </w:rPr>
        <w:t xml:space="preserve"> </w:t>
      </w:r>
      <w:r w:rsidR="009112E6" w:rsidRPr="00A41929">
        <w:rPr>
          <w:b w:val="0"/>
          <w:sz w:val="22"/>
          <w:szCs w:val="22"/>
          <w:lang w:val="en-US"/>
        </w:rPr>
        <w:t xml:space="preserve">Hill ex Maiden) </w:t>
      </w:r>
      <w:proofErr w:type="spellStart"/>
      <w:r w:rsidR="009112E6" w:rsidRPr="00A41929">
        <w:rPr>
          <w:b w:val="0"/>
          <w:sz w:val="22"/>
          <w:szCs w:val="22"/>
          <w:lang w:val="en-US"/>
        </w:rPr>
        <w:t>micropropagation</w:t>
      </w:r>
      <w:proofErr w:type="spellEnd"/>
      <w:r w:rsidR="009112E6" w:rsidRPr="00A41929">
        <w:rPr>
          <w:b w:val="0"/>
          <w:sz w:val="22"/>
          <w:szCs w:val="22"/>
          <w:lang w:val="en-US"/>
        </w:rPr>
        <w:t xml:space="preserve"> in a temporary immersion system.</w:t>
      </w:r>
      <w:proofErr w:type="gramEnd"/>
      <w:r w:rsidR="009112E6" w:rsidRPr="00A41929">
        <w:rPr>
          <w:b w:val="0"/>
          <w:sz w:val="22"/>
          <w:szCs w:val="22"/>
          <w:lang w:val="en-US"/>
        </w:rPr>
        <w:t xml:space="preserve"> </w:t>
      </w:r>
      <w:r w:rsidRPr="00A41929">
        <w:rPr>
          <w:b w:val="0"/>
          <w:sz w:val="22"/>
          <w:szCs w:val="22"/>
          <w:lang w:val="es-VE"/>
        </w:rPr>
        <w:t>Agricultura sostenible, 62(1): 68-78. Colombia.</w:t>
      </w:r>
    </w:p>
    <w:p w:rsidR="003E0602" w:rsidRPr="00A41929" w:rsidRDefault="003E0602" w:rsidP="006838D1">
      <w:pPr>
        <w:ind w:left="360" w:hanging="360"/>
        <w:jc w:val="both"/>
        <w:rPr>
          <w:bCs/>
          <w:sz w:val="22"/>
          <w:szCs w:val="22"/>
        </w:rPr>
      </w:pPr>
      <w:r w:rsidRPr="00A41929">
        <w:rPr>
          <w:bCs/>
          <w:sz w:val="22"/>
          <w:szCs w:val="22"/>
        </w:rPr>
        <w:t xml:space="preserve">Colmenares, M., Jiménez, C. 2003. Multiplicación </w:t>
      </w:r>
      <w:r w:rsidRPr="00A41929">
        <w:rPr>
          <w:bCs/>
          <w:i/>
          <w:sz w:val="22"/>
          <w:szCs w:val="22"/>
        </w:rPr>
        <w:t>in vitro</w:t>
      </w:r>
      <w:r w:rsidRPr="00A41929">
        <w:rPr>
          <w:bCs/>
          <w:sz w:val="22"/>
          <w:szCs w:val="22"/>
        </w:rPr>
        <w:t xml:space="preserve"> </w:t>
      </w:r>
      <w:r w:rsidRPr="00A41929">
        <w:rPr>
          <w:bCs/>
          <w:i/>
          <w:sz w:val="22"/>
          <w:szCs w:val="22"/>
        </w:rPr>
        <w:t>Musa</w:t>
      </w:r>
      <w:r w:rsidRPr="00A41929">
        <w:rPr>
          <w:bCs/>
          <w:sz w:val="22"/>
          <w:szCs w:val="22"/>
        </w:rPr>
        <w:t xml:space="preserve"> </w:t>
      </w:r>
      <w:proofErr w:type="spellStart"/>
      <w:r w:rsidRPr="00A41929">
        <w:rPr>
          <w:bCs/>
          <w:sz w:val="22"/>
          <w:szCs w:val="22"/>
        </w:rPr>
        <w:t>spp</w:t>
      </w:r>
      <w:proofErr w:type="spellEnd"/>
      <w:r w:rsidRPr="00A41929">
        <w:rPr>
          <w:bCs/>
          <w:sz w:val="22"/>
          <w:szCs w:val="22"/>
        </w:rPr>
        <w:t xml:space="preserve"> mediante el sistema de inmersión temporal. </w:t>
      </w:r>
      <w:hyperlink r:id="rId6" w:history="1">
        <w:r w:rsidRPr="00A41929">
          <w:rPr>
            <w:bCs/>
            <w:sz w:val="22"/>
            <w:szCs w:val="22"/>
          </w:rPr>
          <w:t>www.revfacagronluz.org.ve</w:t>
        </w:r>
      </w:hyperlink>
      <w:r w:rsidRPr="00A41929">
        <w:rPr>
          <w:bCs/>
          <w:sz w:val="22"/>
          <w:szCs w:val="22"/>
        </w:rPr>
        <w:t>. Venezuela, pp. 468-477. Consultada  el 22 de Julio/2011</w:t>
      </w:r>
    </w:p>
    <w:p w:rsidR="003E0602" w:rsidRPr="00A41929" w:rsidRDefault="003E0602" w:rsidP="006838D1">
      <w:pPr>
        <w:pStyle w:val="NormalWeb"/>
        <w:spacing w:before="0" w:beforeAutospacing="0" w:after="0" w:afterAutospacing="0"/>
        <w:ind w:left="360" w:hanging="360"/>
        <w:jc w:val="both"/>
        <w:rPr>
          <w:sz w:val="22"/>
          <w:szCs w:val="22"/>
        </w:rPr>
      </w:pPr>
      <w:r w:rsidRPr="00A41929">
        <w:rPr>
          <w:sz w:val="22"/>
          <w:szCs w:val="22"/>
          <w:lang w:val="pt-BR"/>
        </w:rPr>
        <w:t>De Feria, M., Jiménez, E</w:t>
      </w:r>
      <w:proofErr w:type="gramStart"/>
      <w:r w:rsidRPr="00A41929">
        <w:rPr>
          <w:sz w:val="22"/>
          <w:szCs w:val="22"/>
          <w:lang w:val="pt-BR"/>
        </w:rPr>
        <w:t>.,</w:t>
      </w:r>
      <w:proofErr w:type="gramEnd"/>
      <w:r w:rsidRPr="00A41929">
        <w:rPr>
          <w:sz w:val="22"/>
          <w:szCs w:val="22"/>
          <w:lang w:val="pt-BR"/>
        </w:rPr>
        <w:t xml:space="preserve"> Chávez, M. 1998. </w:t>
      </w:r>
      <w:r w:rsidRPr="00A41929">
        <w:rPr>
          <w:sz w:val="22"/>
          <w:szCs w:val="22"/>
        </w:rPr>
        <w:t xml:space="preserve">Influencia de la densidad de </w:t>
      </w:r>
      <w:proofErr w:type="spellStart"/>
      <w:r w:rsidRPr="00A41929">
        <w:rPr>
          <w:sz w:val="22"/>
          <w:szCs w:val="22"/>
        </w:rPr>
        <w:t>inóculo</w:t>
      </w:r>
      <w:proofErr w:type="spellEnd"/>
      <w:r w:rsidRPr="00A41929">
        <w:rPr>
          <w:sz w:val="22"/>
          <w:szCs w:val="22"/>
        </w:rPr>
        <w:t xml:space="preserve"> y la renovación del medio de cultivo en la propagación </w:t>
      </w:r>
      <w:r w:rsidRPr="00A41929">
        <w:rPr>
          <w:i/>
          <w:sz w:val="22"/>
          <w:szCs w:val="22"/>
        </w:rPr>
        <w:t>in vitro</w:t>
      </w:r>
      <w:r w:rsidRPr="00A41929">
        <w:rPr>
          <w:sz w:val="22"/>
          <w:szCs w:val="22"/>
        </w:rPr>
        <w:t xml:space="preserve"> de la caña de azúcar (</w:t>
      </w:r>
      <w:proofErr w:type="spellStart"/>
      <w:r w:rsidRPr="00A41929">
        <w:rPr>
          <w:rStyle w:val="st"/>
          <w:i/>
          <w:sz w:val="22"/>
          <w:szCs w:val="22"/>
        </w:rPr>
        <w:t>Saccharum</w:t>
      </w:r>
      <w:proofErr w:type="spellEnd"/>
      <w:r w:rsidRPr="00A41929">
        <w:rPr>
          <w:rStyle w:val="st"/>
          <w:i/>
          <w:sz w:val="22"/>
          <w:szCs w:val="22"/>
        </w:rPr>
        <w:t xml:space="preserve"> </w:t>
      </w:r>
      <w:proofErr w:type="spellStart"/>
      <w:r w:rsidRPr="00A41929">
        <w:rPr>
          <w:rStyle w:val="st"/>
          <w:i/>
          <w:sz w:val="22"/>
          <w:szCs w:val="22"/>
        </w:rPr>
        <w:t>officinarum</w:t>
      </w:r>
      <w:proofErr w:type="spellEnd"/>
      <w:r w:rsidRPr="00A41929">
        <w:rPr>
          <w:sz w:val="22"/>
          <w:szCs w:val="22"/>
        </w:rPr>
        <w:t xml:space="preserve">) utilizando sistema de inmersión temporal. III Encuentro </w:t>
      </w:r>
      <w:proofErr w:type="spellStart"/>
      <w:r w:rsidRPr="00A41929">
        <w:rPr>
          <w:sz w:val="22"/>
          <w:szCs w:val="22"/>
        </w:rPr>
        <w:t>Latinoaméricano</w:t>
      </w:r>
      <w:proofErr w:type="spellEnd"/>
      <w:r w:rsidRPr="00A41929">
        <w:rPr>
          <w:sz w:val="22"/>
          <w:szCs w:val="22"/>
        </w:rPr>
        <w:t xml:space="preserve"> de Biotecnología Vegetal. REBIO’98. 1-5 Junio, La Habana, Cuba. Libro de Resúmenes, p.42.</w:t>
      </w:r>
    </w:p>
    <w:p w:rsidR="003E0602" w:rsidRPr="00A41929" w:rsidRDefault="003E0602" w:rsidP="006838D1">
      <w:pPr>
        <w:ind w:left="360" w:hanging="360"/>
        <w:jc w:val="both"/>
        <w:rPr>
          <w:rFonts w:cs="Arial"/>
          <w:sz w:val="22"/>
          <w:szCs w:val="22"/>
        </w:rPr>
      </w:pPr>
      <w:proofErr w:type="spellStart"/>
      <w:r w:rsidRPr="00A41929">
        <w:rPr>
          <w:sz w:val="22"/>
          <w:szCs w:val="22"/>
        </w:rPr>
        <w:t>Dottin</w:t>
      </w:r>
      <w:proofErr w:type="spellEnd"/>
      <w:r w:rsidRPr="00A41929">
        <w:rPr>
          <w:sz w:val="22"/>
          <w:szCs w:val="22"/>
        </w:rPr>
        <w:t xml:space="preserve">, M. 2000. Propagación </w:t>
      </w:r>
      <w:r w:rsidRPr="00A41929">
        <w:rPr>
          <w:i/>
          <w:sz w:val="22"/>
          <w:szCs w:val="22"/>
        </w:rPr>
        <w:t>in vitro</w:t>
      </w:r>
      <w:r w:rsidRPr="00A41929">
        <w:rPr>
          <w:sz w:val="22"/>
          <w:szCs w:val="22"/>
        </w:rPr>
        <w:t xml:space="preserve"> de la malanga (</w:t>
      </w:r>
      <w:proofErr w:type="spellStart"/>
      <w:r w:rsidRPr="00A41929">
        <w:rPr>
          <w:i/>
          <w:sz w:val="22"/>
          <w:szCs w:val="22"/>
        </w:rPr>
        <w:t>Xanthosoma</w:t>
      </w:r>
      <w:proofErr w:type="spellEnd"/>
      <w:r w:rsidRPr="00A41929">
        <w:rPr>
          <w:i/>
          <w:sz w:val="22"/>
          <w:szCs w:val="22"/>
        </w:rPr>
        <w:t xml:space="preserve"> </w:t>
      </w:r>
      <w:proofErr w:type="spellStart"/>
      <w:r w:rsidRPr="00A41929">
        <w:rPr>
          <w:i/>
          <w:sz w:val="22"/>
          <w:szCs w:val="22"/>
        </w:rPr>
        <w:t>sagittifolium</w:t>
      </w:r>
      <w:proofErr w:type="spellEnd"/>
      <w:r w:rsidRPr="00A41929">
        <w:rPr>
          <w:i/>
          <w:sz w:val="22"/>
          <w:szCs w:val="22"/>
        </w:rPr>
        <w:t xml:space="preserve"> </w:t>
      </w:r>
      <w:r w:rsidRPr="00A41929">
        <w:rPr>
          <w:sz w:val="22"/>
          <w:szCs w:val="22"/>
        </w:rPr>
        <w:t xml:space="preserve">(L) </w:t>
      </w:r>
      <w:proofErr w:type="spellStart"/>
      <w:r w:rsidRPr="00A41929">
        <w:rPr>
          <w:sz w:val="22"/>
          <w:szCs w:val="22"/>
        </w:rPr>
        <w:t>Schoott</w:t>
      </w:r>
      <w:proofErr w:type="spellEnd"/>
      <w:r w:rsidRPr="00A41929">
        <w:rPr>
          <w:sz w:val="22"/>
          <w:szCs w:val="22"/>
        </w:rPr>
        <w:t>).</w:t>
      </w:r>
      <w:r w:rsidRPr="00A41929">
        <w:rPr>
          <w:rFonts w:cs="Arial"/>
          <w:sz w:val="22"/>
          <w:szCs w:val="22"/>
        </w:rPr>
        <w:t xml:space="preserve"> Tesis presentada para optar por el grado científico de Doctor en Ciencias Agrícolas.  Universidad Central de Las Villas. Santa Clara, Cuba.</w:t>
      </w:r>
    </w:p>
    <w:p w:rsidR="003E0602" w:rsidRPr="00A41929" w:rsidRDefault="003E0602">
      <w:pPr>
        <w:ind w:left="360" w:hanging="360"/>
        <w:jc w:val="both"/>
        <w:rPr>
          <w:sz w:val="22"/>
          <w:szCs w:val="22"/>
        </w:rPr>
      </w:pPr>
      <w:r w:rsidRPr="00A41929">
        <w:rPr>
          <w:sz w:val="22"/>
          <w:szCs w:val="22"/>
          <w:lang w:val="es-VE"/>
        </w:rPr>
        <w:t>Escalona, M., Cid, M., Lezcano, Y., Capote, I., Yánez, E., González, J. 1999. Propagación de la piña (</w:t>
      </w:r>
      <w:proofErr w:type="spellStart"/>
      <w:r w:rsidRPr="00A41929">
        <w:rPr>
          <w:i/>
          <w:sz w:val="22"/>
          <w:szCs w:val="22"/>
          <w:lang w:val="es-VE"/>
        </w:rPr>
        <w:t>Ananas</w:t>
      </w:r>
      <w:proofErr w:type="spellEnd"/>
      <w:r w:rsidRPr="00A41929">
        <w:rPr>
          <w:i/>
          <w:sz w:val="22"/>
          <w:szCs w:val="22"/>
          <w:lang w:val="es-VE"/>
        </w:rPr>
        <w:t xml:space="preserve"> </w:t>
      </w:r>
      <w:proofErr w:type="spellStart"/>
      <w:r w:rsidRPr="00A41929">
        <w:rPr>
          <w:i/>
          <w:sz w:val="22"/>
          <w:szCs w:val="22"/>
          <w:lang w:val="es-VE"/>
        </w:rPr>
        <w:t>comosus</w:t>
      </w:r>
      <w:proofErr w:type="spellEnd"/>
      <w:r w:rsidRPr="00A41929">
        <w:rPr>
          <w:sz w:val="22"/>
          <w:szCs w:val="22"/>
          <w:lang w:val="es-VE"/>
        </w:rPr>
        <w:t xml:space="preserve"> (L.) </w:t>
      </w:r>
      <w:proofErr w:type="spellStart"/>
      <w:r w:rsidRPr="00A41929">
        <w:rPr>
          <w:sz w:val="22"/>
          <w:szCs w:val="22"/>
          <w:lang w:val="es-VE"/>
        </w:rPr>
        <w:t>Merr</w:t>
      </w:r>
      <w:proofErr w:type="spellEnd"/>
      <w:r w:rsidRPr="00A41929">
        <w:rPr>
          <w:sz w:val="22"/>
          <w:szCs w:val="22"/>
          <w:lang w:val="es-VE"/>
        </w:rPr>
        <w:t xml:space="preserve">.) </w:t>
      </w:r>
      <w:proofErr w:type="gramStart"/>
      <w:r w:rsidRPr="00A41929">
        <w:rPr>
          <w:sz w:val="22"/>
          <w:szCs w:val="22"/>
          <w:lang w:val="es-VE"/>
        </w:rPr>
        <w:t>en</w:t>
      </w:r>
      <w:proofErr w:type="gramEnd"/>
      <w:r w:rsidRPr="00A41929">
        <w:rPr>
          <w:sz w:val="22"/>
          <w:szCs w:val="22"/>
          <w:lang w:val="es-VE"/>
        </w:rPr>
        <w:t xml:space="preserve"> </w:t>
      </w:r>
      <w:proofErr w:type="spellStart"/>
      <w:r w:rsidRPr="00A41929">
        <w:rPr>
          <w:sz w:val="22"/>
          <w:szCs w:val="22"/>
          <w:lang w:val="es-VE"/>
        </w:rPr>
        <w:t>biorreactores</w:t>
      </w:r>
      <w:proofErr w:type="spellEnd"/>
      <w:r w:rsidRPr="00A41929">
        <w:rPr>
          <w:sz w:val="22"/>
          <w:szCs w:val="22"/>
          <w:lang w:val="es-VE"/>
        </w:rPr>
        <w:t xml:space="preserve"> de inmersión temporal. Efecto de la frecuencia de inmersión y el </w:t>
      </w:r>
      <w:proofErr w:type="spellStart"/>
      <w:r w:rsidRPr="00A41929">
        <w:rPr>
          <w:sz w:val="22"/>
          <w:szCs w:val="22"/>
          <w:lang w:val="es-VE"/>
        </w:rPr>
        <w:t>paclobutrazol</w:t>
      </w:r>
      <w:proofErr w:type="spellEnd"/>
      <w:r w:rsidRPr="00A41929">
        <w:rPr>
          <w:sz w:val="22"/>
          <w:szCs w:val="22"/>
          <w:lang w:val="es-VE"/>
        </w:rPr>
        <w:t xml:space="preserve">. BioVeg’99. Ciego de </w:t>
      </w:r>
      <w:proofErr w:type="spellStart"/>
      <w:r w:rsidRPr="00A41929">
        <w:rPr>
          <w:sz w:val="22"/>
          <w:szCs w:val="22"/>
          <w:lang w:val="es-VE"/>
        </w:rPr>
        <w:t>Avila</w:t>
      </w:r>
      <w:proofErr w:type="spellEnd"/>
      <w:r w:rsidRPr="00A41929">
        <w:rPr>
          <w:sz w:val="22"/>
          <w:szCs w:val="22"/>
          <w:lang w:val="es-VE"/>
        </w:rPr>
        <w:t xml:space="preserve">, Cuba. </w:t>
      </w:r>
      <w:r w:rsidRPr="00A41929">
        <w:rPr>
          <w:sz w:val="22"/>
          <w:szCs w:val="22"/>
        </w:rPr>
        <w:t>Libro de resúmenes, p. 28.</w:t>
      </w:r>
    </w:p>
    <w:p w:rsidR="003E0602" w:rsidRPr="00A41929" w:rsidRDefault="003E0602">
      <w:pPr>
        <w:ind w:left="539" w:hanging="539"/>
        <w:jc w:val="both"/>
        <w:rPr>
          <w:sz w:val="22"/>
          <w:szCs w:val="22"/>
        </w:rPr>
      </w:pPr>
      <w:r w:rsidRPr="00A41929">
        <w:rPr>
          <w:sz w:val="22"/>
          <w:szCs w:val="22"/>
        </w:rPr>
        <w:lastRenderedPageBreak/>
        <w:t xml:space="preserve">Escalona, M. 2006. </w:t>
      </w:r>
      <w:r w:rsidR="009112E6" w:rsidRPr="00A41929">
        <w:rPr>
          <w:sz w:val="22"/>
          <w:szCs w:val="22"/>
          <w:lang w:val="en-US"/>
        </w:rPr>
        <w:t xml:space="preserve">Temporary immersion beats traditional techniques on all fronts. </w:t>
      </w:r>
      <w:proofErr w:type="spellStart"/>
      <w:r w:rsidRPr="00A41929">
        <w:rPr>
          <w:sz w:val="22"/>
          <w:szCs w:val="22"/>
        </w:rPr>
        <w:t>Prophyta</w:t>
      </w:r>
      <w:proofErr w:type="spellEnd"/>
      <w:r w:rsidRPr="00A41929">
        <w:rPr>
          <w:sz w:val="22"/>
          <w:szCs w:val="22"/>
        </w:rPr>
        <w:t xml:space="preserve"> anual. pp. 48-50. </w:t>
      </w:r>
    </w:p>
    <w:p w:rsidR="003E0602" w:rsidRPr="00A41929" w:rsidRDefault="003E0602">
      <w:pPr>
        <w:pStyle w:val="Textoindependiente"/>
        <w:spacing w:after="0"/>
        <w:ind w:left="426" w:hanging="426"/>
        <w:rPr>
          <w:sz w:val="22"/>
          <w:szCs w:val="22"/>
        </w:rPr>
      </w:pPr>
      <w:r w:rsidRPr="00A41929">
        <w:rPr>
          <w:sz w:val="22"/>
          <w:szCs w:val="22"/>
        </w:rPr>
        <w:t>FAO. 2010. Boletín trimestral FAO de Estadísticas.</w:t>
      </w:r>
    </w:p>
    <w:p w:rsidR="003E0602" w:rsidRPr="00A41929" w:rsidRDefault="003E0602" w:rsidP="006838D1">
      <w:pPr>
        <w:pStyle w:val="NormalWeb"/>
        <w:spacing w:before="0" w:beforeAutospacing="0" w:after="0" w:afterAutospacing="0"/>
        <w:ind w:left="360" w:hanging="360"/>
        <w:jc w:val="both"/>
        <w:rPr>
          <w:sz w:val="22"/>
          <w:szCs w:val="22"/>
        </w:rPr>
      </w:pPr>
      <w:r w:rsidRPr="00A41929">
        <w:rPr>
          <w:sz w:val="22"/>
          <w:szCs w:val="22"/>
        </w:rPr>
        <w:t xml:space="preserve">Guzmán, O. A., Castaño, J. 2002. Reconocimiento de </w:t>
      </w:r>
      <w:proofErr w:type="spellStart"/>
      <w:r w:rsidRPr="00A41929">
        <w:rPr>
          <w:sz w:val="22"/>
          <w:szCs w:val="22"/>
        </w:rPr>
        <w:t>nemátodos</w:t>
      </w:r>
      <w:proofErr w:type="spellEnd"/>
      <w:r w:rsidRPr="00A41929">
        <w:rPr>
          <w:sz w:val="22"/>
          <w:szCs w:val="22"/>
        </w:rPr>
        <w:t xml:space="preserve"> </w:t>
      </w:r>
      <w:proofErr w:type="spellStart"/>
      <w:r w:rsidRPr="00A41929">
        <w:rPr>
          <w:sz w:val="22"/>
          <w:szCs w:val="22"/>
        </w:rPr>
        <w:t>fitopatógenos</w:t>
      </w:r>
      <w:proofErr w:type="spellEnd"/>
      <w:r w:rsidRPr="00A41929">
        <w:rPr>
          <w:sz w:val="22"/>
          <w:szCs w:val="22"/>
        </w:rPr>
        <w:t xml:space="preserve"> en plátanos ´Dominico hartón´ (</w:t>
      </w:r>
      <w:r w:rsidRPr="00A41929">
        <w:rPr>
          <w:i/>
          <w:sz w:val="22"/>
          <w:szCs w:val="22"/>
        </w:rPr>
        <w:t>Musa</w:t>
      </w:r>
      <w:r w:rsidRPr="00A41929">
        <w:rPr>
          <w:sz w:val="22"/>
          <w:szCs w:val="22"/>
        </w:rPr>
        <w:t xml:space="preserve"> AAB, </w:t>
      </w:r>
      <w:proofErr w:type="spellStart"/>
      <w:r w:rsidRPr="00A41929">
        <w:rPr>
          <w:sz w:val="22"/>
          <w:szCs w:val="22"/>
        </w:rPr>
        <w:t>Simmonds</w:t>
      </w:r>
      <w:proofErr w:type="spellEnd"/>
      <w:r w:rsidRPr="00A41929">
        <w:rPr>
          <w:sz w:val="22"/>
          <w:szCs w:val="22"/>
        </w:rPr>
        <w:t>), ´</w:t>
      </w:r>
      <w:proofErr w:type="spellStart"/>
      <w:r w:rsidRPr="00A41929">
        <w:rPr>
          <w:sz w:val="22"/>
          <w:szCs w:val="22"/>
        </w:rPr>
        <w:t>Africa</w:t>
      </w:r>
      <w:proofErr w:type="spellEnd"/>
      <w:r w:rsidRPr="00A41929">
        <w:rPr>
          <w:sz w:val="22"/>
          <w:szCs w:val="22"/>
        </w:rPr>
        <w:t xml:space="preserve">´, ´FHIA-20´ y ´FHIA-21´ en Colombia. </w:t>
      </w:r>
      <w:proofErr w:type="spellStart"/>
      <w:r w:rsidRPr="00A41929">
        <w:rPr>
          <w:sz w:val="22"/>
          <w:szCs w:val="22"/>
        </w:rPr>
        <w:t>Info</w:t>
      </w:r>
      <w:r w:rsidRPr="00A41929">
        <w:rPr>
          <w:i/>
          <w:sz w:val="22"/>
          <w:szCs w:val="22"/>
        </w:rPr>
        <w:t>Musa</w:t>
      </w:r>
      <w:proofErr w:type="spellEnd"/>
      <w:r w:rsidRPr="00A41929">
        <w:rPr>
          <w:sz w:val="22"/>
          <w:szCs w:val="22"/>
        </w:rPr>
        <w:t>. 11 (2): 34-35.</w:t>
      </w:r>
    </w:p>
    <w:p w:rsidR="003E0602" w:rsidRPr="00A41929" w:rsidRDefault="003E0602" w:rsidP="006838D1">
      <w:pPr>
        <w:ind w:left="360" w:hanging="360"/>
        <w:jc w:val="both"/>
        <w:rPr>
          <w:sz w:val="22"/>
          <w:szCs w:val="22"/>
          <w:lang w:val="en-US"/>
        </w:rPr>
      </w:pPr>
      <w:r w:rsidRPr="00A41929">
        <w:rPr>
          <w:sz w:val="22"/>
          <w:szCs w:val="22"/>
        </w:rPr>
        <w:t xml:space="preserve">Jiménez, E., Pérez, N., de Feria, M., Barbón, R., Capote, A., Chávez, M., Quila, E., Pérez, J. C. 1999. </w:t>
      </w:r>
      <w:proofErr w:type="gramStart"/>
      <w:r w:rsidR="009112E6" w:rsidRPr="00A41929">
        <w:rPr>
          <w:sz w:val="22"/>
          <w:szCs w:val="22"/>
          <w:lang w:val="en-US"/>
        </w:rPr>
        <w:t xml:space="preserve">Improved production of </w:t>
      </w:r>
      <w:proofErr w:type="spellStart"/>
      <w:r w:rsidR="009112E6" w:rsidRPr="00A41929">
        <w:rPr>
          <w:sz w:val="22"/>
          <w:szCs w:val="22"/>
          <w:lang w:val="en-US"/>
        </w:rPr>
        <w:t>patato</w:t>
      </w:r>
      <w:proofErr w:type="spellEnd"/>
      <w:r w:rsidR="009112E6" w:rsidRPr="00A41929">
        <w:rPr>
          <w:sz w:val="22"/>
          <w:szCs w:val="22"/>
          <w:lang w:val="en-US"/>
        </w:rPr>
        <w:t xml:space="preserve"> </w:t>
      </w:r>
      <w:proofErr w:type="spellStart"/>
      <w:r w:rsidR="009112E6" w:rsidRPr="00A41929">
        <w:rPr>
          <w:sz w:val="22"/>
          <w:szCs w:val="22"/>
          <w:lang w:val="en-US"/>
        </w:rPr>
        <w:t>microtubersusing</w:t>
      </w:r>
      <w:proofErr w:type="spellEnd"/>
      <w:r w:rsidR="009112E6" w:rsidRPr="00A41929">
        <w:rPr>
          <w:sz w:val="22"/>
          <w:szCs w:val="22"/>
          <w:lang w:val="en-US"/>
        </w:rPr>
        <w:t xml:space="preserve"> a temporary </w:t>
      </w:r>
      <w:proofErr w:type="spellStart"/>
      <w:r w:rsidR="009112E6" w:rsidRPr="00A41929">
        <w:rPr>
          <w:sz w:val="22"/>
          <w:szCs w:val="22"/>
          <w:lang w:val="en-US"/>
        </w:rPr>
        <w:t>inmersión</w:t>
      </w:r>
      <w:proofErr w:type="spellEnd"/>
      <w:r w:rsidR="009112E6" w:rsidRPr="00A41929">
        <w:rPr>
          <w:sz w:val="22"/>
          <w:szCs w:val="22"/>
          <w:lang w:val="en-US"/>
        </w:rPr>
        <w:t xml:space="preserve"> system.</w:t>
      </w:r>
      <w:proofErr w:type="gramEnd"/>
      <w:r w:rsidR="009112E6" w:rsidRPr="00A41929">
        <w:rPr>
          <w:sz w:val="22"/>
          <w:szCs w:val="22"/>
          <w:lang w:val="en-US"/>
        </w:rPr>
        <w:t xml:space="preserve"> </w:t>
      </w:r>
      <w:proofErr w:type="gramStart"/>
      <w:r w:rsidRPr="00A41929">
        <w:rPr>
          <w:i/>
          <w:sz w:val="22"/>
          <w:szCs w:val="22"/>
          <w:lang w:val="en-US"/>
        </w:rPr>
        <w:t>Plant Cell, Tissue and Organ Culture.</w:t>
      </w:r>
      <w:proofErr w:type="gramEnd"/>
      <w:r w:rsidRPr="00A41929">
        <w:rPr>
          <w:i/>
          <w:sz w:val="22"/>
          <w:szCs w:val="22"/>
          <w:lang w:val="en-US"/>
        </w:rPr>
        <w:t xml:space="preserve">  </w:t>
      </w:r>
      <w:r w:rsidRPr="00A41929">
        <w:rPr>
          <w:sz w:val="22"/>
          <w:szCs w:val="22"/>
          <w:lang w:val="en-US"/>
        </w:rPr>
        <w:t>59: 19-23.</w:t>
      </w:r>
    </w:p>
    <w:p w:rsidR="003E0602" w:rsidRPr="00A41929" w:rsidRDefault="003E0602">
      <w:pPr>
        <w:ind w:left="360" w:hanging="720"/>
        <w:jc w:val="both"/>
        <w:rPr>
          <w:sz w:val="22"/>
          <w:szCs w:val="22"/>
          <w:lang w:val="en-US"/>
        </w:rPr>
      </w:pPr>
      <w:r w:rsidRPr="00A41929">
        <w:rPr>
          <w:sz w:val="22"/>
          <w:szCs w:val="22"/>
          <w:lang w:val="en-US"/>
        </w:rPr>
        <w:t xml:space="preserve">    </w:t>
      </w:r>
      <w:proofErr w:type="spellStart"/>
      <w:r w:rsidRPr="00A41929">
        <w:rPr>
          <w:sz w:val="22"/>
          <w:szCs w:val="22"/>
          <w:lang w:val="en-US"/>
        </w:rPr>
        <w:t>Kitto</w:t>
      </w:r>
      <w:proofErr w:type="spellEnd"/>
      <w:r w:rsidRPr="00A41929">
        <w:rPr>
          <w:sz w:val="22"/>
          <w:szCs w:val="22"/>
          <w:lang w:val="en-US"/>
        </w:rPr>
        <w:t xml:space="preserve">, M. 1997. </w:t>
      </w:r>
      <w:proofErr w:type="gramStart"/>
      <w:r w:rsidRPr="00A41929">
        <w:rPr>
          <w:i/>
          <w:sz w:val="22"/>
          <w:szCs w:val="22"/>
          <w:lang w:val="en-US"/>
        </w:rPr>
        <w:t xml:space="preserve">Commercial </w:t>
      </w:r>
      <w:proofErr w:type="spellStart"/>
      <w:r w:rsidRPr="00A41929">
        <w:rPr>
          <w:i/>
          <w:sz w:val="22"/>
          <w:szCs w:val="22"/>
          <w:lang w:val="en-US"/>
        </w:rPr>
        <w:t>Micropropagation</w:t>
      </w:r>
      <w:proofErr w:type="spellEnd"/>
      <w:r w:rsidRPr="00A41929">
        <w:rPr>
          <w:i/>
          <w:sz w:val="22"/>
          <w:szCs w:val="22"/>
          <w:lang w:val="en-US"/>
        </w:rPr>
        <w:t xml:space="preserve"> </w:t>
      </w:r>
      <w:proofErr w:type="spellStart"/>
      <w:r w:rsidRPr="00A41929">
        <w:rPr>
          <w:i/>
          <w:sz w:val="22"/>
          <w:szCs w:val="22"/>
          <w:lang w:val="en-US"/>
        </w:rPr>
        <w:t>HorScience</w:t>
      </w:r>
      <w:proofErr w:type="spellEnd"/>
      <w:r w:rsidRPr="00A41929">
        <w:rPr>
          <w:sz w:val="22"/>
          <w:szCs w:val="22"/>
          <w:lang w:val="en-US"/>
        </w:rPr>
        <w:t>.</w:t>
      </w:r>
      <w:proofErr w:type="gramEnd"/>
      <w:r w:rsidRPr="00A41929">
        <w:rPr>
          <w:sz w:val="22"/>
          <w:szCs w:val="22"/>
          <w:lang w:val="en-US"/>
        </w:rPr>
        <w:t xml:space="preserve"> 32(6): 1-3.</w:t>
      </w:r>
    </w:p>
    <w:p w:rsidR="003E0602" w:rsidRPr="00A41929" w:rsidRDefault="003E0602">
      <w:pPr>
        <w:ind w:left="357" w:hanging="537"/>
        <w:jc w:val="both"/>
        <w:rPr>
          <w:sz w:val="22"/>
          <w:szCs w:val="22"/>
          <w:lang w:val="es-CO"/>
        </w:rPr>
      </w:pPr>
      <w:r w:rsidRPr="00A41929">
        <w:rPr>
          <w:sz w:val="22"/>
          <w:szCs w:val="22"/>
          <w:lang w:val="en-US"/>
        </w:rPr>
        <w:t xml:space="preserve"> </w:t>
      </w:r>
      <w:proofErr w:type="spellStart"/>
      <w:r w:rsidRPr="00A41929">
        <w:rPr>
          <w:sz w:val="22"/>
          <w:szCs w:val="22"/>
          <w:lang w:val="en-US"/>
        </w:rPr>
        <w:t>Kodym</w:t>
      </w:r>
      <w:proofErr w:type="spellEnd"/>
      <w:r w:rsidRPr="00A41929">
        <w:rPr>
          <w:sz w:val="22"/>
          <w:szCs w:val="22"/>
          <w:lang w:val="en-US"/>
        </w:rPr>
        <w:t xml:space="preserve">, A., Zapata, F. 1999. </w:t>
      </w:r>
      <w:proofErr w:type="gramStart"/>
      <w:r w:rsidRPr="00A41929">
        <w:rPr>
          <w:sz w:val="22"/>
          <w:szCs w:val="22"/>
          <w:lang w:val="en-US"/>
        </w:rPr>
        <w:t>Natural light as alternative light source for the in vitro culture of banana (</w:t>
      </w:r>
      <w:r w:rsidRPr="00A41929">
        <w:rPr>
          <w:i/>
          <w:sz w:val="22"/>
          <w:szCs w:val="22"/>
          <w:lang w:val="en-US"/>
        </w:rPr>
        <w:t>Musa</w:t>
      </w:r>
      <w:r w:rsidRPr="00A41929">
        <w:rPr>
          <w:sz w:val="22"/>
          <w:szCs w:val="22"/>
          <w:lang w:val="en-US"/>
        </w:rPr>
        <w:t xml:space="preserve"> acuminate cv. </w:t>
      </w:r>
      <w:r w:rsidR="009112E6" w:rsidRPr="00A41929">
        <w:rPr>
          <w:sz w:val="22"/>
          <w:szCs w:val="22"/>
          <w:lang w:val="en-US"/>
        </w:rPr>
        <w:t>´</w:t>
      </w:r>
      <w:r w:rsidR="009112E6" w:rsidRPr="00A41929">
        <w:rPr>
          <w:i/>
          <w:sz w:val="22"/>
          <w:szCs w:val="22"/>
          <w:lang w:val="en-US"/>
        </w:rPr>
        <w:t xml:space="preserve">Grande </w:t>
      </w:r>
      <w:proofErr w:type="spellStart"/>
      <w:r w:rsidR="009112E6" w:rsidRPr="00A41929">
        <w:rPr>
          <w:i/>
          <w:sz w:val="22"/>
          <w:szCs w:val="22"/>
          <w:lang w:val="en-US"/>
        </w:rPr>
        <w:t>Naine</w:t>
      </w:r>
      <w:proofErr w:type="spellEnd"/>
      <w:r w:rsidR="009112E6" w:rsidRPr="00A41929">
        <w:rPr>
          <w:sz w:val="22"/>
          <w:szCs w:val="22"/>
          <w:lang w:val="en-US"/>
        </w:rPr>
        <w:t>´, AAA).</w:t>
      </w:r>
      <w:proofErr w:type="gramEnd"/>
      <w:r w:rsidR="009112E6" w:rsidRPr="00A41929">
        <w:rPr>
          <w:sz w:val="22"/>
          <w:szCs w:val="22"/>
          <w:lang w:val="en-US"/>
        </w:rPr>
        <w:t xml:space="preserve"> </w:t>
      </w:r>
      <w:proofErr w:type="spellStart"/>
      <w:r w:rsidR="009112E6" w:rsidRPr="00A41929">
        <w:rPr>
          <w:i/>
          <w:sz w:val="22"/>
          <w:szCs w:val="22"/>
          <w:lang w:val="es-CO"/>
        </w:rPr>
        <w:t>Plant</w:t>
      </w:r>
      <w:proofErr w:type="spellEnd"/>
      <w:r w:rsidR="009112E6" w:rsidRPr="00A41929">
        <w:rPr>
          <w:i/>
          <w:sz w:val="22"/>
          <w:szCs w:val="22"/>
          <w:lang w:val="es-CO"/>
        </w:rPr>
        <w:t xml:space="preserve"> </w:t>
      </w:r>
      <w:proofErr w:type="spellStart"/>
      <w:r w:rsidR="009112E6" w:rsidRPr="00A41929">
        <w:rPr>
          <w:i/>
          <w:sz w:val="22"/>
          <w:szCs w:val="22"/>
          <w:lang w:val="es-CO"/>
        </w:rPr>
        <w:t>Cell</w:t>
      </w:r>
      <w:proofErr w:type="spellEnd"/>
      <w:r w:rsidR="009112E6" w:rsidRPr="00A41929">
        <w:rPr>
          <w:i/>
          <w:sz w:val="22"/>
          <w:szCs w:val="22"/>
          <w:lang w:val="es-CO"/>
        </w:rPr>
        <w:t xml:space="preserve"> </w:t>
      </w:r>
      <w:proofErr w:type="spellStart"/>
      <w:r w:rsidR="009112E6" w:rsidRPr="00A41929">
        <w:rPr>
          <w:i/>
          <w:sz w:val="22"/>
          <w:szCs w:val="22"/>
          <w:lang w:val="es-CO"/>
        </w:rPr>
        <w:t>Tissue</w:t>
      </w:r>
      <w:proofErr w:type="spellEnd"/>
      <w:r w:rsidR="009112E6" w:rsidRPr="00A41929">
        <w:rPr>
          <w:i/>
          <w:sz w:val="22"/>
          <w:szCs w:val="22"/>
          <w:lang w:val="es-CO"/>
        </w:rPr>
        <w:t xml:space="preserve"> and </w:t>
      </w:r>
      <w:proofErr w:type="spellStart"/>
      <w:r w:rsidR="009112E6" w:rsidRPr="00A41929">
        <w:rPr>
          <w:i/>
          <w:sz w:val="22"/>
          <w:szCs w:val="22"/>
          <w:lang w:val="es-CO"/>
        </w:rPr>
        <w:t>Organ</w:t>
      </w:r>
      <w:proofErr w:type="spellEnd"/>
      <w:r w:rsidR="009112E6" w:rsidRPr="00A41929">
        <w:rPr>
          <w:i/>
          <w:sz w:val="22"/>
          <w:szCs w:val="22"/>
          <w:lang w:val="es-CO"/>
        </w:rPr>
        <w:t xml:space="preserve"> </w:t>
      </w:r>
      <w:proofErr w:type="spellStart"/>
      <w:r w:rsidR="009112E6" w:rsidRPr="00A41929">
        <w:rPr>
          <w:i/>
          <w:sz w:val="22"/>
          <w:szCs w:val="22"/>
          <w:lang w:val="es-CO"/>
        </w:rPr>
        <w:t>Culture</w:t>
      </w:r>
      <w:proofErr w:type="spellEnd"/>
      <w:r w:rsidR="009112E6" w:rsidRPr="00A41929">
        <w:rPr>
          <w:i/>
          <w:sz w:val="22"/>
          <w:szCs w:val="22"/>
          <w:lang w:val="es-CO"/>
        </w:rPr>
        <w:t xml:space="preserve">. </w:t>
      </w:r>
      <w:r w:rsidR="009112E6" w:rsidRPr="00A41929">
        <w:rPr>
          <w:sz w:val="22"/>
          <w:szCs w:val="22"/>
          <w:lang w:val="es-CO"/>
        </w:rPr>
        <w:t>55: 141-145.</w:t>
      </w:r>
    </w:p>
    <w:p w:rsidR="003E0602" w:rsidRPr="00A41929" w:rsidRDefault="009112E6">
      <w:pPr>
        <w:ind w:left="360" w:hanging="720"/>
        <w:jc w:val="both"/>
        <w:rPr>
          <w:sz w:val="22"/>
          <w:szCs w:val="22"/>
        </w:rPr>
      </w:pPr>
      <w:r w:rsidRPr="00A41929">
        <w:rPr>
          <w:sz w:val="22"/>
          <w:szCs w:val="22"/>
          <w:lang w:val="es-CO"/>
        </w:rPr>
        <w:t xml:space="preserve">     </w:t>
      </w:r>
      <w:proofErr w:type="spellStart"/>
      <w:r w:rsidRPr="00A41929">
        <w:rPr>
          <w:sz w:val="22"/>
          <w:szCs w:val="22"/>
          <w:lang w:val="es-CO"/>
        </w:rPr>
        <w:t>Lerch</w:t>
      </w:r>
      <w:proofErr w:type="spellEnd"/>
      <w:r w:rsidRPr="00A41929">
        <w:rPr>
          <w:sz w:val="22"/>
          <w:szCs w:val="22"/>
          <w:lang w:val="es-CO"/>
        </w:rPr>
        <w:t xml:space="preserve">, G. 1977. </w:t>
      </w:r>
      <w:r w:rsidR="003E0602" w:rsidRPr="00A41929">
        <w:rPr>
          <w:sz w:val="22"/>
          <w:szCs w:val="22"/>
        </w:rPr>
        <w:t>La experimentación en las Ciencias Biológicas y Agrícolas. Ed. Científica y Técnica. La Habana, p. 288.</w:t>
      </w:r>
    </w:p>
    <w:p w:rsidR="003E0602" w:rsidRPr="00A41929" w:rsidRDefault="003E0602">
      <w:pPr>
        <w:ind w:left="360" w:hanging="360"/>
        <w:jc w:val="both"/>
        <w:rPr>
          <w:sz w:val="22"/>
          <w:szCs w:val="22"/>
        </w:rPr>
      </w:pPr>
      <w:r w:rsidRPr="00A41929">
        <w:rPr>
          <w:sz w:val="22"/>
          <w:szCs w:val="22"/>
        </w:rPr>
        <w:t xml:space="preserve">López, J., Montano, N., Reynaldo, D., Medero, V., </w:t>
      </w:r>
      <w:proofErr w:type="spellStart"/>
      <w:r w:rsidRPr="00A41929">
        <w:rPr>
          <w:sz w:val="22"/>
          <w:szCs w:val="22"/>
        </w:rPr>
        <w:t>Basail</w:t>
      </w:r>
      <w:proofErr w:type="spellEnd"/>
      <w:r w:rsidRPr="00A41929">
        <w:rPr>
          <w:sz w:val="22"/>
          <w:szCs w:val="22"/>
        </w:rPr>
        <w:t xml:space="preserve">, M., Rayas, A. 2010. </w:t>
      </w:r>
      <w:proofErr w:type="spellStart"/>
      <w:r w:rsidRPr="00A41929">
        <w:rPr>
          <w:bCs/>
          <w:sz w:val="22"/>
          <w:szCs w:val="22"/>
        </w:rPr>
        <w:t>Micropropagación</w:t>
      </w:r>
      <w:proofErr w:type="spellEnd"/>
      <w:r w:rsidRPr="00A41929">
        <w:rPr>
          <w:bCs/>
          <w:sz w:val="22"/>
          <w:szCs w:val="22"/>
        </w:rPr>
        <w:t xml:space="preserve"> de clones de banana </w:t>
      </w:r>
      <w:proofErr w:type="spellStart"/>
      <w:r w:rsidRPr="00A41929">
        <w:rPr>
          <w:bCs/>
          <w:sz w:val="22"/>
          <w:szCs w:val="22"/>
        </w:rPr>
        <w:t>cv</w:t>
      </w:r>
      <w:proofErr w:type="spellEnd"/>
      <w:r w:rsidRPr="00A41929">
        <w:rPr>
          <w:bCs/>
          <w:sz w:val="22"/>
          <w:szCs w:val="22"/>
        </w:rPr>
        <w:t>. ´FHIA-2</w:t>
      </w:r>
      <w:r w:rsidRPr="00A41929">
        <w:rPr>
          <w:bCs/>
          <w:sz w:val="22"/>
          <w:szCs w:val="22"/>
          <w:lang w:val="es-CO"/>
        </w:rPr>
        <w:t xml:space="preserve">5´ en </w:t>
      </w:r>
      <w:proofErr w:type="spellStart"/>
      <w:r w:rsidRPr="00A41929">
        <w:rPr>
          <w:bCs/>
          <w:sz w:val="22"/>
          <w:szCs w:val="22"/>
          <w:lang w:val="es-CO"/>
        </w:rPr>
        <w:t>Biorreactor</w:t>
      </w:r>
      <w:proofErr w:type="spellEnd"/>
      <w:r w:rsidRPr="00A41929">
        <w:rPr>
          <w:bCs/>
          <w:sz w:val="22"/>
          <w:szCs w:val="22"/>
          <w:lang w:val="es-CO"/>
        </w:rPr>
        <w:t xml:space="preserve"> de inmersión temporal. </w:t>
      </w:r>
      <w:r w:rsidRPr="00A41929">
        <w:rPr>
          <w:i/>
          <w:sz w:val="22"/>
          <w:szCs w:val="22"/>
        </w:rPr>
        <w:t>Biotecnología Vegetal</w:t>
      </w:r>
      <w:r w:rsidRPr="00A41929">
        <w:rPr>
          <w:sz w:val="22"/>
          <w:szCs w:val="22"/>
        </w:rPr>
        <w:t>. 3(5): 101-107</w:t>
      </w:r>
    </w:p>
    <w:p w:rsidR="003E0602" w:rsidRPr="00A41929" w:rsidRDefault="003E0602">
      <w:pPr>
        <w:ind w:left="360" w:hanging="360"/>
        <w:jc w:val="both"/>
        <w:rPr>
          <w:sz w:val="22"/>
          <w:szCs w:val="22"/>
          <w:lang w:val="en-GB"/>
        </w:rPr>
      </w:pPr>
      <w:proofErr w:type="spellStart"/>
      <w:r w:rsidRPr="00A41929">
        <w:rPr>
          <w:sz w:val="22"/>
          <w:szCs w:val="22"/>
        </w:rPr>
        <w:t>Martre</w:t>
      </w:r>
      <w:proofErr w:type="spellEnd"/>
      <w:r w:rsidRPr="00A41929">
        <w:rPr>
          <w:sz w:val="22"/>
          <w:szCs w:val="22"/>
        </w:rPr>
        <w:t xml:space="preserve">, P., Lacan, D., </w:t>
      </w:r>
      <w:proofErr w:type="spellStart"/>
      <w:r w:rsidRPr="00A41929">
        <w:rPr>
          <w:sz w:val="22"/>
          <w:szCs w:val="22"/>
        </w:rPr>
        <w:t>Just</w:t>
      </w:r>
      <w:proofErr w:type="spellEnd"/>
      <w:r w:rsidRPr="00A41929">
        <w:rPr>
          <w:sz w:val="22"/>
          <w:szCs w:val="22"/>
        </w:rPr>
        <w:t xml:space="preserve">, D., </w:t>
      </w:r>
      <w:proofErr w:type="spellStart"/>
      <w:r w:rsidRPr="00A41929">
        <w:rPr>
          <w:sz w:val="22"/>
          <w:szCs w:val="22"/>
        </w:rPr>
        <w:t>Teison</w:t>
      </w:r>
      <w:proofErr w:type="spellEnd"/>
      <w:r w:rsidRPr="00A41929">
        <w:rPr>
          <w:sz w:val="22"/>
          <w:szCs w:val="22"/>
        </w:rPr>
        <w:t xml:space="preserve">, C. 2001. </w:t>
      </w:r>
      <w:r w:rsidRPr="00A41929">
        <w:rPr>
          <w:sz w:val="22"/>
          <w:szCs w:val="22"/>
          <w:lang w:val="en-GB"/>
        </w:rPr>
        <w:t xml:space="preserve">Physiological effects of temporary immersion on </w:t>
      </w:r>
      <w:proofErr w:type="spellStart"/>
      <w:r w:rsidRPr="00A41929">
        <w:rPr>
          <w:i/>
          <w:sz w:val="22"/>
          <w:szCs w:val="22"/>
          <w:lang w:val="en-GB"/>
        </w:rPr>
        <w:t>Hevea</w:t>
      </w:r>
      <w:proofErr w:type="spellEnd"/>
      <w:r w:rsidRPr="00A41929">
        <w:rPr>
          <w:i/>
          <w:sz w:val="22"/>
          <w:szCs w:val="22"/>
          <w:lang w:val="en-GB"/>
        </w:rPr>
        <w:t xml:space="preserve"> </w:t>
      </w:r>
      <w:proofErr w:type="spellStart"/>
      <w:r w:rsidRPr="00A41929">
        <w:rPr>
          <w:i/>
          <w:sz w:val="22"/>
          <w:szCs w:val="22"/>
          <w:lang w:val="en-GB"/>
        </w:rPr>
        <w:t>brasiliensis</w:t>
      </w:r>
      <w:proofErr w:type="spellEnd"/>
      <w:r w:rsidRPr="00A41929">
        <w:rPr>
          <w:sz w:val="22"/>
          <w:szCs w:val="22"/>
          <w:lang w:val="en-GB"/>
        </w:rPr>
        <w:t xml:space="preserve"> callus.  </w:t>
      </w:r>
      <w:proofErr w:type="gramStart"/>
      <w:r w:rsidRPr="00A41929">
        <w:rPr>
          <w:i/>
          <w:sz w:val="22"/>
          <w:szCs w:val="22"/>
          <w:lang w:val="en-GB"/>
        </w:rPr>
        <w:t>Plant Cell Tissue and Organ Culture.</w:t>
      </w:r>
      <w:proofErr w:type="gramEnd"/>
      <w:r w:rsidRPr="00A41929">
        <w:rPr>
          <w:i/>
          <w:sz w:val="22"/>
          <w:szCs w:val="22"/>
          <w:lang w:val="en-GB"/>
        </w:rPr>
        <w:t xml:space="preserve"> </w:t>
      </w:r>
      <w:r w:rsidRPr="00A41929">
        <w:rPr>
          <w:sz w:val="22"/>
          <w:szCs w:val="22"/>
          <w:lang w:val="en-GB"/>
        </w:rPr>
        <w:t xml:space="preserve"> 67: 25-35.</w:t>
      </w:r>
    </w:p>
    <w:p w:rsidR="003E0602" w:rsidRPr="00A41929" w:rsidRDefault="003E0602">
      <w:pPr>
        <w:ind w:left="540" w:hanging="540"/>
        <w:jc w:val="both"/>
        <w:rPr>
          <w:sz w:val="22"/>
          <w:szCs w:val="22"/>
          <w:lang w:val="en-GB"/>
        </w:rPr>
      </w:pPr>
      <w:proofErr w:type="gramStart"/>
      <w:r w:rsidRPr="00A41929">
        <w:rPr>
          <w:sz w:val="22"/>
          <w:szCs w:val="22"/>
          <w:lang w:val="en-GB"/>
        </w:rPr>
        <w:t xml:space="preserve">McAlister, B., Finnie, J., Watt, M., </w:t>
      </w:r>
      <w:proofErr w:type="spellStart"/>
      <w:r w:rsidRPr="00A41929">
        <w:rPr>
          <w:sz w:val="22"/>
          <w:szCs w:val="22"/>
          <w:lang w:val="en-GB"/>
        </w:rPr>
        <w:t>Blakeway</w:t>
      </w:r>
      <w:proofErr w:type="spellEnd"/>
      <w:r w:rsidRPr="00A41929">
        <w:rPr>
          <w:sz w:val="22"/>
          <w:szCs w:val="22"/>
          <w:lang w:val="en-GB"/>
        </w:rPr>
        <w:t>, F. 2005.</w:t>
      </w:r>
      <w:proofErr w:type="gramEnd"/>
      <w:r w:rsidRPr="00A41929">
        <w:rPr>
          <w:sz w:val="22"/>
          <w:szCs w:val="22"/>
          <w:lang w:val="en-GB"/>
        </w:rPr>
        <w:t xml:space="preserve"> </w:t>
      </w:r>
      <w:proofErr w:type="gramStart"/>
      <w:r w:rsidRPr="00A41929">
        <w:rPr>
          <w:sz w:val="22"/>
          <w:szCs w:val="22"/>
          <w:lang w:val="en-GB"/>
        </w:rPr>
        <w:t>Use of the temporary immersion bioreactor system (RITA®) for production of commercial Eucalyptus clones in Mondi Forests (SA).</w:t>
      </w:r>
      <w:proofErr w:type="gramEnd"/>
      <w:r w:rsidRPr="00A41929">
        <w:rPr>
          <w:sz w:val="22"/>
          <w:szCs w:val="22"/>
          <w:lang w:val="en-GB"/>
        </w:rPr>
        <w:t xml:space="preserve"> </w:t>
      </w:r>
      <w:proofErr w:type="gramStart"/>
      <w:r w:rsidRPr="00A41929">
        <w:rPr>
          <w:sz w:val="22"/>
          <w:szCs w:val="22"/>
          <w:lang w:val="en-GB"/>
        </w:rPr>
        <w:t xml:space="preserve">A.K. </w:t>
      </w:r>
      <w:proofErr w:type="spellStart"/>
      <w:r w:rsidRPr="00A41929">
        <w:rPr>
          <w:sz w:val="22"/>
          <w:szCs w:val="22"/>
          <w:lang w:val="en-GB"/>
        </w:rPr>
        <w:t>Hvoslef-Eide</w:t>
      </w:r>
      <w:proofErr w:type="spellEnd"/>
      <w:r w:rsidRPr="00A41929">
        <w:rPr>
          <w:sz w:val="22"/>
          <w:szCs w:val="22"/>
          <w:lang w:val="en-GB"/>
        </w:rPr>
        <w:t xml:space="preserve"> and W. </w:t>
      </w:r>
      <w:proofErr w:type="spellStart"/>
      <w:r w:rsidRPr="00A41929">
        <w:rPr>
          <w:sz w:val="22"/>
          <w:szCs w:val="22"/>
          <w:lang w:val="en-GB"/>
        </w:rPr>
        <w:t>Preil</w:t>
      </w:r>
      <w:proofErr w:type="spellEnd"/>
      <w:r w:rsidRPr="00A41929">
        <w:rPr>
          <w:sz w:val="22"/>
          <w:szCs w:val="22"/>
          <w:lang w:val="en-GB"/>
        </w:rPr>
        <w:t xml:space="preserve"> (Eds.).</w:t>
      </w:r>
      <w:proofErr w:type="gramEnd"/>
      <w:r w:rsidRPr="00A41929">
        <w:rPr>
          <w:sz w:val="22"/>
          <w:szCs w:val="22"/>
          <w:lang w:val="en-GB"/>
        </w:rPr>
        <w:t xml:space="preserve">  </w:t>
      </w:r>
      <w:r w:rsidRPr="00A41929">
        <w:rPr>
          <w:i/>
          <w:sz w:val="22"/>
          <w:szCs w:val="22"/>
          <w:lang w:val="en-GB"/>
        </w:rPr>
        <w:t>Liquid Culture Systems for in vitro Plant Propagation</w:t>
      </w:r>
      <w:r w:rsidRPr="00A41929">
        <w:rPr>
          <w:sz w:val="22"/>
          <w:szCs w:val="22"/>
          <w:lang w:val="en-GB"/>
        </w:rPr>
        <w:t xml:space="preserve">, pp. 425–442. </w:t>
      </w:r>
    </w:p>
    <w:p w:rsidR="003E0602" w:rsidRPr="00A41929" w:rsidRDefault="009112E6">
      <w:pPr>
        <w:ind w:left="540" w:hanging="540"/>
        <w:jc w:val="both"/>
        <w:rPr>
          <w:sz w:val="22"/>
          <w:szCs w:val="22"/>
          <w:lang w:val="en-GB"/>
        </w:rPr>
      </w:pPr>
      <w:proofErr w:type="spellStart"/>
      <w:r w:rsidRPr="00A41929">
        <w:rPr>
          <w:sz w:val="22"/>
          <w:szCs w:val="22"/>
          <w:lang w:val="es-CO"/>
        </w:rPr>
        <w:t>Mehrotra</w:t>
      </w:r>
      <w:proofErr w:type="spellEnd"/>
      <w:r w:rsidRPr="00A41929">
        <w:rPr>
          <w:sz w:val="22"/>
          <w:szCs w:val="22"/>
          <w:lang w:val="es-CO"/>
        </w:rPr>
        <w:t xml:space="preserve">, S., </w:t>
      </w:r>
      <w:proofErr w:type="spellStart"/>
      <w:r w:rsidRPr="00A41929">
        <w:rPr>
          <w:sz w:val="22"/>
          <w:szCs w:val="22"/>
          <w:lang w:val="es-CO"/>
        </w:rPr>
        <w:t>Manoj</w:t>
      </w:r>
      <w:proofErr w:type="spellEnd"/>
      <w:r w:rsidRPr="00A41929">
        <w:rPr>
          <w:sz w:val="22"/>
          <w:szCs w:val="22"/>
          <w:lang w:val="es-CO"/>
        </w:rPr>
        <w:t xml:space="preserve">, G., </w:t>
      </w:r>
      <w:proofErr w:type="spellStart"/>
      <w:r w:rsidRPr="00A41929">
        <w:rPr>
          <w:sz w:val="22"/>
          <w:szCs w:val="22"/>
          <w:lang w:val="es-CO"/>
        </w:rPr>
        <w:t>Arun</w:t>
      </w:r>
      <w:proofErr w:type="spellEnd"/>
      <w:r w:rsidRPr="00A41929">
        <w:rPr>
          <w:sz w:val="22"/>
          <w:szCs w:val="22"/>
          <w:lang w:val="es-CO"/>
        </w:rPr>
        <w:t xml:space="preserve">, K., </w:t>
      </w:r>
      <w:proofErr w:type="spellStart"/>
      <w:r w:rsidRPr="00A41929">
        <w:rPr>
          <w:sz w:val="22"/>
          <w:szCs w:val="22"/>
          <w:lang w:val="es-CO"/>
        </w:rPr>
        <w:t>Bhartendu</w:t>
      </w:r>
      <w:proofErr w:type="spellEnd"/>
      <w:r w:rsidRPr="00A41929">
        <w:rPr>
          <w:sz w:val="22"/>
          <w:szCs w:val="22"/>
          <w:lang w:val="es-CO"/>
        </w:rPr>
        <w:t xml:space="preserve">, M. 2007. </w:t>
      </w:r>
      <w:r w:rsidR="003E0602" w:rsidRPr="00A41929">
        <w:rPr>
          <w:sz w:val="22"/>
          <w:szCs w:val="22"/>
          <w:lang w:val="en-GB"/>
        </w:rPr>
        <w:t xml:space="preserve">Efficiency of liquid culture systems over conventional </w:t>
      </w:r>
      <w:proofErr w:type="spellStart"/>
      <w:r w:rsidR="003E0602" w:rsidRPr="00A41929">
        <w:rPr>
          <w:sz w:val="22"/>
          <w:szCs w:val="22"/>
          <w:lang w:val="en-GB"/>
        </w:rPr>
        <w:t>micropropagation</w:t>
      </w:r>
      <w:proofErr w:type="spellEnd"/>
      <w:r w:rsidR="003E0602" w:rsidRPr="00A41929">
        <w:rPr>
          <w:sz w:val="22"/>
          <w:szCs w:val="22"/>
          <w:lang w:val="en-GB"/>
        </w:rPr>
        <w:t xml:space="preserve">: A progress towards commercialization. </w:t>
      </w:r>
      <w:proofErr w:type="gramStart"/>
      <w:r w:rsidR="003E0602" w:rsidRPr="00A41929">
        <w:rPr>
          <w:i/>
          <w:sz w:val="22"/>
          <w:szCs w:val="22"/>
          <w:lang w:val="en-GB"/>
        </w:rPr>
        <w:t>African Journal of Biotechnology.</w:t>
      </w:r>
      <w:proofErr w:type="gramEnd"/>
      <w:r w:rsidR="003E0602" w:rsidRPr="00A41929">
        <w:rPr>
          <w:i/>
          <w:sz w:val="22"/>
          <w:szCs w:val="22"/>
          <w:lang w:val="en-GB"/>
        </w:rPr>
        <w:t xml:space="preserve"> </w:t>
      </w:r>
      <w:r w:rsidR="003E0602" w:rsidRPr="00A41929">
        <w:rPr>
          <w:sz w:val="22"/>
          <w:szCs w:val="22"/>
          <w:lang w:val="en-GB"/>
        </w:rPr>
        <w:t>6 (13): 1484-1492.</w:t>
      </w:r>
    </w:p>
    <w:p w:rsidR="003E0602" w:rsidRPr="00A41929" w:rsidRDefault="003E0602">
      <w:pPr>
        <w:ind w:left="426" w:hanging="426"/>
        <w:jc w:val="both"/>
        <w:rPr>
          <w:sz w:val="22"/>
          <w:szCs w:val="22"/>
          <w:lang w:val="en-GB"/>
        </w:rPr>
      </w:pPr>
      <w:proofErr w:type="spellStart"/>
      <w:proofErr w:type="gramStart"/>
      <w:r w:rsidRPr="00A41929">
        <w:rPr>
          <w:sz w:val="22"/>
          <w:szCs w:val="22"/>
          <w:lang w:val="en-GB"/>
        </w:rPr>
        <w:t>Murashige</w:t>
      </w:r>
      <w:proofErr w:type="spellEnd"/>
      <w:r w:rsidRPr="00A41929">
        <w:rPr>
          <w:sz w:val="22"/>
          <w:szCs w:val="22"/>
          <w:lang w:val="en-GB"/>
        </w:rPr>
        <w:t xml:space="preserve">, T., </w:t>
      </w:r>
      <w:proofErr w:type="spellStart"/>
      <w:r w:rsidRPr="00A41929">
        <w:rPr>
          <w:sz w:val="22"/>
          <w:szCs w:val="22"/>
          <w:lang w:val="en-GB"/>
        </w:rPr>
        <w:t>Skoog</w:t>
      </w:r>
      <w:proofErr w:type="spellEnd"/>
      <w:r w:rsidRPr="00A41929">
        <w:rPr>
          <w:sz w:val="22"/>
          <w:szCs w:val="22"/>
          <w:lang w:val="en-GB"/>
        </w:rPr>
        <w:t>, F. 1962.</w:t>
      </w:r>
      <w:proofErr w:type="gramEnd"/>
      <w:r w:rsidRPr="00A41929">
        <w:rPr>
          <w:sz w:val="22"/>
          <w:szCs w:val="22"/>
          <w:lang w:val="en-GB"/>
        </w:rPr>
        <w:t xml:space="preserve"> </w:t>
      </w:r>
      <w:proofErr w:type="gramStart"/>
      <w:r w:rsidRPr="00A41929">
        <w:rPr>
          <w:sz w:val="22"/>
          <w:szCs w:val="22"/>
          <w:lang w:val="en-GB"/>
        </w:rPr>
        <w:t>A revised medium for rapid growth and bioassays with tobacco Tissue Cultures.</w:t>
      </w:r>
      <w:proofErr w:type="gramEnd"/>
      <w:r w:rsidRPr="00A41929">
        <w:rPr>
          <w:sz w:val="22"/>
          <w:szCs w:val="22"/>
          <w:lang w:val="en-GB"/>
        </w:rPr>
        <w:t xml:space="preserve"> </w:t>
      </w:r>
      <w:proofErr w:type="spellStart"/>
      <w:r w:rsidRPr="00A41929">
        <w:rPr>
          <w:i/>
          <w:sz w:val="22"/>
          <w:szCs w:val="22"/>
          <w:lang w:val="en-GB"/>
        </w:rPr>
        <w:t>Physiologia</w:t>
      </w:r>
      <w:proofErr w:type="spellEnd"/>
      <w:r w:rsidRPr="00A41929">
        <w:rPr>
          <w:i/>
          <w:sz w:val="22"/>
          <w:szCs w:val="22"/>
          <w:lang w:val="en-GB"/>
        </w:rPr>
        <w:t xml:space="preserve"> </w:t>
      </w:r>
      <w:proofErr w:type="spellStart"/>
      <w:r w:rsidRPr="00A41929">
        <w:rPr>
          <w:i/>
          <w:sz w:val="22"/>
          <w:szCs w:val="22"/>
          <w:lang w:val="en-GB"/>
        </w:rPr>
        <w:t>Plantarum</w:t>
      </w:r>
      <w:proofErr w:type="spellEnd"/>
      <w:r w:rsidRPr="00A41929">
        <w:rPr>
          <w:sz w:val="22"/>
          <w:szCs w:val="22"/>
          <w:lang w:val="en-GB"/>
        </w:rPr>
        <w:t>. pp. 473-497.</w:t>
      </w:r>
    </w:p>
    <w:p w:rsidR="003E0602" w:rsidRPr="00A41929" w:rsidRDefault="003E0602">
      <w:pPr>
        <w:tabs>
          <w:tab w:val="left" w:pos="0"/>
        </w:tabs>
        <w:ind w:left="540" w:hanging="540"/>
        <w:jc w:val="both"/>
        <w:rPr>
          <w:sz w:val="22"/>
          <w:szCs w:val="22"/>
          <w:lang w:val="es-CO"/>
        </w:rPr>
      </w:pPr>
      <w:r w:rsidRPr="00A41929">
        <w:rPr>
          <w:sz w:val="22"/>
          <w:szCs w:val="22"/>
          <w:lang w:val="nl-NL"/>
        </w:rPr>
        <w:t xml:space="preserve">Novak, F., Afza, R., Duren, M. 1994. </w:t>
      </w:r>
      <w:proofErr w:type="spellStart"/>
      <w:proofErr w:type="gramStart"/>
      <w:r w:rsidRPr="00A41929">
        <w:rPr>
          <w:sz w:val="22"/>
          <w:szCs w:val="22"/>
          <w:lang w:val="en-GB"/>
        </w:rPr>
        <w:t>Fiel</w:t>
      </w:r>
      <w:proofErr w:type="spellEnd"/>
      <w:r w:rsidRPr="00A41929">
        <w:rPr>
          <w:sz w:val="22"/>
          <w:szCs w:val="22"/>
          <w:lang w:val="en-GB"/>
        </w:rPr>
        <w:t xml:space="preserve"> evaluation of tissue-culture bananas in grade oxidation.</w:t>
      </w:r>
      <w:proofErr w:type="gramEnd"/>
      <w:r w:rsidRPr="00A41929">
        <w:rPr>
          <w:sz w:val="22"/>
          <w:szCs w:val="22"/>
          <w:lang w:val="en-GB"/>
        </w:rPr>
        <w:t xml:space="preserve"> </w:t>
      </w:r>
      <w:proofErr w:type="spellStart"/>
      <w:r w:rsidR="009112E6" w:rsidRPr="00A41929">
        <w:rPr>
          <w:i/>
          <w:sz w:val="22"/>
          <w:szCs w:val="22"/>
          <w:lang w:val="es-CO"/>
        </w:rPr>
        <w:t>Australian</w:t>
      </w:r>
      <w:proofErr w:type="spellEnd"/>
      <w:r w:rsidR="009112E6" w:rsidRPr="00A41929">
        <w:rPr>
          <w:i/>
          <w:sz w:val="22"/>
          <w:szCs w:val="22"/>
          <w:lang w:val="es-CO"/>
        </w:rPr>
        <w:t xml:space="preserve"> </w:t>
      </w:r>
      <w:proofErr w:type="spellStart"/>
      <w:r w:rsidR="009112E6" w:rsidRPr="00A41929">
        <w:rPr>
          <w:i/>
          <w:sz w:val="22"/>
          <w:szCs w:val="22"/>
          <w:lang w:val="es-CO"/>
        </w:rPr>
        <w:t>Journal</w:t>
      </w:r>
      <w:proofErr w:type="spellEnd"/>
      <w:r w:rsidR="009112E6" w:rsidRPr="00A41929">
        <w:rPr>
          <w:i/>
          <w:sz w:val="22"/>
          <w:szCs w:val="22"/>
          <w:lang w:val="es-CO"/>
        </w:rPr>
        <w:t xml:space="preserve"> of Experimental </w:t>
      </w:r>
      <w:proofErr w:type="spellStart"/>
      <w:r w:rsidR="009112E6" w:rsidRPr="00A41929">
        <w:rPr>
          <w:i/>
          <w:sz w:val="22"/>
          <w:szCs w:val="22"/>
          <w:lang w:val="es-CO"/>
        </w:rPr>
        <w:t>Agriculture</w:t>
      </w:r>
      <w:proofErr w:type="spellEnd"/>
      <w:r w:rsidR="009112E6" w:rsidRPr="00A41929">
        <w:rPr>
          <w:sz w:val="22"/>
          <w:szCs w:val="22"/>
          <w:lang w:val="es-CO"/>
        </w:rPr>
        <w:t xml:space="preserve">. </w:t>
      </w:r>
      <w:r w:rsidRPr="00A41929">
        <w:rPr>
          <w:sz w:val="22"/>
          <w:szCs w:val="22"/>
          <w:lang w:val="es-CO"/>
        </w:rPr>
        <w:t>30: 569-574.</w:t>
      </w:r>
    </w:p>
    <w:p w:rsidR="003E0602" w:rsidRPr="00A41929" w:rsidRDefault="003E0602">
      <w:pPr>
        <w:ind w:left="360" w:hanging="720"/>
        <w:jc w:val="both"/>
        <w:rPr>
          <w:sz w:val="22"/>
          <w:szCs w:val="22"/>
        </w:rPr>
      </w:pPr>
      <w:r w:rsidRPr="00A41929">
        <w:rPr>
          <w:sz w:val="22"/>
          <w:szCs w:val="22"/>
        </w:rPr>
        <w:t xml:space="preserve">     Orellana, P. 1994. Tecnología para la </w:t>
      </w:r>
      <w:proofErr w:type="spellStart"/>
      <w:r w:rsidRPr="00A41929">
        <w:rPr>
          <w:sz w:val="22"/>
          <w:szCs w:val="22"/>
        </w:rPr>
        <w:t>micropropagación</w:t>
      </w:r>
      <w:proofErr w:type="spellEnd"/>
      <w:r w:rsidRPr="00A41929">
        <w:rPr>
          <w:sz w:val="22"/>
          <w:szCs w:val="22"/>
        </w:rPr>
        <w:t xml:space="preserve"> </w:t>
      </w:r>
      <w:r w:rsidRPr="00A41929">
        <w:rPr>
          <w:i/>
          <w:sz w:val="22"/>
          <w:szCs w:val="22"/>
        </w:rPr>
        <w:t>in vitro</w:t>
      </w:r>
      <w:r w:rsidRPr="00A41929">
        <w:rPr>
          <w:sz w:val="22"/>
          <w:szCs w:val="22"/>
        </w:rPr>
        <w:t xml:space="preserve"> de clones de </w:t>
      </w:r>
      <w:r w:rsidRPr="00A41929">
        <w:rPr>
          <w:i/>
          <w:sz w:val="22"/>
          <w:szCs w:val="22"/>
        </w:rPr>
        <w:t>Musa</w:t>
      </w:r>
      <w:r w:rsidRPr="00A41929">
        <w:rPr>
          <w:sz w:val="22"/>
          <w:szCs w:val="22"/>
        </w:rPr>
        <w:t xml:space="preserve"> </w:t>
      </w:r>
      <w:proofErr w:type="spellStart"/>
      <w:r w:rsidRPr="00A41929">
        <w:rPr>
          <w:sz w:val="22"/>
          <w:szCs w:val="22"/>
        </w:rPr>
        <w:t>spp</w:t>
      </w:r>
      <w:proofErr w:type="spellEnd"/>
      <w:r w:rsidRPr="00A41929">
        <w:rPr>
          <w:sz w:val="22"/>
          <w:szCs w:val="22"/>
        </w:rPr>
        <w:t>. Tesis en opción al grado científico de Doctor en Ciencias Agrícolas. Universidad Central de Las Villas, Santa Clara, Cuba, 96p.</w:t>
      </w:r>
    </w:p>
    <w:p w:rsidR="003E0602" w:rsidRPr="00A41929" w:rsidRDefault="003E0602">
      <w:pPr>
        <w:ind w:left="360" w:hanging="720"/>
        <w:jc w:val="both"/>
        <w:rPr>
          <w:sz w:val="22"/>
          <w:szCs w:val="22"/>
        </w:rPr>
      </w:pPr>
      <w:r w:rsidRPr="00A41929">
        <w:rPr>
          <w:sz w:val="22"/>
          <w:szCs w:val="22"/>
        </w:rPr>
        <w:t xml:space="preserve">     Orellana, P. 1998. Introducción a la propagación masiva. En: Pérez, J. N. 1998. Propagación y mejora genética de plantas por Biotecnología (</w:t>
      </w:r>
      <w:proofErr w:type="spellStart"/>
      <w:r w:rsidRPr="00A41929">
        <w:rPr>
          <w:sz w:val="22"/>
          <w:szCs w:val="22"/>
        </w:rPr>
        <w:t>Eds</w:t>
      </w:r>
      <w:proofErr w:type="spellEnd"/>
      <w:r w:rsidRPr="00A41929">
        <w:rPr>
          <w:sz w:val="22"/>
          <w:szCs w:val="22"/>
        </w:rPr>
        <w:t xml:space="preserve">), Instituto de Biotecnología de las plantas, Universidad Central de Las Villas, J. N. Pérez Ponce  (Ed.), Santa Clara, Cuba, pp.83-295.    </w:t>
      </w:r>
    </w:p>
    <w:p w:rsidR="003E0602" w:rsidRPr="00A41929" w:rsidRDefault="003E0602">
      <w:pPr>
        <w:ind w:left="360" w:hanging="360"/>
        <w:jc w:val="both"/>
        <w:rPr>
          <w:sz w:val="22"/>
          <w:szCs w:val="22"/>
          <w:lang w:eastAsia="en-US"/>
        </w:rPr>
      </w:pPr>
      <w:r w:rsidRPr="00A41929">
        <w:rPr>
          <w:sz w:val="22"/>
          <w:szCs w:val="22"/>
        </w:rPr>
        <w:t xml:space="preserve">Posada, P. L., Gómez, R., Reyes, M., Álvarez, L. 2003. Empleo de los sistemas de inmersión temporal (RITA) en la propagación de plantas vía organogénesis en caña de azúcar y bananos. </w:t>
      </w:r>
      <w:r w:rsidRPr="00A41929">
        <w:rPr>
          <w:i/>
          <w:sz w:val="22"/>
          <w:szCs w:val="22"/>
        </w:rPr>
        <w:t>Biotecnología Vegetal</w:t>
      </w:r>
      <w:r w:rsidRPr="00A41929">
        <w:rPr>
          <w:sz w:val="22"/>
          <w:szCs w:val="22"/>
        </w:rPr>
        <w:t>. 3(1): 6-8.</w:t>
      </w:r>
      <w:r w:rsidRPr="00A41929">
        <w:rPr>
          <w:sz w:val="22"/>
          <w:szCs w:val="22"/>
          <w:lang w:eastAsia="en-US"/>
        </w:rPr>
        <w:t xml:space="preserve"> </w:t>
      </w:r>
    </w:p>
    <w:p w:rsidR="003E0602" w:rsidRPr="00A41929" w:rsidRDefault="003E0602">
      <w:pPr>
        <w:ind w:left="360" w:hanging="360"/>
        <w:jc w:val="both"/>
        <w:rPr>
          <w:sz w:val="22"/>
          <w:szCs w:val="22"/>
          <w:lang w:eastAsia="en-US"/>
        </w:rPr>
      </w:pPr>
      <w:proofErr w:type="spellStart"/>
      <w:r w:rsidRPr="00A41929">
        <w:rPr>
          <w:sz w:val="22"/>
          <w:szCs w:val="22"/>
          <w:lang w:eastAsia="en-US"/>
        </w:rPr>
        <w:t>Quiala</w:t>
      </w:r>
      <w:proofErr w:type="spellEnd"/>
      <w:r w:rsidRPr="00A41929">
        <w:rPr>
          <w:sz w:val="22"/>
          <w:szCs w:val="22"/>
          <w:lang w:eastAsia="en-US"/>
        </w:rPr>
        <w:t xml:space="preserve">, E., Barbón, R., Jiménez, E., De Feria, M., Chávez, M., Capote, A., Pérez, N. 2006. </w:t>
      </w:r>
      <w:r w:rsidR="009112E6" w:rsidRPr="00A41929">
        <w:rPr>
          <w:sz w:val="22"/>
          <w:szCs w:val="22"/>
          <w:lang w:val="en-US" w:eastAsia="en-US"/>
        </w:rPr>
        <w:t xml:space="preserve">Biomass production of </w:t>
      </w:r>
      <w:proofErr w:type="spellStart"/>
      <w:r w:rsidR="009112E6" w:rsidRPr="00A41929">
        <w:rPr>
          <w:i/>
          <w:sz w:val="22"/>
          <w:szCs w:val="22"/>
          <w:lang w:val="en-US" w:eastAsia="en-US"/>
        </w:rPr>
        <w:t>Cymbopogon</w:t>
      </w:r>
      <w:proofErr w:type="spellEnd"/>
      <w:r w:rsidR="009112E6" w:rsidRPr="00A41929">
        <w:rPr>
          <w:i/>
          <w:sz w:val="22"/>
          <w:szCs w:val="22"/>
          <w:lang w:val="en-US" w:eastAsia="en-US"/>
        </w:rPr>
        <w:t xml:space="preserve"> </w:t>
      </w:r>
      <w:proofErr w:type="spellStart"/>
      <w:r w:rsidR="009112E6" w:rsidRPr="00A41929">
        <w:rPr>
          <w:i/>
          <w:sz w:val="22"/>
          <w:szCs w:val="22"/>
          <w:lang w:val="en-US" w:eastAsia="en-US"/>
        </w:rPr>
        <w:t>citratus</w:t>
      </w:r>
      <w:proofErr w:type="spellEnd"/>
      <w:r w:rsidR="009112E6" w:rsidRPr="00A41929">
        <w:rPr>
          <w:sz w:val="22"/>
          <w:szCs w:val="22"/>
          <w:lang w:val="en-US" w:eastAsia="en-US"/>
        </w:rPr>
        <w:t xml:space="preserve"> (D.C.) </w:t>
      </w:r>
      <w:proofErr w:type="spellStart"/>
      <w:proofErr w:type="gramStart"/>
      <w:r w:rsidRPr="00A41929">
        <w:rPr>
          <w:sz w:val="22"/>
          <w:szCs w:val="22"/>
          <w:lang w:val="en-GB" w:eastAsia="en-US"/>
        </w:rPr>
        <w:t>Stapf</w:t>
      </w:r>
      <w:proofErr w:type="spellEnd"/>
      <w:r w:rsidRPr="00A41929">
        <w:rPr>
          <w:sz w:val="22"/>
          <w:szCs w:val="22"/>
          <w:lang w:val="en-GB" w:eastAsia="en-US"/>
        </w:rPr>
        <w:t>.,</w:t>
      </w:r>
      <w:proofErr w:type="gramEnd"/>
      <w:r w:rsidRPr="00A41929">
        <w:rPr>
          <w:sz w:val="22"/>
          <w:szCs w:val="22"/>
          <w:lang w:val="en-GB" w:eastAsia="en-US"/>
        </w:rPr>
        <w:t xml:space="preserve"> a medicinal plant, in temporary immersion systems. </w:t>
      </w:r>
      <w:r w:rsidR="009112E6" w:rsidRPr="00A41929">
        <w:rPr>
          <w:i/>
          <w:sz w:val="22"/>
          <w:szCs w:val="22"/>
          <w:lang w:val="es-CO" w:eastAsia="en-US"/>
        </w:rPr>
        <w:t xml:space="preserve">In vitro </w:t>
      </w:r>
      <w:proofErr w:type="spellStart"/>
      <w:r w:rsidR="009112E6" w:rsidRPr="00A41929">
        <w:rPr>
          <w:i/>
          <w:sz w:val="22"/>
          <w:szCs w:val="22"/>
          <w:lang w:val="es-CO" w:eastAsia="en-US"/>
        </w:rPr>
        <w:t>Cellular</w:t>
      </w:r>
      <w:proofErr w:type="spellEnd"/>
      <w:r w:rsidR="009112E6" w:rsidRPr="00A41929">
        <w:rPr>
          <w:i/>
          <w:sz w:val="22"/>
          <w:szCs w:val="22"/>
          <w:lang w:val="es-CO" w:eastAsia="en-US"/>
        </w:rPr>
        <w:t xml:space="preserve"> &amp;</w:t>
      </w:r>
      <w:proofErr w:type="spellStart"/>
      <w:r w:rsidR="009112E6" w:rsidRPr="00A41929">
        <w:rPr>
          <w:i/>
          <w:sz w:val="22"/>
          <w:szCs w:val="22"/>
          <w:lang w:val="es-CO" w:eastAsia="en-US"/>
        </w:rPr>
        <w:t>Developmental</w:t>
      </w:r>
      <w:proofErr w:type="spellEnd"/>
      <w:r w:rsidR="009112E6" w:rsidRPr="00A41929">
        <w:rPr>
          <w:i/>
          <w:sz w:val="22"/>
          <w:szCs w:val="22"/>
          <w:lang w:val="es-CO" w:eastAsia="en-US"/>
        </w:rPr>
        <w:t xml:space="preserve"> </w:t>
      </w:r>
      <w:proofErr w:type="spellStart"/>
      <w:r w:rsidR="009112E6" w:rsidRPr="00A41929">
        <w:rPr>
          <w:i/>
          <w:sz w:val="22"/>
          <w:szCs w:val="22"/>
          <w:lang w:val="es-CO" w:eastAsia="en-US"/>
        </w:rPr>
        <w:t>Biology</w:t>
      </w:r>
      <w:proofErr w:type="spellEnd"/>
      <w:r w:rsidR="009112E6" w:rsidRPr="00A41929">
        <w:rPr>
          <w:i/>
          <w:sz w:val="22"/>
          <w:szCs w:val="22"/>
          <w:lang w:val="es-CO" w:eastAsia="en-US"/>
        </w:rPr>
        <w:t xml:space="preserve"> – </w:t>
      </w:r>
      <w:proofErr w:type="spellStart"/>
      <w:r w:rsidR="009112E6" w:rsidRPr="00A41929">
        <w:rPr>
          <w:i/>
          <w:sz w:val="22"/>
          <w:szCs w:val="22"/>
          <w:lang w:val="es-CO" w:eastAsia="en-US"/>
        </w:rPr>
        <w:t>Plant</w:t>
      </w:r>
      <w:proofErr w:type="spellEnd"/>
      <w:r w:rsidR="009112E6" w:rsidRPr="00A41929">
        <w:rPr>
          <w:i/>
          <w:sz w:val="22"/>
          <w:szCs w:val="22"/>
          <w:lang w:val="es-CO" w:eastAsia="en-US"/>
        </w:rPr>
        <w:t>.</w:t>
      </w:r>
      <w:r w:rsidR="009112E6" w:rsidRPr="00A41929">
        <w:rPr>
          <w:sz w:val="22"/>
          <w:szCs w:val="22"/>
          <w:lang w:val="es-CO" w:eastAsia="en-US"/>
        </w:rPr>
        <w:t xml:space="preserve"> </w:t>
      </w:r>
      <w:r w:rsidRPr="00A41929">
        <w:rPr>
          <w:sz w:val="22"/>
          <w:szCs w:val="22"/>
          <w:lang w:eastAsia="en-US"/>
        </w:rPr>
        <w:t>42: 298–300.</w:t>
      </w:r>
    </w:p>
    <w:p w:rsidR="003E0602" w:rsidRPr="00A41929" w:rsidRDefault="003E0602">
      <w:pPr>
        <w:ind w:left="540" w:hanging="540"/>
        <w:jc w:val="both"/>
        <w:rPr>
          <w:sz w:val="22"/>
          <w:szCs w:val="22"/>
        </w:rPr>
      </w:pPr>
      <w:r w:rsidRPr="00A41929">
        <w:rPr>
          <w:sz w:val="22"/>
          <w:szCs w:val="22"/>
        </w:rPr>
        <w:t xml:space="preserve">Rodríguez, S., </w:t>
      </w:r>
      <w:proofErr w:type="spellStart"/>
      <w:r w:rsidRPr="00A41929">
        <w:rPr>
          <w:sz w:val="22"/>
          <w:szCs w:val="22"/>
        </w:rPr>
        <w:t>Folgueras</w:t>
      </w:r>
      <w:proofErr w:type="spellEnd"/>
      <w:r w:rsidRPr="00A41929">
        <w:rPr>
          <w:sz w:val="22"/>
          <w:szCs w:val="22"/>
        </w:rPr>
        <w:t>, M., Medero, V. 2008. El plátano en  Cuba. Informativo del Consorcio Latinoamericano y del Caribe de Apoyo a la Investigación. Colombia. 2. Agosto, 5p.</w:t>
      </w:r>
    </w:p>
    <w:p w:rsidR="003E0602" w:rsidRPr="00A41929" w:rsidRDefault="003E0602">
      <w:pPr>
        <w:ind w:left="540" w:hanging="540"/>
        <w:jc w:val="both"/>
        <w:rPr>
          <w:sz w:val="22"/>
          <w:szCs w:val="22"/>
          <w:lang w:val="en-GB"/>
        </w:rPr>
      </w:pPr>
      <w:proofErr w:type="spellStart"/>
      <w:r w:rsidRPr="00A41929">
        <w:rPr>
          <w:sz w:val="22"/>
          <w:szCs w:val="22"/>
        </w:rPr>
        <w:t>Roels</w:t>
      </w:r>
      <w:proofErr w:type="spellEnd"/>
      <w:r w:rsidRPr="00A41929">
        <w:rPr>
          <w:sz w:val="22"/>
          <w:szCs w:val="22"/>
        </w:rPr>
        <w:t xml:space="preserve">,  S., </w:t>
      </w:r>
      <w:proofErr w:type="spellStart"/>
      <w:r w:rsidRPr="00A41929">
        <w:rPr>
          <w:sz w:val="22"/>
          <w:szCs w:val="22"/>
        </w:rPr>
        <w:t>Noceda</w:t>
      </w:r>
      <w:proofErr w:type="spellEnd"/>
      <w:r w:rsidRPr="00A41929">
        <w:rPr>
          <w:sz w:val="22"/>
          <w:szCs w:val="22"/>
        </w:rPr>
        <w:t xml:space="preserve">, C., Escalona, M., Sandoval, J., Canal, M., Rodríguez, R., </w:t>
      </w:r>
      <w:proofErr w:type="spellStart"/>
      <w:r w:rsidRPr="00A41929">
        <w:rPr>
          <w:sz w:val="22"/>
          <w:szCs w:val="22"/>
        </w:rPr>
        <w:t>Debergh</w:t>
      </w:r>
      <w:proofErr w:type="spellEnd"/>
      <w:r w:rsidRPr="00A41929">
        <w:rPr>
          <w:sz w:val="22"/>
          <w:szCs w:val="22"/>
        </w:rPr>
        <w:t xml:space="preserve">, P. 2005. </w:t>
      </w:r>
      <w:proofErr w:type="gramStart"/>
      <w:r w:rsidRPr="00A41929">
        <w:rPr>
          <w:sz w:val="22"/>
          <w:szCs w:val="22"/>
          <w:lang w:val="en-GB"/>
        </w:rPr>
        <w:t>Optimization of plantain (</w:t>
      </w:r>
      <w:r w:rsidRPr="00A41929">
        <w:rPr>
          <w:i/>
          <w:sz w:val="22"/>
          <w:szCs w:val="22"/>
          <w:lang w:val="en-GB"/>
        </w:rPr>
        <w:t>Musa</w:t>
      </w:r>
      <w:r w:rsidRPr="00A41929">
        <w:rPr>
          <w:sz w:val="22"/>
          <w:szCs w:val="22"/>
          <w:lang w:val="en-GB"/>
        </w:rPr>
        <w:t xml:space="preserve"> AAB) </w:t>
      </w:r>
      <w:proofErr w:type="spellStart"/>
      <w:r w:rsidRPr="00A41929">
        <w:rPr>
          <w:sz w:val="22"/>
          <w:szCs w:val="22"/>
          <w:lang w:val="en-GB"/>
        </w:rPr>
        <w:t>micropropagation</w:t>
      </w:r>
      <w:proofErr w:type="spellEnd"/>
      <w:r w:rsidRPr="00A41929">
        <w:rPr>
          <w:sz w:val="22"/>
          <w:szCs w:val="22"/>
          <w:lang w:val="en-GB"/>
        </w:rPr>
        <w:t xml:space="preserve"> by Temporary immersion System.</w:t>
      </w:r>
      <w:proofErr w:type="gramEnd"/>
      <w:r w:rsidRPr="00A41929">
        <w:rPr>
          <w:sz w:val="22"/>
          <w:szCs w:val="22"/>
          <w:lang w:val="en-GB"/>
        </w:rPr>
        <w:t xml:space="preserve"> </w:t>
      </w:r>
      <w:proofErr w:type="gramStart"/>
      <w:r w:rsidRPr="00A41929">
        <w:rPr>
          <w:i/>
          <w:sz w:val="22"/>
          <w:szCs w:val="22"/>
          <w:lang w:val="en-GB"/>
        </w:rPr>
        <w:t>Plant Cell Tissue and Organ Culture.</w:t>
      </w:r>
      <w:proofErr w:type="gramEnd"/>
      <w:r w:rsidRPr="00A41929">
        <w:rPr>
          <w:i/>
          <w:sz w:val="22"/>
          <w:szCs w:val="22"/>
          <w:lang w:val="en-GB"/>
        </w:rPr>
        <w:t xml:space="preserve"> </w:t>
      </w:r>
      <w:r w:rsidRPr="00A41929">
        <w:rPr>
          <w:sz w:val="22"/>
          <w:szCs w:val="22"/>
          <w:lang w:val="en-GB"/>
        </w:rPr>
        <w:t>82: 57-66.</w:t>
      </w:r>
    </w:p>
    <w:p w:rsidR="003E0602" w:rsidRPr="00A41929" w:rsidRDefault="003E0602">
      <w:pPr>
        <w:jc w:val="both"/>
        <w:rPr>
          <w:sz w:val="22"/>
          <w:szCs w:val="22"/>
        </w:rPr>
      </w:pPr>
      <w:proofErr w:type="gramStart"/>
      <w:r w:rsidRPr="00A41929">
        <w:rPr>
          <w:sz w:val="22"/>
          <w:szCs w:val="22"/>
          <w:lang w:val="en-GB"/>
        </w:rPr>
        <w:lastRenderedPageBreak/>
        <w:t>Sigma.</w:t>
      </w:r>
      <w:proofErr w:type="gramEnd"/>
      <w:r w:rsidRPr="00A41929">
        <w:rPr>
          <w:sz w:val="22"/>
          <w:szCs w:val="22"/>
          <w:lang w:val="en-GB"/>
        </w:rPr>
        <w:t xml:space="preserve"> 1991. </w:t>
      </w:r>
      <w:proofErr w:type="spellStart"/>
      <w:r w:rsidRPr="00A41929">
        <w:rPr>
          <w:sz w:val="22"/>
          <w:szCs w:val="22"/>
          <w:lang w:val="en-GB"/>
        </w:rPr>
        <w:t>Catalogue.Sigma</w:t>
      </w:r>
      <w:proofErr w:type="spellEnd"/>
      <w:r w:rsidRPr="00A41929">
        <w:rPr>
          <w:sz w:val="22"/>
          <w:szCs w:val="22"/>
          <w:lang w:val="en-GB"/>
        </w:rPr>
        <w:t xml:space="preserve"> Chemical Company. </w:t>
      </w:r>
      <w:r w:rsidRPr="00A41929">
        <w:rPr>
          <w:sz w:val="22"/>
          <w:szCs w:val="22"/>
        </w:rPr>
        <w:t>EUA.</w:t>
      </w:r>
    </w:p>
    <w:p w:rsidR="003E0602" w:rsidRPr="00A41929" w:rsidRDefault="003E0602">
      <w:pPr>
        <w:pStyle w:val="Textoindependiente"/>
        <w:spacing w:after="0"/>
        <w:ind w:left="363" w:hanging="720"/>
        <w:jc w:val="both"/>
        <w:rPr>
          <w:sz w:val="22"/>
          <w:szCs w:val="22"/>
          <w:lang w:val="en-GB"/>
        </w:rPr>
      </w:pPr>
      <w:r w:rsidRPr="00A41929">
        <w:rPr>
          <w:sz w:val="22"/>
          <w:szCs w:val="22"/>
        </w:rPr>
        <w:t xml:space="preserve">     Ventura, J., Medero, V., López, J., García, M., Rodríguez, S., García, J., Reynaldo, D.,  Rayas, A., </w:t>
      </w:r>
      <w:proofErr w:type="spellStart"/>
      <w:r w:rsidRPr="00A41929">
        <w:rPr>
          <w:sz w:val="22"/>
          <w:szCs w:val="22"/>
        </w:rPr>
        <w:t>Basail</w:t>
      </w:r>
      <w:proofErr w:type="spellEnd"/>
      <w:r w:rsidRPr="00A41929">
        <w:rPr>
          <w:sz w:val="22"/>
          <w:szCs w:val="22"/>
        </w:rPr>
        <w:t xml:space="preserve">, M., Santos,  A. 2002. Tecnología para la producción de plátanos y bananos. Memorias en CD. </w:t>
      </w:r>
      <w:proofErr w:type="spellStart"/>
      <w:r w:rsidRPr="00A41929">
        <w:rPr>
          <w:sz w:val="22"/>
          <w:szCs w:val="22"/>
          <w:lang w:val="en-GB"/>
        </w:rPr>
        <w:t>Evento</w:t>
      </w:r>
      <w:proofErr w:type="spellEnd"/>
      <w:r w:rsidRPr="00A41929">
        <w:rPr>
          <w:sz w:val="22"/>
          <w:szCs w:val="22"/>
          <w:lang w:val="en-GB"/>
        </w:rPr>
        <w:t xml:space="preserve"> de AGRONAT. Universidad de Cienfuegos. </w:t>
      </w:r>
      <w:proofErr w:type="gramStart"/>
      <w:r w:rsidRPr="00A41929">
        <w:rPr>
          <w:sz w:val="22"/>
          <w:szCs w:val="22"/>
          <w:lang w:val="en-GB"/>
        </w:rPr>
        <w:t>ISBN 959-257-046-02.</w:t>
      </w:r>
      <w:proofErr w:type="gramEnd"/>
    </w:p>
    <w:p w:rsidR="003E0602" w:rsidRPr="00A41929" w:rsidRDefault="003E0602">
      <w:pPr>
        <w:pStyle w:val="Textoindependiente"/>
        <w:spacing w:after="0"/>
        <w:ind w:left="363" w:hanging="363"/>
        <w:jc w:val="both"/>
        <w:rPr>
          <w:sz w:val="22"/>
          <w:szCs w:val="22"/>
          <w:lang w:val="en-GB"/>
        </w:rPr>
      </w:pPr>
      <w:proofErr w:type="gramStart"/>
      <w:r w:rsidRPr="00A41929">
        <w:rPr>
          <w:sz w:val="22"/>
          <w:szCs w:val="22"/>
          <w:lang w:val="en-US"/>
        </w:rPr>
        <w:t>Williams, R. 1995.</w:t>
      </w:r>
      <w:proofErr w:type="gramEnd"/>
      <w:r w:rsidRPr="00A41929">
        <w:rPr>
          <w:sz w:val="22"/>
          <w:szCs w:val="22"/>
          <w:lang w:val="en-US"/>
        </w:rPr>
        <w:t xml:space="preserve"> </w:t>
      </w:r>
      <w:r w:rsidRPr="00A41929">
        <w:rPr>
          <w:sz w:val="22"/>
          <w:szCs w:val="22"/>
          <w:lang w:val="en-GB"/>
        </w:rPr>
        <w:t xml:space="preserve">The chemical </w:t>
      </w:r>
      <w:proofErr w:type="spellStart"/>
      <w:r w:rsidRPr="00A41929">
        <w:rPr>
          <w:sz w:val="22"/>
          <w:szCs w:val="22"/>
          <w:lang w:val="en-GB"/>
        </w:rPr>
        <w:t>microenviroment</w:t>
      </w:r>
      <w:proofErr w:type="spellEnd"/>
      <w:r w:rsidRPr="00A41929">
        <w:rPr>
          <w:sz w:val="22"/>
          <w:szCs w:val="22"/>
          <w:lang w:val="en-GB"/>
        </w:rPr>
        <w:t xml:space="preserve"> In: </w:t>
      </w:r>
      <w:proofErr w:type="spellStart"/>
      <w:r w:rsidRPr="00A41929">
        <w:rPr>
          <w:sz w:val="22"/>
          <w:szCs w:val="22"/>
          <w:lang w:val="en-GB"/>
        </w:rPr>
        <w:t>Jaitken</w:t>
      </w:r>
      <w:proofErr w:type="spellEnd"/>
      <w:r w:rsidRPr="00A41929">
        <w:rPr>
          <w:sz w:val="22"/>
          <w:szCs w:val="22"/>
          <w:lang w:val="en-GB"/>
        </w:rPr>
        <w:t xml:space="preserve">-Christie., T. </w:t>
      </w:r>
      <w:proofErr w:type="spellStart"/>
      <w:r w:rsidRPr="00A41929">
        <w:rPr>
          <w:sz w:val="22"/>
          <w:szCs w:val="22"/>
          <w:lang w:val="en-GB"/>
        </w:rPr>
        <w:t>Kozait</w:t>
      </w:r>
      <w:proofErr w:type="spellEnd"/>
      <w:r w:rsidRPr="00A41929">
        <w:rPr>
          <w:sz w:val="22"/>
          <w:szCs w:val="22"/>
          <w:lang w:val="en-GB"/>
        </w:rPr>
        <w:t>., M. A. L. Smith (</w:t>
      </w:r>
      <w:proofErr w:type="spellStart"/>
      <w:r w:rsidRPr="00A41929">
        <w:rPr>
          <w:sz w:val="22"/>
          <w:szCs w:val="22"/>
          <w:lang w:val="en-GB"/>
        </w:rPr>
        <w:t>Eds</w:t>
      </w:r>
      <w:proofErr w:type="spellEnd"/>
      <w:r w:rsidRPr="00A41929">
        <w:rPr>
          <w:sz w:val="22"/>
          <w:szCs w:val="22"/>
          <w:lang w:val="en-GB"/>
        </w:rPr>
        <w:t xml:space="preserve">). Automation and Environmental control in Plant Tissue Culture. </w:t>
      </w:r>
      <w:proofErr w:type="spellStart"/>
      <w:proofErr w:type="gramStart"/>
      <w:r w:rsidRPr="00A41929">
        <w:rPr>
          <w:i/>
          <w:sz w:val="22"/>
          <w:szCs w:val="22"/>
          <w:lang w:val="en-GB"/>
        </w:rPr>
        <w:t>Kluwer</w:t>
      </w:r>
      <w:proofErr w:type="spellEnd"/>
      <w:r w:rsidRPr="00A41929">
        <w:rPr>
          <w:i/>
          <w:sz w:val="22"/>
          <w:szCs w:val="22"/>
          <w:lang w:val="en-GB"/>
        </w:rPr>
        <w:t xml:space="preserve"> Academic Publishers</w:t>
      </w:r>
      <w:r w:rsidRPr="00A41929">
        <w:rPr>
          <w:sz w:val="22"/>
          <w:szCs w:val="22"/>
          <w:lang w:val="en-GB"/>
        </w:rPr>
        <w:t>.</w:t>
      </w:r>
      <w:proofErr w:type="gramEnd"/>
      <w:r w:rsidRPr="00A41929">
        <w:rPr>
          <w:sz w:val="22"/>
          <w:szCs w:val="22"/>
          <w:lang w:val="en-GB"/>
        </w:rPr>
        <w:t xml:space="preserve"> </w:t>
      </w:r>
      <w:proofErr w:type="gramStart"/>
      <w:r w:rsidRPr="00A41929">
        <w:rPr>
          <w:sz w:val="22"/>
          <w:szCs w:val="22"/>
          <w:lang w:val="en-GB"/>
        </w:rPr>
        <w:t>pp. 405- 438.</w:t>
      </w:r>
      <w:proofErr w:type="gramEnd"/>
    </w:p>
    <w:p w:rsidR="003E0602" w:rsidRPr="00A41929" w:rsidRDefault="003E0602">
      <w:pPr>
        <w:ind w:left="360" w:hanging="360"/>
        <w:jc w:val="both"/>
        <w:rPr>
          <w:sz w:val="22"/>
          <w:szCs w:val="22"/>
          <w:lang w:val="en-GB"/>
        </w:rPr>
      </w:pPr>
      <w:proofErr w:type="spellStart"/>
      <w:r w:rsidRPr="00A41929">
        <w:rPr>
          <w:sz w:val="22"/>
          <w:szCs w:val="22"/>
          <w:lang w:val="en-GB"/>
        </w:rPr>
        <w:t>Ziv</w:t>
      </w:r>
      <w:proofErr w:type="spellEnd"/>
      <w:r w:rsidRPr="00A41929">
        <w:rPr>
          <w:sz w:val="22"/>
          <w:szCs w:val="22"/>
          <w:lang w:val="en-GB"/>
        </w:rPr>
        <w:t xml:space="preserve">, M. 2005. </w:t>
      </w:r>
      <w:proofErr w:type="gramStart"/>
      <w:r w:rsidRPr="00A41929">
        <w:rPr>
          <w:sz w:val="22"/>
          <w:szCs w:val="22"/>
          <w:lang w:val="en-GB"/>
        </w:rPr>
        <w:t>Simple bioreactor for mass propagation of plant.</w:t>
      </w:r>
      <w:proofErr w:type="gramEnd"/>
      <w:r w:rsidRPr="00A41929">
        <w:rPr>
          <w:sz w:val="22"/>
          <w:szCs w:val="22"/>
          <w:lang w:val="en-GB"/>
        </w:rPr>
        <w:t xml:space="preserve"> </w:t>
      </w:r>
      <w:proofErr w:type="gramStart"/>
      <w:r w:rsidRPr="00A41929">
        <w:rPr>
          <w:i/>
          <w:sz w:val="22"/>
          <w:szCs w:val="22"/>
          <w:lang w:val="en-GB"/>
        </w:rPr>
        <w:t>Plant Cell, Tissue and Organ Culture.</w:t>
      </w:r>
      <w:proofErr w:type="gramEnd"/>
      <w:r w:rsidRPr="00A41929">
        <w:rPr>
          <w:i/>
          <w:sz w:val="22"/>
          <w:szCs w:val="22"/>
          <w:lang w:val="en-GB"/>
        </w:rPr>
        <w:t xml:space="preserve"> </w:t>
      </w:r>
      <w:r w:rsidRPr="00A41929">
        <w:rPr>
          <w:sz w:val="22"/>
          <w:szCs w:val="22"/>
          <w:lang w:val="en-GB"/>
        </w:rPr>
        <w:t>81: 277-285.</w:t>
      </w:r>
    </w:p>
    <w:p w:rsidR="003E0602" w:rsidRPr="00A41929" w:rsidRDefault="003E0602">
      <w:pPr>
        <w:jc w:val="both"/>
        <w:rPr>
          <w:rFonts w:ascii="Arial" w:hAnsi="Arial" w:cs="Arial"/>
          <w:b/>
          <w:sz w:val="22"/>
          <w:szCs w:val="22"/>
          <w:lang w:val="en-GB"/>
        </w:rPr>
      </w:pPr>
    </w:p>
    <w:sectPr w:rsidR="003E0602" w:rsidRPr="00A41929" w:rsidSect="00A54FA7">
      <w:pgSz w:w="12247" w:h="15593" w:code="1"/>
      <w:pgMar w:top="1701" w:right="1701" w:bottom="1701" w:left="1701"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libri-Identity-H">
    <w:panose1 w:val="00000000000000000000"/>
    <w:charset w:val="00"/>
    <w:family w:val="auto"/>
    <w:notTrueType/>
    <w:pitch w:val="default"/>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9"/>
    <w:multiLevelType w:val="singleLevel"/>
    <w:tmpl w:val="BAE46D6E"/>
    <w:lvl w:ilvl="0">
      <w:start w:val="1"/>
      <w:numFmt w:val="bullet"/>
      <w:lvlText w:val=""/>
      <w:lvlJc w:val="left"/>
      <w:pPr>
        <w:tabs>
          <w:tab w:val="num" w:pos="360"/>
        </w:tabs>
        <w:ind w:left="360" w:hanging="360"/>
      </w:pPr>
      <w:rPr>
        <w:rFonts w:ascii="Symbol" w:hAnsi="Symbol" w:hint="default"/>
      </w:rPr>
    </w:lvl>
  </w:abstractNum>
  <w:abstractNum w:abstractNumId="1">
    <w:nsid w:val="00380F2B"/>
    <w:multiLevelType w:val="hybridMultilevel"/>
    <w:tmpl w:val="D2B62F48"/>
    <w:lvl w:ilvl="0" w:tplc="0C0A000F">
      <w:start w:val="1"/>
      <w:numFmt w:val="decimal"/>
      <w:lvlText w:val="%1."/>
      <w:lvlJc w:val="left"/>
      <w:pPr>
        <w:tabs>
          <w:tab w:val="num" w:pos="720"/>
        </w:tabs>
        <w:ind w:left="720" w:hanging="360"/>
      </w:pPr>
      <w:rPr>
        <w:rFonts w:cs="Times New Roman" w:hint="default"/>
      </w:rPr>
    </w:lvl>
    <w:lvl w:ilvl="1" w:tplc="0C0A0019" w:tentative="1">
      <w:start w:val="1"/>
      <w:numFmt w:val="lowerLetter"/>
      <w:lvlText w:val="%2."/>
      <w:lvlJc w:val="left"/>
      <w:pPr>
        <w:tabs>
          <w:tab w:val="num" w:pos="1440"/>
        </w:tabs>
        <w:ind w:left="1440" w:hanging="360"/>
      </w:pPr>
      <w:rPr>
        <w:rFonts w:cs="Times New Roman"/>
      </w:rPr>
    </w:lvl>
    <w:lvl w:ilvl="2" w:tplc="0C0A001B" w:tentative="1">
      <w:start w:val="1"/>
      <w:numFmt w:val="lowerRoman"/>
      <w:lvlText w:val="%3."/>
      <w:lvlJc w:val="right"/>
      <w:pPr>
        <w:tabs>
          <w:tab w:val="num" w:pos="2160"/>
        </w:tabs>
        <w:ind w:left="2160" w:hanging="180"/>
      </w:pPr>
      <w:rPr>
        <w:rFonts w:cs="Times New Roman"/>
      </w:rPr>
    </w:lvl>
    <w:lvl w:ilvl="3" w:tplc="0C0A000F" w:tentative="1">
      <w:start w:val="1"/>
      <w:numFmt w:val="decimal"/>
      <w:lvlText w:val="%4."/>
      <w:lvlJc w:val="left"/>
      <w:pPr>
        <w:tabs>
          <w:tab w:val="num" w:pos="2880"/>
        </w:tabs>
        <w:ind w:left="2880" w:hanging="360"/>
      </w:pPr>
      <w:rPr>
        <w:rFonts w:cs="Times New Roman"/>
      </w:rPr>
    </w:lvl>
    <w:lvl w:ilvl="4" w:tplc="0C0A0019" w:tentative="1">
      <w:start w:val="1"/>
      <w:numFmt w:val="lowerLetter"/>
      <w:lvlText w:val="%5."/>
      <w:lvlJc w:val="left"/>
      <w:pPr>
        <w:tabs>
          <w:tab w:val="num" w:pos="3600"/>
        </w:tabs>
        <w:ind w:left="3600" w:hanging="360"/>
      </w:pPr>
      <w:rPr>
        <w:rFonts w:cs="Times New Roman"/>
      </w:rPr>
    </w:lvl>
    <w:lvl w:ilvl="5" w:tplc="0C0A001B" w:tentative="1">
      <w:start w:val="1"/>
      <w:numFmt w:val="lowerRoman"/>
      <w:lvlText w:val="%6."/>
      <w:lvlJc w:val="right"/>
      <w:pPr>
        <w:tabs>
          <w:tab w:val="num" w:pos="4320"/>
        </w:tabs>
        <w:ind w:left="4320" w:hanging="180"/>
      </w:pPr>
      <w:rPr>
        <w:rFonts w:cs="Times New Roman"/>
      </w:rPr>
    </w:lvl>
    <w:lvl w:ilvl="6" w:tplc="0C0A000F" w:tentative="1">
      <w:start w:val="1"/>
      <w:numFmt w:val="decimal"/>
      <w:lvlText w:val="%7."/>
      <w:lvlJc w:val="left"/>
      <w:pPr>
        <w:tabs>
          <w:tab w:val="num" w:pos="5040"/>
        </w:tabs>
        <w:ind w:left="5040" w:hanging="360"/>
      </w:pPr>
      <w:rPr>
        <w:rFonts w:cs="Times New Roman"/>
      </w:rPr>
    </w:lvl>
    <w:lvl w:ilvl="7" w:tplc="0C0A0019" w:tentative="1">
      <w:start w:val="1"/>
      <w:numFmt w:val="lowerLetter"/>
      <w:lvlText w:val="%8."/>
      <w:lvlJc w:val="left"/>
      <w:pPr>
        <w:tabs>
          <w:tab w:val="num" w:pos="5760"/>
        </w:tabs>
        <w:ind w:left="5760" w:hanging="360"/>
      </w:pPr>
      <w:rPr>
        <w:rFonts w:cs="Times New Roman"/>
      </w:rPr>
    </w:lvl>
    <w:lvl w:ilvl="8" w:tplc="0C0A001B" w:tentative="1">
      <w:start w:val="1"/>
      <w:numFmt w:val="lowerRoman"/>
      <w:lvlText w:val="%9."/>
      <w:lvlJc w:val="right"/>
      <w:pPr>
        <w:tabs>
          <w:tab w:val="num" w:pos="6480"/>
        </w:tabs>
        <w:ind w:left="6480" w:hanging="180"/>
      </w:pPr>
      <w:rPr>
        <w:rFonts w:cs="Times New Roman"/>
      </w:rPr>
    </w:lvl>
  </w:abstractNum>
  <w:abstractNum w:abstractNumId="2">
    <w:nsid w:val="01F9622F"/>
    <w:multiLevelType w:val="multilevel"/>
    <w:tmpl w:val="3DDEB9DE"/>
    <w:lvl w:ilvl="0">
      <w:start w:val="1"/>
      <w:numFmt w:val="upperRoman"/>
      <w:lvlText w:val="%1."/>
      <w:lvlJc w:val="right"/>
      <w:pPr>
        <w:tabs>
          <w:tab w:val="num" w:pos="720"/>
        </w:tabs>
        <w:ind w:left="720" w:hanging="180"/>
      </w:pPr>
      <w:rPr>
        <w:rFonts w:cs="Times New Roman"/>
      </w:rPr>
    </w:lvl>
    <w:lvl w:ilvl="1">
      <w:start w:val="6"/>
      <w:numFmt w:val="decimal"/>
      <w:isLgl/>
      <w:lvlText w:val="%1.%2."/>
      <w:lvlJc w:val="left"/>
      <w:pPr>
        <w:tabs>
          <w:tab w:val="num" w:pos="1260"/>
        </w:tabs>
        <w:ind w:left="1260" w:hanging="720"/>
      </w:pPr>
      <w:rPr>
        <w:rFonts w:cs="Times New Roman" w:hint="default"/>
      </w:rPr>
    </w:lvl>
    <w:lvl w:ilvl="2">
      <w:start w:val="1"/>
      <w:numFmt w:val="decimal"/>
      <w:isLgl/>
      <w:lvlText w:val="%1.%2.%3."/>
      <w:lvlJc w:val="left"/>
      <w:pPr>
        <w:tabs>
          <w:tab w:val="num" w:pos="1260"/>
        </w:tabs>
        <w:ind w:left="1260" w:hanging="720"/>
      </w:pPr>
      <w:rPr>
        <w:rFonts w:cs="Times New Roman" w:hint="default"/>
      </w:rPr>
    </w:lvl>
    <w:lvl w:ilvl="3">
      <w:start w:val="1"/>
      <w:numFmt w:val="decimal"/>
      <w:isLgl/>
      <w:lvlText w:val="%1.%2.%3.%4."/>
      <w:lvlJc w:val="left"/>
      <w:pPr>
        <w:tabs>
          <w:tab w:val="num" w:pos="1620"/>
        </w:tabs>
        <w:ind w:left="1620" w:hanging="1080"/>
      </w:pPr>
      <w:rPr>
        <w:rFonts w:cs="Times New Roman" w:hint="default"/>
      </w:rPr>
    </w:lvl>
    <w:lvl w:ilvl="4">
      <w:start w:val="1"/>
      <w:numFmt w:val="decimal"/>
      <w:isLgl/>
      <w:lvlText w:val="%1.%2.%3.%4.%5."/>
      <w:lvlJc w:val="left"/>
      <w:pPr>
        <w:tabs>
          <w:tab w:val="num" w:pos="1620"/>
        </w:tabs>
        <w:ind w:left="1620" w:hanging="1080"/>
      </w:pPr>
      <w:rPr>
        <w:rFonts w:cs="Times New Roman" w:hint="default"/>
      </w:rPr>
    </w:lvl>
    <w:lvl w:ilvl="5">
      <w:start w:val="1"/>
      <w:numFmt w:val="decimal"/>
      <w:isLgl/>
      <w:lvlText w:val="%1.%2.%3.%4.%5.%6."/>
      <w:lvlJc w:val="left"/>
      <w:pPr>
        <w:tabs>
          <w:tab w:val="num" w:pos="1980"/>
        </w:tabs>
        <w:ind w:left="1980" w:hanging="1440"/>
      </w:pPr>
      <w:rPr>
        <w:rFonts w:cs="Times New Roman" w:hint="default"/>
      </w:rPr>
    </w:lvl>
    <w:lvl w:ilvl="6">
      <w:start w:val="1"/>
      <w:numFmt w:val="decimal"/>
      <w:isLgl/>
      <w:lvlText w:val="%1.%2.%3.%4.%5.%6.%7."/>
      <w:lvlJc w:val="left"/>
      <w:pPr>
        <w:tabs>
          <w:tab w:val="num" w:pos="1980"/>
        </w:tabs>
        <w:ind w:left="1980" w:hanging="1440"/>
      </w:pPr>
      <w:rPr>
        <w:rFonts w:cs="Times New Roman" w:hint="default"/>
      </w:rPr>
    </w:lvl>
    <w:lvl w:ilvl="7">
      <w:start w:val="1"/>
      <w:numFmt w:val="decimal"/>
      <w:isLgl/>
      <w:lvlText w:val="%1.%2.%3.%4.%5.%6.%7.%8."/>
      <w:lvlJc w:val="left"/>
      <w:pPr>
        <w:tabs>
          <w:tab w:val="num" w:pos="2340"/>
        </w:tabs>
        <w:ind w:left="2340" w:hanging="1800"/>
      </w:pPr>
      <w:rPr>
        <w:rFonts w:cs="Times New Roman" w:hint="default"/>
      </w:rPr>
    </w:lvl>
    <w:lvl w:ilvl="8">
      <w:start w:val="1"/>
      <w:numFmt w:val="decimal"/>
      <w:isLgl/>
      <w:lvlText w:val="%1.%2.%3.%4.%5.%6.%7.%8.%9."/>
      <w:lvlJc w:val="left"/>
      <w:pPr>
        <w:tabs>
          <w:tab w:val="num" w:pos="2700"/>
        </w:tabs>
        <w:ind w:left="2700" w:hanging="2160"/>
      </w:pPr>
      <w:rPr>
        <w:rFonts w:cs="Times New Roman" w:hint="default"/>
      </w:rPr>
    </w:lvl>
  </w:abstractNum>
  <w:abstractNum w:abstractNumId="3">
    <w:nsid w:val="13F95919"/>
    <w:multiLevelType w:val="hybridMultilevel"/>
    <w:tmpl w:val="A4748E6C"/>
    <w:lvl w:ilvl="0" w:tplc="0C0A000B">
      <w:start w:val="1"/>
      <w:numFmt w:val="bullet"/>
      <w:lvlText w:val=""/>
      <w:lvlJc w:val="left"/>
      <w:pPr>
        <w:tabs>
          <w:tab w:val="num" w:pos="720"/>
        </w:tabs>
        <w:ind w:left="720" w:hanging="360"/>
      </w:pPr>
      <w:rPr>
        <w:rFonts w:ascii="Wingdings" w:hAnsi="Wingdings" w:hint="default"/>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4">
    <w:nsid w:val="2A537817"/>
    <w:multiLevelType w:val="hybridMultilevel"/>
    <w:tmpl w:val="98A6B0EC"/>
    <w:lvl w:ilvl="0" w:tplc="0C0A0001">
      <w:start w:val="1"/>
      <w:numFmt w:val="bullet"/>
      <w:lvlText w:val=""/>
      <w:lvlJc w:val="left"/>
      <w:pPr>
        <w:tabs>
          <w:tab w:val="num" w:pos="900"/>
        </w:tabs>
        <w:ind w:left="900" w:hanging="360"/>
      </w:pPr>
      <w:rPr>
        <w:rFonts w:ascii="Symbol" w:hAnsi="Symbol" w:hint="default"/>
      </w:rPr>
    </w:lvl>
    <w:lvl w:ilvl="1" w:tplc="0C0A0003" w:tentative="1">
      <w:start w:val="1"/>
      <w:numFmt w:val="bullet"/>
      <w:lvlText w:val="o"/>
      <w:lvlJc w:val="left"/>
      <w:pPr>
        <w:tabs>
          <w:tab w:val="num" w:pos="1620"/>
        </w:tabs>
        <w:ind w:left="1620" w:hanging="360"/>
      </w:pPr>
      <w:rPr>
        <w:rFonts w:ascii="Courier New" w:hAnsi="Courier New" w:hint="default"/>
      </w:rPr>
    </w:lvl>
    <w:lvl w:ilvl="2" w:tplc="0C0A0005" w:tentative="1">
      <w:start w:val="1"/>
      <w:numFmt w:val="bullet"/>
      <w:lvlText w:val=""/>
      <w:lvlJc w:val="left"/>
      <w:pPr>
        <w:tabs>
          <w:tab w:val="num" w:pos="2340"/>
        </w:tabs>
        <w:ind w:left="2340" w:hanging="360"/>
      </w:pPr>
      <w:rPr>
        <w:rFonts w:ascii="Wingdings" w:hAnsi="Wingdings" w:hint="default"/>
      </w:rPr>
    </w:lvl>
    <w:lvl w:ilvl="3" w:tplc="0C0A0001" w:tentative="1">
      <w:start w:val="1"/>
      <w:numFmt w:val="bullet"/>
      <w:lvlText w:val=""/>
      <w:lvlJc w:val="left"/>
      <w:pPr>
        <w:tabs>
          <w:tab w:val="num" w:pos="3060"/>
        </w:tabs>
        <w:ind w:left="3060" w:hanging="360"/>
      </w:pPr>
      <w:rPr>
        <w:rFonts w:ascii="Symbol" w:hAnsi="Symbol" w:hint="default"/>
      </w:rPr>
    </w:lvl>
    <w:lvl w:ilvl="4" w:tplc="0C0A0003" w:tentative="1">
      <w:start w:val="1"/>
      <w:numFmt w:val="bullet"/>
      <w:lvlText w:val="o"/>
      <w:lvlJc w:val="left"/>
      <w:pPr>
        <w:tabs>
          <w:tab w:val="num" w:pos="3780"/>
        </w:tabs>
        <w:ind w:left="3780" w:hanging="360"/>
      </w:pPr>
      <w:rPr>
        <w:rFonts w:ascii="Courier New" w:hAnsi="Courier New" w:hint="default"/>
      </w:rPr>
    </w:lvl>
    <w:lvl w:ilvl="5" w:tplc="0C0A0005" w:tentative="1">
      <w:start w:val="1"/>
      <w:numFmt w:val="bullet"/>
      <w:lvlText w:val=""/>
      <w:lvlJc w:val="left"/>
      <w:pPr>
        <w:tabs>
          <w:tab w:val="num" w:pos="4500"/>
        </w:tabs>
        <w:ind w:left="4500" w:hanging="360"/>
      </w:pPr>
      <w:rPr>
        <w:rFonts w:ascii="Wingdings" w:hAnsi="Wingdings" w:hint="default"/>
      </w:rPr>
    </w:lvl>
    <w:lvl w:ilvl="6" w:tplc="0C0A0001" w:tentative="1">
      <w:start w:val="1"/>
      <w:numFmt w:val="bullet"/>
      <w:lvlText w:val=""/>
      <w:lvlJc w:val="left"/>
      <w:pPr>
        <w:tabs>
          <w:tab w:val="num" w:pos="5220"/>
        </w:tabs>
        <w:ind w:left="5220" w:hanging="360"/>
      </w:pPr>
      <w:rPr>
        <w:rFonts w:ascii="Symbol" w:hAnsi="Symbol" w:hint="default"/>
      </w:rPr>
    </w:lvl>
    <w:lvl w:ilvl="7" w:tplc="0C0A0003" w:tentative="1">
      <w:start w:val="1"/>
      <w:numFmt w:val="bullet"/>
      <w:lvlText w:val="o"/>
      <w:lvlJc w:val="left"/>
      <w:pPr>
        <w:tabs>
          <w:tab w:val="num" w:pos="5940"/>
        </w:tabs>
        <w:ind w:left="5940" w:hanging="360"/>
      </w:pPr>
      <w:rPr>
        <w:rFonts w:ascii="Courier New" w:hAnsi="Courier New" w:hint="default"/>
      </w:rPr>
    </w:lvl>
    <w:lvl w:ilvl="8" w:tplc="0C0A0005" w:tentative="1">
      <w:start w:val="1"/>
      <w:numFmt w:val="bullet"/>
      <w:lvlText w:val=""/>
      <w:lvlJc w:val="left"/>
      <w:pPr>
        <w:tabs>
          <w:tab w:val="num" w:pos="6660"/>
        </w:tabs>
        <w:ind w:left="6660" w:hanging="360"/>
      </w:pPr>
      <w:rPr>
        <w:rFonts w:ascii="Wingdings" w:hAnsi="Wingdings" w:hint="default"/>
      </w:rPr>
    </w:lvl>
  </w:abstractNum>
  <w:abstractNum w:abstractNumId="5">
    <w:nsid w:val="49563452"/>
    <w:multiLevelType w:val="hybridMultilevel"/>
    <w:tmpl w:val="EC92279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nsid w:val="57827099"/>
    <w:multiLevelType w:val="hybridMultilevel"/>
    <w:tmpl w:val="D94CEC66"/>
    <w:lvl w:ilvl="0" w:tplc="0C0A000B">
      <w:start w:val="1"/>
      <w:numFmt w:val="bullet"/>
      <w:lvlText w:val=""/>
      <w:lvlJc w:val="left"/>
      <w:pPr>
        <w:tabs>
          <w:tab w:val="num" w:pos="720"/>
        </w:tabs>
        <w:ind w:left="720" w:hanging="360"/>
      </w:pPr>
      <w:rPr>
        <w:rFonts w:ascii="Wingdings" w:hAnsi="Wingdings" w:hint="default"/>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7">
    <w:nsid w:val="656340AB"/>
    <w:multiLevelType w:val="hybridMultilevel"/>
    <w:tmpl w:val="27741760"/>
    <w:lvl w:ilvl="0" w:tplc="0C0A000F">
      <w:start w:val="1"/>
      <w:numFmt w:val="decimal"/>
      <w:lvlText w:val="%1."/>
      <w:lvlJc w:val="left"/>
      <w:pPr>
        <w:tabs>
          <w:tab w:val="num" w:pos="720"/>
        </w:tabs>
        <w:ind w:left="720" w:hanging="360"/>
      </w:pPr>
      <w:rPr>
        <w:rFonts w:cs="Times New Roman" w:hint="default"/>
      </w:rPr>
    </w:lvl>
    <w:lvl w:ilvl="1" w:tplc="0C0A0019" w:tentative="1">
      <w:start w:val="1"/>
      <w:numFmt w:val="lowerLetter"/>
      <w:lvlText w:val="%2."/>
      <w:lvlJc w:val="left"/>
      <w:pPr>
        <w:tabs>
          <w:tab w:val="num" w:pos="1440"/>
        </w:tabs>
        <w:ind w:left="1440" w:hanging="360"/>
      </w:pPr>
      <w:rPr>
        <w:rFonts w:cs="Times New Roman"/>
      </w:rPr>
    </w:lvl>
    <w:lvl w:ilvl="2" w:tplc="0C0A001B" w:tentative="1">
      <w:start w:val="1"/>
      <w:numFmt w:val="lowerRoman"/>
      <w:lvlText w:val="%3."/>
      <w:lvlJc w:val="right"/>
      <w:pPr>
        <w:tabs>
          <w:tab w:val="num" w:pos="2160"/>
        </w:tabs>
        <w:ind w:left="2160" w:hanging="180"/>
      </w:pPr>
      <w:rPr>
        <w:rFonts w:cs="Times New Roman"/>
      </w:rPr>
    </w:lvl>
    <w:lvl w:ilvl="3" w:tplc="0C0A000F" w:tentative="1">
      <w:start w:val="1"/>
      <w:numFmt w:val="decimal"/>
      <w:lvlText w:val="%4."/>
      <w:lvlJc w:val="left"/>
      <w:pPr>
        <w:tabs>
          <w:tab w:val="num" w:pos="2880"/>
        </w:tabs>
        <w:ind w:left="2880" w:hanging="360"/>
      </w:pPr>
      <w:rPr>
        <w:rFonts w:cs="Times New Roman"/>
      </w:rPr>
    </w:lvl>
    <w:lvl w:ilvl="4" w:tplc="0C0A0019" w:tentative="1">
      <w:start w:val="1"/>
      <w:numFmt w:val="lowerLetter"/>
      <w:lvlText w:val="%5."/>
      <w:lvlJc w:val="left"/>
      <w:pPr>
        <w:tabs>
          <w:tab w:val="num" w:pos="3600"/>
        </w:tabs>
        <w:ind w:left="3600" w:hanging="360"/>
      </w:pPr>
      <w:rPr>
        <w:rFonts w:cs="Times New Roman"/>
      </w:rPr>
    </w:lvl>
    <w:lvl w:ilvl="5" w:tplc="0C0A001B" w:tentative="1">
      <w:start w:val="1"/>
      <w:numFmt w:val="lowerRoman"/>
      <w:lvlText w:val="%6."/>
      <w:lvlJc w:val="right"/>
      <w:pPr>
        <w:tabs>
          <w:tab w:val="num" w:pos="4320"/>
        </w:tabs>
        <w:ind w:left="4320" w:hanging="180"/>
      </w:pPr>
      <w:rPr>
        <w:rFonts w:cs="Times New Roman"/>
      </w:rPr>
    </w:lvl>
    <w:lvl w:ilvl="6" w:tplc="0C0A000F" w:tentative="1">
      <w:start w:val="1"/>
      <w:numFmt w:val="decimal"/>
      <w:lvlText w:val="%7."/>
      <w:lvlJc w:val="left"/>
      <w:pPr>
        <w:tabs>
          <w:tab w:val="num" w:pos="5040"/>
        </w:tabs>
        <w:ind w:left="5040" w:hanging="360"/>
      </w:pPr>
      <w:rPr>
        <w:rFonts w:cs="Times New Roman"/>
      </w:rPr>
    </w:lvl>
    <w:lvl w:ilvl="7" w:tplc="0C0A0019" w:tentative="1">
      <w:start w:val="1"/>
      <w:numFmt w:val="lowerLetter"/>
      <w:lvlText w:val="%8."/>
      <w:lvlJc w:val="left"/>
      <w:pPr>
        <w:tabs>
          <w:tab w:val="num" w:pos="5760"/>
        </w:tabs>
        <w:ind w:left="5760" w:hanging="360"/>
      </w:pPr>
      <w:rPr>
        <w:rFonts w:cs="Times New Roman"/>
      </w:rPr>
    </w:lvl>
    <w:lvl w:ilvl="8" w:tplc="0C0A001B" w:tentative="1">
      <w:start w:val="1"/>
      <w:numFmt w:val="lowerRoman"/>
      <w:lvlText w:val="%9."/>
      <w:lvlJc w:val="right"/>
      <w:pPr>
        <w:tabs>
          <w:tab w:val="num" w:pos="6480"/>
        </w:tabs>
        <w:ind w:left="6480" w:hanging="180"/>
      </w:pPr>
      <w:rPr>
        <w:rFonts w:cs="Times New Roman"/>
      </w:rPr>
    </w:lvl>
  </w:abstractNum>
  <w:num w:numId="1">
    <w:abstractNumId w:val="0"/>
  </w:num>
  <w:num w:numId="2">
    <w:abstractNumId w:val="0"/>
  </w:num>
  <w:num w:numId="3">
    <w:abstractNumId w:val="0"/>
  </w:num>
  <w:num w:numId="4">
    <w:abstractNumId w:val="0"/>
  </w:num>
  <w:num w:numId="5">
    <w:abstractNumId w:val="2"/>
  </w:num>
  <w:num w:numId="6">
    <w:abstractNumId w:val="4"/>
  </w:num>
  <w:num w:numId="7">
    <w:abstractNumId w:val="1"/>
  </w:num>
  <w:num w:numId="8">
    <w:abstractNumId w:val="7"/>
  </w:num>
  <w:num w:numId="9">
    <w:abstractNumId w:val="6"/>
  </w:num>
  <w:num w:numId="10">
    <w:abstractNumId w:val="3"/>
  </w:num>
  <w:num w:numId="11">
    <w:abstractNumId w:val="0"/>
  </w:num>
  <w:num w:numId="12">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stylePaneFormatFilter w:val="3F01"/>
  <w:trackRevisions/>
  <w:defaultTabStop w:val="708"/>
  <w:hyphenationZone w:val="425"/>
  <w:drawingGridHorizontalSpacing w:val="120"/>
  <w:displayHorizontalDrawingGridEvery w:val="2"/>
  <w:characterSpacingControl w:val="doNotCompress"/>
  <w:compat/>
  <w:rsids>
    <w:rsidRoot w:val="00883511"/>
    <w:rsid w:val="00011071"/>
    <w:rsid w:val="00025361"/>
    <w:rsid w:val="00033AA5"/>
    <w:rsid w:val="0004336C"/>
    <w:rsid w:val="0004564F"/>
    <w:rsid w:val="00052DED"/>
    <w:rsid w:val="00056A94"/>
    <w:rsid w:val="00063A63"/>
    <w:rsid w:val="00065AA0"/>
    <w:rsid w:val="00066B7C"/>
    <w:rsid w:val="00093354"/>
    <w:rsid w:val="000A494A"/>
    <w:rsid w:val="000D2F71"/>
    <w:rsid w:val="000E0F9D"/>
    <w:rsid w:val="000E3946"/>
    <w:rsid w:val="000E60EC"/>
    <w:rsid w:val="000F514E"/>
    <w:rsid w:val="000F72CC"/>
    <w:rsid w:val="0010721B"/>
    <w:rsid w:val="00113F06"/>
    <w:rsid w:val="0011624E"/>
    <w:rsid w:val="00125265"/>
    <w:rsid w:val="00132911"/>
    <w:rsid w:val="00137D85"/>
    <w:rsid w:val="0014381F"/>
    <w:rsid w:val="001450B0"/>
    <w:rsid w:val="00154CAF"/>
    <w:rsid w:val="00156269"/>
    <w:rsid w:val="00167F7C"/>
    <w:rsid w:val="00171899"/>
    <w:rsid w:val="00184BC5"/>
    <w:rsid w:val="00184DCA"/>
    <w:rsid w:val="00185225"/>
    <w:rsid w:val="001960A4"/>
    <w:rsid w:val="001B5112"/>
    <w:rsid w:val="001B7459"/>
    <w:rsid w:val="001C7878"/>
    <w:rsid w:val="001D3D28"/>
    <w:rsid w:val="001D53F4"/>
    <w:rsid w:val="001E03CB"/>
    <w:rsid w:val="001E1AB8"/>
    <w:rsid w:val="001E266C"/>
    <w:rsid w:val="002009E7"/>
    <w:rsid w:val="00210CC3"/>
    <w:rsid w:val="0022165A"/>
    <w:rsid w:val="00222B96"/>
    <w:rsid w:val="00224B62"/>
    <w:rsid w:val="00230784"/>
    <w:rsid w:val="0023482E"/>
    <w:rsid w:val="002376BF"/>
    <w:rsid w:val="00257169"/>
    <w:rsid w:val="00263EC1"/>
    <w:rsid w:val="002660B6"/>
    <w:rsid w:val="00266582"/>
    <w:rsid w:val="00266F3E"/>
    <w:rsid w:val="002672E0"/>
    <w:rsid w:val="0027231A"/>
    <w:rsid w:val="00280990"/>
    <w:rsid w:val="002815E3"/>
    <w:rsid w:val="0029220E"/>
    <w:rsid w:val="002B76B3"/>
    <w:rsid w:val="002B7CFD"/>
    <w:rsid w:val="002C08F3"/>
    <w:rsid w:val="002C0D48"/>
    <w:rsid w:val="002C27A6"/>
    <w:rsid w:val="002E4AA3"/>
    <w:rsid w:val="00313AFE"/>
    <w:rsid w:val="00315237"/>
    <w:rsid w:val="00317518"/>
    <w:rsid w:val="003331A0"/>
    <w:rsid w:val="00335D1A"/>
    <w:rsid w:val="00366A1D"/>
    <w:rsid w:val="00376E73"/>
    <w:rsid w:val="00382959"/>
    <w:rsid w:val="0039043E"/>
    <w:rsid w:val="003A2037"/>
    <w:rsid w:val="003A2D55"/>
    <w:rsid w:val="003A6E9E"/>
    <w:rsid w:val="003B7975"/>
    <w:rsid w:val="003C273E"/>
    <w:rsid w:val="003D17C3"/>
    <w:rsid w:val="003D2DE9"/>
    <w:rsid w:val="003D5054"/>
    <w:rsid w:val="003E0602"/>
    <w:rsid w:val="003E7DC8"/>
    <w:rsid w:val="0040270C"/>
    <w:rsid w:val="00415307"/>
    <w:rsid w:val="0042282C"/>
    <w:rsid w:val="00432A72"/>
    <w:rsid w:val="00453B37"/>
    <w:rsid w:val="00463963"/>
    <w:rsid w:val="00465814"/>
    <w:rsid w:val="00466299"/>
    <w:rsid w:val="00470366"/>
    <w:rsid w:val="00484D95"/>
    <w:rsid w:val="00486B70"/>
    <w:rsid w:val="004A179C"/>
    <w:rsid w:val="004A2C6C"/>
    <w:rsid w:val="004D16DF"/>
    <w:rsid w:val="004D68B9"/>
    <w:rsid w:val="004E19CA"/>
    <w:rsid w:val="004E3639"/>
    <w:rsid w:val="004E6669"/>
    <w:rsid w:val="004F148A"/>
    <w:rsid w:val="004F405B"/>
    <w:rsid w:val="00500B26"/>
    <w:rsid w:val="005030FC"/>
    <w:rsid w:val="00504227"/>
    <w:rsid w:val="00507ECA"/>
    <w:rsid w:val="00532E4E"/>
    <w:rsid w:val="0054267C"/>
    <w:rsid w:val="00555901"/>
    <w:rsid w:val="005709A3"/>
    <w:rsid w:val="00590BA5"/>
    <w:rsid w:val="005A4790"/>
    <w:rsid w:val="005A6C61"/>
    <w:rsid w:val="005E0ED1"/>
    <w:rsid w:val="005E6991"/>
    <w:rsid w:val="005E78F1"/>
    <w:rsid w:val="005F54FD"/>
    <w:rsid w:val="005F755D"/>
    <w:rsid w:val="0060025E"/>
    <w:rsid w:val="006054B6"/>
    <w:rsid w:val="006103CA"/>
    <w:rsid w:val="0061697F"/>
    <w:rsid w:val="006174E1"/>
    <w:rsid w:val="00621B71"/>
    <w:rsid w:val="00631684"/>
    <w:rsid w:val="0063313F"/>
    <w:rsid w:val="006362C5"/>
    <w:rsid w:val="00645C43"/>
    <w:rsid w:val="00664989"/>
    <w:rsid w:val="00677D94"/>
    <w:rsid w:val="006838D1"/>
    <w:rsid w:val="00683D85"/>
    <w:rsid w:val="00687324"/>
    <w:rsid w:val="00687640"/>
    <w:rsid w:val="006A1C0E"/>
    <w:rsid w:val="006A34D2"/>
    <w:rsid w:val="006B1927"/>
    <w:rsid w:val="006B6F66"/>
    <w:rsid w:val="006C47B6"/>
    <w:rsid w:val="006C5CBF"/>
    <w:rsid w:val="006D01CA"/>
    <w:rsid w:val="006D0DA5"/>
    <w:rsid w:val="006D26EC"/>
    <w:rsid w:val="006D369E"/>
    <w:rsid w:val="006E03C6"/>
    <w:rsid w:val="006F04AA"/>
    <w:rsid w:val="006F371E"/>
    <w:rsid w:val="006F373D"/>
    <w:rsid w:val="006F7919"/>
    <w:rsid w:val="007214D4"/>
    <w:rsid w:val="00737982"/>
    <w:rsid w:val="0074485D"/>
    <w:rsid w:val="00751359"/>
    <w:rsid w:val="0078052F"/>
    <w:rsid w:val="007A22C1"/>
    <w:rsid w:val="007A6CA5"/>
    <w:rsid w:val="007A74E2"/>
    <w:rsid w:val="007B7815"/>
    <w:rsid w:val="007C0FA5"/>
    <w:rsid w:val="007C4BA5"/>
    <w:rsid w:val="007E7DBB"/>
    <w:rsid w:val="00801A2D"/>
    <w:rsid w:val="0080666B"/>
    <w:rsid w:val="00813073"/>
    <w:rsid w:val="00817EE3"/>
    <w:rsid w:val="00840EE7"/>
    <w:rsid w:val="008428D4"/>
    <w:rsid w:val="008769C3"/>
    <w:rsid w:val="00883511"/>
    <w:rsid w:val="00884A5D"/>
    <w:rsid w:val="00886E7B"/>
    <w:rsid w:val="00890C10"/>
    <w:rsid w:val="00891C4F"/>
    <w:rsid w:val="00893E88"/>
    <w:rsid w:val="00895087"/>
    <w:rsid w:val="008A0467"/>
    <w:rsid w:val="008A1984"/>
    <w:rsid w:val="008B305D"/>
    <w:rsid w:val="008C48EA"/>
    <w:rsid w:val="008C5D07"/>
    <w:rsid w:val="008E537A"/>
    <w:rsid w:val="008F6BDC"/>
    <w:rsid w:val="009105D5"/>
    <w:rsid w:val="009112E6"/>
    <w:rsid w:val="0091370F"/>
    <w:rsid w:val="00913F5E"/>
    <w:rsid w:val="00914337"/>
    <w:rsid w:val="0092031C"/>
    <w:rsid w:val="00926FD5"/>
    <w:rsid w:val="00935251"/>
    <w:rsid w:val="009434B1"/>
    <w:rsid w:val="00947C16"/>
    <w:rsid w:val="009739B7"/>
    <w:rsid w:val="0099485C"/>
    <w:rsid w:val="009A200D"/>
    <w:rsid w:val="009C5B49"/>
    <w:rsid w:val="009D78DF"/>
    <w:rsid w:val="009F082C"/>
    <w:rsid w:val="009F3F63"/>
    <w:rsid w:val="009F6B63"/>
    <w:rsid w:val="009F7905"/>
    <w:rsid w:val="009F7BCD"/>
    <w:rsid w:val="00A04898"/>
    <w:rsid w:val="00A05787"/>
    <w:rsid w:val="00A132EA"/>
    <w:rsid w:val="00A24094"/>
    <w:rsid w:val="00A41929"/>
    <w:rsid w:val="00A54FA7"/>
    <w:rsid w:val="00A61215"/>
    <w:rsid w:val="00A71CD7"/>
    <w:rsid w:val="00A72F49"/>
    <w:rsid w:val="00A753DE"/>
    <w:rsid w:val="00A86E63"/>
    <w:rsid w:val="00A92A89"/>
    <w:rsid w:val="00AA1E0F"/>
    <w:rsid w:val="00AC43B6"/>
    <w:rsid w:val="00AE4153"/>
    <w:rsid w:val="00AF2E84"/>
    <w:rsid w:val="00AF40E1"/>
    <w:rsid w:val="00B06CF7"/>
    <w:rsid w:val="00B252FF"/>
    <w:rsid w:val="00B27042"/>
    <w:rsid w:val="00B53274"/>
    <w:rsid w:val="00B828A0"/>
    <w:rsid w:val="00B86395"/>
    <w:rsid w:val="00BA2D91"/>
    <w:rsid w:val="00BB5540"/>
    <w:rsid w:val="00BC3128"/>
    <w:rsid w:val="00BD5275"/>
    <w:rsid w:val="00BD72E6"/>
    <w:rsid w:val="00BE7B77"/>
    <w:rsid w:val="00BF19DE"/>
    <w:rsid w:val="00C32E16"/>
    <w:rsid w:val="00C339AA"/>
    <w:rsid w:val="00C36867"/>
    <w:rsid w:val="00C4306C"/>
    <w:rsid w:val="00C4512D"/>
    <w:rsid w:val="00C53CE7"/>
    <w:rsid w:val="00C70626"/>
    <w:rsid w:val="00C822DA"/>
    <w:rsid w:val="00C84705"/>
    <w:rsid w:val="00CA789B"/>
    <w:rsid w:val="00CB78F6"/>
    <w:rsid w:val="00CD03F5"/>
    <w:rsid w:val="00CF2327"/>
    <w:rsid w:val="00CF5A0F"/>
    <w:rsid w:val="00CF5FEE"/>
    <w:rsid w:val="00CF7DC6"/>
    <w:rsid w:val="00D14385"/>
    <w:rsid w:val="00D21D41"/>
    <w:rsid w:val="00D25404"/>
    <w:rsid w:val="00D4439E"/>
    <w:rsid w:val="00D50B51"/>
    <w:rsid w:val="00D873F6"/>
    <w:rsid w:val="00D95FD9"/>
    <w:rsid w:val="00DA11CA"/>
    <w:rsid w:val="00DA6F68"/>
    <w:rsid w:val="00DA77AA"/>
    <w:rsid w:val="00DB5F24"/>
    <w:rsid w:val="00DD04F9"/>
    <w:rsid w:val="00DD157C"/>
    <w:rsid w:val="00DF2109"/>
    <w:rsid w:val="00E121BE"/>
    <w:rsid w:val="00E16039"/>
    <w:rsid w:val="00E46639"/>
    <w:rsid w:val="00E571AF"/>
    <w:rsid w:val="00E5759A"/>
    <w:rsid w:val="00E640EF"/>
    <w:rsid w:val="00E840FC"/>
    <w:rsid w:val="00E961B5"/>
    <w:rsid w:val="00EA1B9C"/>
    <w:rsid w:val="00EC0990"/>
    <w:rsid w:val="00EC6174"/>
    <w:rsid w:val="00ED0D4F"/>
    <w:rsid w:val="00EE2B56"/>
    <w:rsid w:val="00EE3D81"/>
    <w:rsid w:val="00EE5759"/>
    <w:rsid w:val="00EE69A7"/>
    <w:rsid w:val="00EF0CDF"/>
    <w:rsid w:val="00EF17AE"/>
    <w:rsid w:val="00EF303C"/>
    <w:rsid w:val="00F0101F"/>
    <w:rsid w:val="00F05AED"/>
    <w:rsid w:val="00F203E8"/>
    <w:rsid w:val="00F32A13"/>
    <w:rsid w:val="00F4101A"/>
    <w:rsid w:val="00F42EF5"/>
    <w:rsid w:val="00F62B51"/>
    <w:rsid w:val="00F714EA"/>
    <w:rsid w:val="00F74E01"/>
    <w:rsid w:val="00FA6787"/>
    <w:rsid w:val="00FB7C29"/>
    <w:rsid w:val="00FC4A9A"/>
    <w:rsid w:val="00FD5F0E"/>
    <w:rsid w:val="00FD7055"/>
    <w:rsid w:val="00FE388D"/>
    <w:rsid w:val="00FF108F"/>
    <w:rsid w:val="00FF72D6"/>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uiPriority="0" w:qFormat="1"/>
    <w:lsdException w:name="heading 4" w:locked="1" w:semiHidden="0" w:uiPriority="0" w:unhideWhenUsed="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83511"/>
    <w:rPr>
      <w:sz w:val="24"/>
      <w:szCs w:val="24"/>
    </w:rPr>
  </w:style>
  <w:style w:type="paragraph" w:styleId="Ttulo2">
    <w:name w:val="heading 2"/>
    <w:basedOn w:val="Normal"/>
    <w:link w:val="Ttulo2Car"/>
    <w:uiPriority w:val="99"/>
    <w:qFormat/>
    <w:rsid w:val="00AC43B6"/>
    <w:pPr>
      <w:spacing w:before="100" w:beforeAutospacing="1" w:after="100" w:afterAutospacing="1"/>
      <w:outlineLvl w:val="1"/>
    </w:pPr>
    <w:rPr>
      <w:rFonts w:ascii="Cambria" w:hAnsi="Cambria"/>
      <w:b/>
      <w:bCs/>
      <w:i/>
      <w:iCs/>
      <w:sz w:val="28"/>
      <w:szCs w:val="28"/>
    </w:rPr>
  </w:style>
  <w:style w:type="paragraph" w:styleId="Ttulo4">
    <w:name w:val="heading 4"/>
    <w:basedOn w:val="Normal"/>
    <w:next w:val="Normal"/>
    <w:link w:val="Ttulo4Car"/>
    <w:uiPriority w:val="99"/>
    <w:qFormat/>
    <w:rsid w:val="00B86395"/>
    <w:pPr>
      <w:keepNext/>
      <w:spacing w:before="240" w:after="60"/>
      <w:outlineLvl w:val="3"/>
    </w:pPr>
    <w:rPr>
      <w:rFonts w:ascii="Calibri" w:hAnsi="Calibri"/>
      <w:b/>
      <w:bCs/>
      <w:sz w:val="28"/>
      <w:szCs w:val="2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2Car">
    <w:name w:val="Título 2 Car"/>
    <w:basedOn w:val="Fuentedeprrafopredeter"/>
    <w:link w:val="Ttulo2"/>
    <w:uiPriority w:val="99"/>
    <w:semiHidden/>
    <w:locked/>
    <w:rsid w:val="009F7BCD"/>
    <w:rPr>
      <w:rFonts w:ascii="Cambria" w:hAnsi="Cambria"/>
      <w:b/>
      <w:i/>
      <w:sz w:val="28"/>
    </w:rPr>
  </w:style>
  <w:style w:type="character" w:customStyle="1" w:styleId="Ttulo4Car">
    <w:name w:val="Título 4 Car"/>
    <w:basedOn w:val="Fuentedeprrafopredeter"/>
    <w:link w:val="Ttulo4"/>
    <w:uiPriority w:val="99"/>
    <w:semiHidden/>
    <w:locked/>
    <w:rsid w:val="009F7BCD"/>
    <w:rPr>
      <w:rFonts w:ascii="Calibri" w:hAnsi="Calibri"/>
      <w:b/>
      <w:sz w:val="28"/>
    </w:rPr>
  </w:style>
  <w:style w:type="paragraph" w:styleId="Textoindependiente3">
    <w:name w:val="Body Text 3"/>
    <w:basedOn w:val="Normal"/>
    <w:link w:val="Textoindependiente3Car"/>
    <w:uiPriority w:val="99"/>
    <w:rsid w:val="00883511"/>
    <w:pPr>
      <w:spacing w:line="480" w:lineRule="auto"/>
      <w:jc w:val="both"/>
    </w:pPr>
    <w:rPr>
      <w:sz w:val="16"/>
      <w:szCs w:val="16"/>
    </w:rPr>
  </w:style>
  <w:style w:type="character" w:customStyle="1" w:styleId="Textoindependiente3Car">
    <w:name w:val="Texto independiente 3 Car"/>
    <w:basedOn w:val="Fuentedeprrafopredeter"/>
    <w:link w:val="Textoindependiente3"/>
    <w:uiPriority w:val="99"/>
    <w:semiHidden/>
    <w:locked/>
    <w:rsid w:val="009F7BCD"/>
    <w:rPr>
      <w:sz w:val="16"/>
    </w:rPr>
  </w:style>
  <w:style w:type="paragraph" w:styleId="Textoindependiente2">
    <w:name w:val="Body Text 2"/>
    <w:basedOn w:val="Normal"/>
    <w:link w:val="Textoindependiente2Car"/>
    <w:uiPriority w:val="99"/>
    <w:rsid w:val="00EC6174"/>
    <w:pPr>
      <w:spacing w:after="120" w:line="480" w:lineRule="auto"/>
    </w:pPr>
  </w:style>
  <w:style w:type="character" w:customStyle="1" w:styleId="Textoindependiente2Car">
    <w:name w:val="Texto independiente 2 Car"/>
    <w:basedOn w:val="Fuentedeprrafopredeter"/>
    <w:link w:val="Textoindependiente2"/>
    <w:uiPriority w:val="99"/>
    <w:semiHidden/>
    <w:locked/>
    <w:rsid w:val="009F7BCD"/>
    <w:rPr>
      <w:sz w:val="24"/>
    </w:rPr>
  </w:style>
  <w:style w:type="paragraph" w:styleId="Sangradetextonormal">
    <w:name w:val="Body Text Indent"/>
    <w:basedOn w:val="Normal"/>
    <w:link w:val="SangradetextonormalCar"/>
    <w:uiPriority w:val="99"/>
    <w:rsid w:val="00C53CE7"/>
    <w:pPr>
      <w:spacing w:after="120"/>
      <w:ind w:left="283"/>
    </w:pPr>
  </w:style>
  <w:style w:type="character" w:customStyle="1" w:styleId="SangradetextonormalCar">
    <w:name w:val="Sangría de texto normal Car"/>
    <w:basedOn w:val="Fuentedeprrafopredeter"/>
    <w:link w:val="Sangradetextonormal"/>
    <w:uiPriority w:val="99"/>
    <w:semiHidden/>
    <w:locked/>
    <w:rsid w:val="009F7BCD"/>
    <w:rPr>
      <w:sz w:val="24"/>
    </w:rPr>
  </w:style>
  <w:style w:type="paragraph" w:styleId="Textoindependiente">
    <w:name w:val="Body Text"/>
    <w:basedOn w:val="Normal"/>
    <w:link w:val="TextoindependienteCar"/>
    <w:uiPriority w:val="99"/>
    <w:rsid w:val="008E537A"/>
    <w:pPr>
      <w:spacing w:after="120"/>
    </w:pPr>
  </w:style>
  <w:style w:type="character" w:customStyle="1" w:styleId="TextoindependienteCar">
    <w:name w:val="Texto independiente Car"/>
    <w:basedOn w:val="Fuentedeprrafopredeter"/>
    <w:link w:val="Textoindependiente"/>
    <w:uiPriority w:val="99"/>
    <w:semiHidden/>
    <w:locked/>
    <w:rsid w:val="009F7BCD"/>
    <w:rPr>
      <w:sz w:val="24"/>
    </w:rPr>
  </w:style>
  <w:style w:type="character" w:styleId="CdigoHTML">
    <w:name w:val="HTML Code"/>
    <w:basedOn w:val="Fuentedeprrafopredeter"/>
    <w:uiPriority w:val="99"/>
    <w:rsid w:val="00AC43B6"/>
    <w:rPr>
      <w:rFonts w:ascii="Courier New" w:hAnsi="Courier New" w:cs="Times New Roman"/>
      <w:sz w:val="20"/>
    </w:rPr>
  </w:style>
  <w:style w:type="character" w:styleId="Hipervnculo">
    <w:name w:val="Hyperlink"/>
    <w:basedOn w:val="Fuentedeprrafopredeter"/>
    <w:uiPriority w:val="99"/>
    <w:rsid w:val="00AC43B6"/>
    <w:rPr>
      <w:rFonts w:cs="Times New Roman"/>
      <w:color w:val="0000FF"/>
      <w:u w:val="single"/>
    </w:rPr>
  </w:style>
  <w:style w:type="paragraph" w:styleId="NormalWeb">
    <w:name w:val="Normal (Web)"/>
    <w:basedOn w:val="Normal"/>
    <w:uiPriority w:val="99"/>
    <w:rsid w:val="00DD157C"/>
    <w:pPr>
      <w:spacing w:before="100" w:beforeAutospacing="1" w:after="100" w:afterAutospacing="1"/>
    </w:pPr>
  </w:style>
  <w:style w:type="character" w:customStyle="1" w:styleId="hps">
    <w:name w:val="hps"/>
    <w:uiPriority w:val="99"/>
    <w:rsid w:val="005F54FD"/>
  </w:style>
  <w:style w:type="character" w:customStyle="1" w:styleId="atn">
    <w:name w:val="atn"/>
    <w:uiPriority w:val="99"/>
    <w:rsid w:val="005F54FD"/>
  </w:style>
  <w:style w:type="character" w:customStyle="1" w:styleId="hpsatn">
    <w:name w:val="hps atn"/>
    <w:uiPriority w:val="99"/>
    <w:rsid w:val="005F54FD"/>
  </w:style>
  <w:style w:type="character" w:customStyle="1" w:styleId="longtext">
    <w:name w:val="long_text"/>
    <w:uiPriority w:val="99"/>
    <w:rsid w:val="005F54FD"/>
  </w:style>
  <w:style w:type="paragraph" w:styleId="Piedepgina">
    <w:name w:val="footer"/>
    <w:basedOn w:val="Normal"/>
    <w:link w:val="PiedepginaCar"/>
    <w:uiPriority w:val="99"/>
    <w:rsid w:val="002C27A6"/>
    <w:pPr>
      <w:tabs>
        <w:tab w:val="center" w:pos="4419"/>
        <w:tab w:val="right" w:pos="8838"/>
      </w:tabs>
    </w:pPr>
    <w:rPr>
      <w:rFonts w:ascii="Arial" w:hAnsi="Arial"/>
      <w:szCs w:val="20"/>
      <w:lang w:val="es-MX"/>
    </w:rPr>
  </w:style>
  <w:style w:type="character" w:customStyle="1" w:styleId="PiedepginaCar">
    <w:name w:val="Pie de página Car"/>
    <w:basedOn w:val="Fuentedeprrafopredeter"/>
    <w:link w:val="Piedepgina"/>
    <w:uiPriority w:val="99"/>
    <w:locked/>
    <w:rsid w:val="002C27A6"/>
    <w:rPr>
      <w:rFonts w:ascii="Arial" w:hAnsi="Arial"/>
      <w:sz w:val="24"/>
      <w:lang w:val="es-MX" w:eastAsia="es-ES"/>
    </w:rPr>
  </w:style>
  <w:style w:type="paragraph" w:styleId="Listaconvietas">
    <w:name w:val="List Bullet"/>
    <w:basedOn w:val="Normal"/>
    <w:uiPriority w:val="99"/>
    <w:rsid w:val="00F4101A"/>
    <w:pPr>
      <w:tabs>
        <w:tab w:val="num" w:pos="360"/>
      </w:tabs>
      <w:ind w:left="360" w:hanging="360"/>
    </w:pPr>
  </w:style>
  <w:style w:type="character" w:customStyle="1" w:styleId="st">
    <w:name w:val="st"/>
    <w:uiPriority w:val="99"/>
    <w:rsid w:val="00CF2327"/>
  </w:style>
  <w:style w:type="paragraph" w:customStyle="1" w:styleId="EstiloTtulo3ArialJustificadoAntes6ptoDespus0pto">
    <w:name w:val="Estilo Título 3 + Arial Justificado Antes:  6 pto Después:  0 pto..."/>
    <w:basedOn w:val="Ttulo4"/>
    <w:uiPriority w:val="99"/>
    <w:rsid w:val="00B86395"/>
    <w:pPr>
      <w:spacing w:before="120" w:after="0" w:line="360" w:lineRule="auto"/>
      <w:jc w:val="both"/>
    </w:pPr>
    <w:rPr>
      <w:rFonts w:ascii="Arial" w:hAnsi="Arial"/>
      <w:bCs w:val="0"/>
      <w:sz w:val="24"/>
      <w:lang w:val="en-US"/>
    </w:rPr>
  </w:style>
  <w:style w:type="character" w:styleId="Nmerodelnea">
    <w:name w:val="line number"/>
    <w:basedOn w:val="Fuentedeprrafopredeter"/>
    <w:uiPriority w:val="99"/>
    <w:rsid w:val="0092031C"/>
    <w:rPr>
      <w:rFonts w:cs="Times New Roman"/>
    </w:rPr>
  </w:style>
  <w:style w:type="paragraph" w:styleId="Textodeglobo">
    <w:name w:val="Balloon Text"/>
    <w:basedOn w:val="Normal"/>
    <w:link w:val="TextodegloboCar"/>
    <w:uiPriority w:val="99"/>
    <w:rsid w:val="00507ECA"/>
    <w:rPr>
      <w:rFonts w:ascii="Tahoma" w:hAnsi="Tahoma"/>
      <w:sz w:val="16"/>
      <w:szCs w:val="16"/>
    </w:rPr>
  </w:style>
  <w:style w:type="character" w:customStyle="1" w:styleId="TextodegloboCar">
    <w:name w:val="Texto de globo Car"/>
    <w:basedOn w:val="Fuentedeprrafopredeter"/>
    <w:link w:val="Textodeglobo"/>
    <w:uiPriority w:val="99"/>
    <w:locked/>
    <w:rsid w:val="00507ECA"/>
    <w:rPr>
      <w:rFonts w:ascii="Tahoma" w:hAnsi="Tahoma"/>
      <w:sz w:val="16"/>
      <w:lang w:val="es-ES" w:eastAsia="es-ES"/>
    </w:rPr>
  </w:style>
  <w:style w:type="character" w:styleId="Refdecomentario">
    <w:name w:val="annotation reference"/>
    <w:basedOn w:val="Fuentedeprrafopredeter"/>
    <w:uiPriority w:val="99"/>
    <w:rsid w:val="00E121BE"/>
    <w:rPr>
      <w:rFonts w:cs="Times New Roman"/>
      <w:sz w:val="16"/>
    </w:rPr>
  </w:style>
  <w:style w:type="paragraph" w:styleId="Textocomentario">
    <w:name w:val="annotation text"/>
    <w:basedOn w:val="Normal"/>
    <w:link w:val="TextocomentarioCar"/>
    <w:uiPriority w:val="99"/>
    <w:rsid w:val="00E121BE"/>
    <w:rPr>
      <w:sz w:val="20"/>
      <w:szCs w:val="20"/>
    </w:rPr>
  </w:style>
  <w:style w:type="character" w:customStyle="1" w:styleId="TextocomentarioCar">
    <w:name w:val="Texto comentario Car"/>
    <w:basedOn w:val="Fuentedeprrafopredeter"/>
    <w:link w:val="Textocomentario"/>
    <w:uiPriority w:val="99"/>
    <w:locked/>
    <w:rsid w:val="00E121BE"/>
    <w:rPr>
      <w:lang w:val="es-ES" w:eastAsia="es-ES"/>
    </w:rPr>
  </w:style>
  <w:style w:type="paragraph" w:styleId="Asuntodelcomentario">
    <w:name w:val="annotation subject"/>
    <w:basedOn w:val="Textocomentario"/>
    <w:next w:val="Textocomentario"/>
    <w:link w:val="AsuntodelcomentarioCar"/>
    <w:uiPriority w:val="99"/>
    <w:rsid w:val="00E121BE"/>
    <w:rPr>
      <w:b/>
      <w:bCs/>
    </w:rPr>
  </w:style>
  <w:style w:type="character" w:customStyle="1" w:styleId="AsuntodelcomentarioCar">
    <w:name w:val="Asunto del comentario Car"/>
    <w:basedOn w:val="TextocomentarioCar"/>
    <w:link w:val="Asuntodelcomentario"/>
    <w:uiPriority w:val="99"/>
    <w:locked/>
    <w:rsid w:val="00E121BE"/>
    <w:rPr>
      <w:b/>
    </w:rPr>
  </w:style>
  <w:style w:type="paragraph" w:styleId="Revisin">
    <w:name w:val="Revision"/>
    <w:hidden/>
    <w:uiPriority w:val="99"/>
    <w:semiHidden/>
    <w:rsid w:val="00E121BE"/>
    <w:rPr>
      <w:sz w:val="24"/>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revfacagronluz.org.ve" TargetMode="Externa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13</Pages>
  <Words>5480</Words>
  <Characters>31236</Characters>
  <Application>Microsoft Office Word</Application>
  <DocSecurity>0</DocSecurity>
  <Lines>260</Lines>
  <Paragraphs>73</Paragraphs>
  <ScaleCrop>false</ScaleCrop>
  <HeadingPairs>
    <vt:vector size="2" baseType="variant">
      <vt:variant>
        <vt:lpstr>Título</vt:lpstr>
      </vt:variant>
      <vt:variant>
        <vt:i4>1</vt:i4>
      </vt:variant>
    </vt:vector>
  </HeadingPairs>
  <TitlesOfParts>
    <vt:vector size="1" baseType="lpstr">
      <vt:lpstr>Empleo del Sistema de Inmersión Temporal para la multiplicación del clon de plátano vianda INIVITPV06-30 y su generalización en las biofábricas</vt:lpstr>
    </vt:vector>
  </TitlesOfParts>
  <Company>inivit</Company>
  <LinksUpToDate>false</LinksUpToDate>
  <CharactersWithSpaces>36643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Empleo del Sistema de Inmersión Temporal para la multiplicación del clon de plátano vianda INIVITPV06-30 y su generalización en las biofábricas</dc:title>
  <dc:creator>mily</dc:creator>
  <cp:lastModifiedBy>Organización</cp:lastModifiedBy>
  <cp:revision>2</cp:revision>
  <dcterms:created xsi:type="dcterms:W3CDTF">2013-08-13T19:09:00Z</dcterms:created>
  <dcterms:modified xsi:type="dcterms:W3CDTF">2013-08-13T19:09:00Z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1012892618</vt:i4>
  </property>
  <property fmtid="{D5CDD505-2E9C-101B-9397-08002B2CF9AE}" pid="3" name="_NewReviewCycle">
    <vt:lpwstr/>
  </property>
  <property fmtid="{D5CDD505-2E9C-101B-9397-08002B2CF9AE}" pid="4" name="_EmailSubject">
    <vt:lpwstr>REF: 19-61 REV COL BIOTECNOLOGIA. ULTIMA APROBACION FINAL. ULTIMO AVISO</vt:lpwstr>
  </property>
  <property fmtid="{D5CDD505-2E9C-101B-9397-08002B2CF9AE}" pid="5" name="_AuthorEmail">
    <vt:lpwstr>revcbib_bog@unal.edu.co</vt:lpwstr>
  </property>
  <property fmtid="{D5CDD505-2E9C-101B-9397-08002B2CF9AE}" pid="6" name="_AuthorEmailDisplayName">
    <vt:lpwstr>Revista Colombiana de Biotecnologia</vt:lpwstr>
  </property>
  <property fmtid="{D5CDD505-2E9C-101B-9397-08002B2CF9AE}" pid="7" name="_PreviousAdHocReviewCycleID">
    <vt:i4>701309394</vt:i4>
  </property>
  <property fmtid="{D5CDD505-2E9C-101B-9397-08002B2CF9AE}" pid="8" name="_ReviewingToolsShownOnce">
    <vt:lpwstr/>
  </property>
</Properties>
</file>