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B6" w:rsidRDefault="00EC0D6F" w:rsidP="00EC0D6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M</w:t>
      </w:r>
      <w:r w:rsidR="00343EB6">
        <w:rPr>
          <w:rFonts w:ascii="Times New Roman" w:hAnsi="Times New Roman" w:cs="Times New Roman"/>
          <w:b/>
          <w:sz w:val="24"/>
          <w:szCs w:val="24"/>
        </w:rPr>
        <w:t xml:space="preserve">étodos de conservación para </w:t>
      </w:r>
      <w:proofErr w:type="spellStart"/>
      <w:r w:rsidR="00343EB6">
        <w:rPr>
          <w:rFonts w:ascii="Times New Roman" w:hAnsi="Times New Roman" w:cs="Times New Roman"/>
          <w:b/>
          <w:sz w:val="24"/>
          <w:szCs w:val="24"/>
        </w:rPr>
        <w:t>actinobacterias</w:t>
      </w:r>
      <w:proofErr w:type="spellEnd"/>
      <w:r w:rsidR="00343EB6">
        <w:rPr>
          <w:rFonts w:ascii="Times New Roman" w:hAnsi="Times New Roman" w:cs="Times New Roman"/>
          <w:b/>
          <w:sz w:val="24"/>
          <w:szCs w:val="24"/>
        </w:rPr>
        <w:t xml:space="preserve"> con actividad solubilizadora de fósforo</w:t>
      </w:r>
    </w:p>
    <w:p w:rsidR="00EC0D6F" w:rsidRDefault="00EC0D6F" w:rsidP="00EC0D6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4420">
        <w:rPr>
          <w:rFonts w:ascii="Times New Roman" w:hAnsi="Times New Roman" w:cs="Times New Roman"/>
          <w:sz w:val="24"/>
          <w:szCs w:val="24"/>
          <w:lang w:val="en-US"/>
        </w:rPr>
        <w:t xml:space="preserve">Conservation methods for </w:t>
      </w:r>
      <w:proofErr w:type="spellStart"/>
      <w:r w:rsidR="005E73B3" w:rsidRPr="00EF4420">
        <w:rPr>
          <w:rFonts w:ascii="Times New Roman" w:hAnsi="Times New Roman" w:cs="Times New Roman"/>
          <w:sz w:val="24"/>
          <w:szCs w:val="24"/>
          <w:lang w:val="en-US"/>
        </w:rPr>
        <w:t>actinobacterias</w:t>
      </w:r>
      <w:proofErr w:type="spellEnd"/>
      <w:r w:rsidRPr="00EF4420">
        <w:rPr>
          <w:rFonts w:ascii="Times New Roman" w:hAnsi="Times New Roman" w:cs="Times New Roman"/>
          <w:sz w:val="24"/>
          <w:szCs w:val="24"/>
          <w:lang w:val="en-US"/>
        </w:rPr>
        <w:t xml:space="preserve"> with phosphate </w:t>
      </w:r>
      <w:proofErr w:type="spellStart"/>
      <w:r w:rsidRPr="00EF4420">
        <w:rPr>
          <w:rFonts w:ascii="Times New Roman" w:hAnsi="Times New Roman" w:cs="Times New Roman"/>
          <w:sz w:val="24"/>
          <w:szCs w:val="24"/>
          <w:lang w:val="en-US"/>
        </w:rPr>
        <w:t>solubilizing</w:t>
      </w:r>
      <w:proofErr w:type="spellEnd"/>
      <w:r w:rsidRPr="00EF4420">
        <w:rPr>
          <w:rFonts w:ascii="Times New Roman" w:hAnsi="Times New Roman" w:cs="Times New Roman"/>
          <w:sz w:val="24"/>
          <w:szCs w:val="24"/>
          <w:lang w:val="en-US"/>
        </w:rPr>
        <w:t xml:space="preserve"> activity </w:t>
      </w:r>
    </w:p>
    <w:p w:rsidR="00237996" w:rsidRPr="008B0A58" w:rsidRDefault="00237996" w:rsidP="00EC0D6F">
      <w:pPr>
        <w:rPr>
          <w:rFonts w:ascii="Times New Roman" w:hAnsi="Times New Roman" w:cs="Times New Roman"/>
          <w:sz w:val="24"/>
          <w:szCs w:val="24"/>
        </w:rPr>
      </w:pPr>
      <w:r w:rsidRPr="008B0A58">
        <w:rPr>
          <w:rFonts w:ascii="Times New Roman" w:hAnsi="Times New Roman" w:cs="Times New Roman"/>
          <w:sz w:val="24"/>
          <w:szCs w:val="24"/>
        </w:rPr>
        <w:t xml:space="preserve">TÍTULO corto: </w:t>
      </w:r>
      <w:r>
        <w:rPr>
          <w:rFonts w:ascii="Times New Roman" w:hAnsi="Times New Roman" w:cs="Times New Roman"/>
          <w:b/>
          <w:sz w:val="24"/>
          <w:szCs w:val="24"/>
        </w:rPr>
        <w:t xml:space="preserve">Métodos de conservación para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actinobacterias</w:t>
      </w:r>
      <w:proofErr w:type="spellEnd"/>
    </w:p>
    <w:p w:rsidR="00EC0D6F" w:rsidRPr="00271072" w:rsidRDefault="00964699" w:rsidP="00EC0D6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Tatiana Ortiz</w:t>
      </w:r>
      <w:r w:rsidR="00AA4435">
        <w:rPr>
          <w:rFonts w:ascii="Times New Roman" w:hAnsi="Times New Roman" w:cs="Times New Roman"/>
          <w:i/>
          <w:sz w:val="24"/>
          <w:szCs w:val="24"/>
        </w:rPr>
        <w:t>*</w:t>
      </w:r>
      <w:r w:rsidR="00271072" w:rsidRPr="00271072">
        <w:rPr>
          <w:rFonts w:ascii="Times New Roman" w:hAnsi="Times New Roman" w:cs="Times New Roman"/>
          <w:i/>
          <w:sz w:val="24"/>
          <w:szCs w:val="24"/>
        </w:rPr>
        <w:t>, Valeria Ocampo</w:t>
      </w:r>
      <w:r w:rsidR="00FB1B85">
        <w:rPr>
          <w:rFonts w:ascii="Times New Roman" w:hAnsi="Times New Roman" w:cs="Times New Roman"/>
          <w:i/>
          <w:sz w:val="24"/>
          <w:szCs w:val="24"/>
        </w:rPr>
        <w:t>*</w:t>
      </w:r>
      <w:r w:rsidR="00271072" w:rsidRPr="00271072">
        <w:rPr>
          <w:rFonts w:ascii="Times New Roman" w:hAnsi="Times New Roman" w:cs="Times New Roman"/>
          <w:i/>
          <w:sz w:val="24"/>
          <w:szCs w:val="24"/>
        </w:rPr>
        <w:t>*, Luis Daniel Prada</w:t>
      </w:r>
      <w:r w:rsidR="00FB1B85">
        <w:rPr>
          <w:rFonts w:ascii="Times New Roman" w:hAnsi="Times New Roman" w:cs="Times New Roman"/>
          <w:i/>
          <w:sz w:val="24"/>
          <w:szCs w:val="24"/>
        </w:rPr>
        <w:t>*</w:t>
      </w:r>
      <w:r w:rsidR="00271072" w:rsidRPr="00271072">
        <w:rPr>
          <w:rFonts w:ascii="Times New Roman" w:hAnsi="Times New Roman" w:cs="Times New Roman"/>
          <w:i/>
          <w:sz w:val="24"/>
          <w:szCs w:val="24"/>
        </w:rPr>
        <w:t>*</w:t>
      </w:r>
      <w:proofErr w:type="gramStart"/>
      <w:r w:rsidR="00271072" w:rsidRPr="00271072">
        <w:rPr>
          <w:rFonts w:ascii="Times New Roman" w:hAnsi="Times New Roman" w:cs="Times New Roman"/>
          <w:i/>
          <w:sz w:val="24"/>
          <w:szCs w:val="24"/>
        </w:rPr>
        <w:t>* ,</w:t>
      </w:r>
      <w:proofErr w:type="gramEnd"/>
      <w:r w:rsidR="00271072" w:rsidRPr="00271072">
        <w:rPr>
          <w:rFonts w:ascii="Times New Roman" w:hAnsi="Times New Roman" w:cs="Times New Roman"/>
          <w:i/>
          <w:sz w:val="24"/>
          <w:szCs w:val="24"/>
        </w:rPr>
        <w:t xml:space="preserve"> Marcela Franco</w:t>
      </w:r>
      <w:r w:rsidR="00943003">
        <w:rPr>
          <w:rFonts w:ascii="Times New Roman" w:hAnsi="Times New Roman" w:cs="Times New Roman"/>
          <w:i/>
          <w:sz w:val="24"/>
          <w:szCs w:val="24"/>
        </w:rPr>
        <w:t>-Correa</w:t>
      </w:r>
      <w:r w:rsidR="00FB1B85">
        <w:rPr>
          <w:rFonts w:ascii="Times New Roman" w:hAnsi="Times New Roman" w:cs="Times New Roman"/>
          <w:i/>
          <w:sz w:val="24"/>
          <w:szCs w:val="24"/>
        </w:rPr>
        <w:t>*</w:t>
      </w:r>
      <w:r w:rsidR="00271072" w:rsidRPr="00271072">
        <w:rPr>
          <w:rFonts w:ascii="Times New Roman" w:hAnsi="Times New Roman" w:cs="Times New Roman"/>
          <w:i/>
          <w:sz w:val="24"/>
          <w:szCs w:val="24"/>
        </w:rPr>
        <w:t>***</w:t>
      </w:r>
    </w:p>
    <w:p w:rsidR="00343EB6" w:rsidRPr="00FB3AEC" w:rsidRDefault="00343EB6" w:rsidP="00343EB6">
      <w:pPr>
        <w:pStyle w:val="Piedepgina"/>
        <w:rPr>
          <w:rFonts w:ascii="Times New Roman" w:hAnsi="Times New Roman" w:cs="Times New Roman"/>
          <w:sz w:val="24"/>
          <w:szCs w:val="24"/>
        </w:rPr>
      </w:pPr>
      <w:r w:rsidRPr="00FB3AEC">
        <w:rPr>
          <w:rFonts w:ascii="Times New Roman" w:hAnsi="Times New Roman" w:cs="Times New Roman"/>
          <w:sz w:val="24"/>
          <w:szCs w:val="24"/>
        </w:rPr>
        <w:t xml:space="preserve">*        Microbióloga Industrial </w:t>
      </w:r>
      <w:proofErr w:type="spellStart"/>
      <w:r w:rsidRPr="00FB3AEC">
        <w:rPr>
          <w:rFonts w:ascii="Times New Roman" w:hAnsi="Times New Roman" w:cs="Times New Roman"/>
          <w:sz w:val="24"/>
          <w:szCs w:val="24"/>
        </w:rPr>
        <w:t>M.Sc.</w:t>
      </w:r>
      <w:proofErr w:type="spellEnd"/>
      <w:r w:rsidRPr="00FB3AEC">
        <w:rPr>
          <w:rFonts w:ascii="Times New Roman" w:hAnsi="Times New Roman" w:cs="Times New Roman"/>
          <w:sz w:val="24"/>
          <w:szCs w:val="24"/>
        </w:rPr>
        <w:t xml:space="preserve"> Facultad de Ciencias, Po</w:t>
      </w:r>
      <w:r w:rsidR="00FB3AEC">
        <w:rPr>
          <w:rFonts w:ascii="Times New Roman" w:hAnsi="Times New Roman" w:cs="Times New Roman"/>
          <w:sz w:val="24"/>
          <w:szCs w:val="24"/>
        </w:rPr>
        <w:t xml:space="preserve">ntificia Universidad Javeriana,  Colombia, </w:t>
      </w:r>
      <w:r w:rsidRPr="00FB3AEC">
        <w:rPr>
          <w:rFonts w:ascii="Times New Roman" w:hAnsi="Times New Roman" w:cs="Times New Roman"/>
          <w:sz w:val="24"/>
          <w:szCs w:val="24"/>
        </w:rPr>
        <w:t>tatsortiz.ortiz@gmail.com</w:t>
      </w:r>
    </w:p>
    <w:p w:rsidR="00343EB6" w:rsidRPr="00FB3AEC" w:rsidRDefault="00343EB6" w:rsidP="00343EB6">
      <w:pPr>
        <w:pStyle w:val="Piedepgina"/>
        <w:rPr>
          <w:rFonts w:ascii="Times New Roman" w:hAnsi="Times New Roman" w:cs="Times New Roman"/>
          <w:sz w:val="24"/>
          <w:szCs w:val="24"/>
        </w:rPr>
      </w:pPr>
      <w:r w:rsidRPr="00FB3AEC">
        <w:rPr>
          <w:rFonts w:ascii="Times New Roman" w:hAnsi="Times New Roman" w:cs="Times New Roman"/>
          <w:sz w:val="24"/>
          <w:szCs w:val="24"/>
        </w:rPr>
        <w:t>**      Microbióloga Industrial. Facultad de Ciencias, Pontificia Universidad Javeriana</w:t>
      </w:r>
      <w:r w:rsidR="00FB3AEC">
        <w:rPr>
          <w:rFonts w:ascii="Times New Roman" w:hAnsi="Times New Roman" w:cs="Times New Roman"/>
          <w:sz w:val="24"/>
          <w:szCs w:val="24"/>
        </w:rPr>
        <w:t xml:space="preserve">, Colombia, </w:t>
      </w:r>
      <w:r w:rsidRPr="00FB3AEC">
        <w:rPr>
          <w:rFonts w:ascii="Times New Roman" w:hAnsi="Times New Roman" w:cs="Times New Roman"/>
          <w:sz w:val="24"/>
          <w:szCs w:val="24"/>
        </w:rPr>
        <w:t xml:space="preserve"> ocampov1946@gmail.com</w:t>
      </w:r>
    </w:p>
    <w:p w:rsidR="00343EB6" w:rsidRPr="00FB3AEC" w:rsidRDefault="00343EB6" w:rsidP="00343EB6">
      <w:pPr>
        <w:pStyle w:val="Piedepgina"/>
        <w:rPr>
          <w:rFonts w:ascii="Times New Roman" w:hAnsi="Times New Roman" w:cs="Times New Roman"/>
          <w:sz w:val="24"/>
          <w:szCs w:val="24"/>
        </w:rPr>
      </w:pPr>
      <w:r w:rsidRPr="00FB3AEC">
        <w:rPr>
          <w:rFonts w:ascii="Times New Roman" w:hAnsi="Times New Roman" w:cs="Times New Roman"/>
          <w:sz w:val="24"/>
          <w:szCs w:val="24"/>
        </w:rPr>
        <w:t xml:space="preserve">***    Microbiólogo Industrial M. </w:t>
      </w:r>
      <w:proofErr w:type="spellStart"/>
      <w:r w:rsidRPr="00FB3AEC">
        <w:rPr>
          <w:rFonts w:ascii="Times New Roman" w:hAnsi="Times New Roman" w:cs="Times New Roman"/>
          <w:sz w:val="24"/>
          <w:szCs w:val="24"/>
        </w:rPr>
        <w:t>Sc.</w:t>
      </w:r>
      <w:proofErr w:type="spellEnd"/>
      <w:r w:rsidRPr="00FB3AEC">
        <w:rPr>
          <w:rFonts w:ascii="Times New Roman" w:hAnsi="Times New Roman" w:cs="Times New Roman"/>
          <w:sz w:val="24"/>
          <w:szCs w:val="24"/>
        </w:rPr>
        <w:t xml:space="preserve"> UNIDIA, Facultad de Ciencias, Pontificia Universidad Javeriana</w:t>
      </w:r>
      <w:r w:rsidR="00FB3AEC">
        <w:rPr>
          <w:rFonts w:ascii="Times New Roman" w:hAnsi="Times New Roman" w:cs="Times New Roman"/>
          <w:sz w:val="24"/>
          <w:szCs w:val="24"/>
        </w:rPr>
        <w:t xml:space="preserve">, Colombia, </w:t>
      </w:r>
      <w:r w:rsidRPr="00FB3AEC">
        <w:rPr>
          <w:rFonts w:ascii="Times New Roman" w:hAnsi="Times New Roman" w:cs="Times New Roman"/>
          <w:sz w:val="24"/>
          <w:szCs w:val="24"/>
        </w:rPr>
        <w:t>luisd09@hotmail.com</w:t>
      </w:r>
    </w:p>
    <w:p w:rsidR="00343EB6" w:rsidRPr="00FB3AEC" w:rsidRDefault="00343EB6" w:rsidP="00343EB6">
      <w:pPr>
        <w:pStyle w:val="Textonotapie"/>
        <w:rPr>
          <w:rFonts w:ascii="Times New Roman" w:hAnsi="Times New Roman" w:cs="Times New Roman"/>
          <w:sz w:val="24"/>
          <w:szCs w:val="24"/>
        </w:rPr>
      </w:pPr>
      <w:r w:rsidRPr="00FB3AEC">
        <w:rPr>
          <w:rFonts w:ascii="Times New Roman" w:hAnsi="Times New Roman" w:cs="Times New Roman"/>
          <w:sz w:val="24"/>
          <w:szCs w:val="24"/>
        </w:rPr>
        <w:t xml:space="preserve">****  Microbióloga </w:t>
      </w:r>
      <w:proofErr w:type="spellStart"/>
      <w:r w:rsidRPr="00FB3AEC">
        <w:rPr>
          <w:rFonts w:ascii="Times New Roman" w:hAnsi="Times New Roman" w:cs="Times New Roman"/>
          <w:sz w:val="24"/>
          <w:szCs w:val="24"/>
        </w:rPr>
        <w:t>PhD.</w:t>
      </w:r>
      <w:proofErr w:type="spellEnd"/>
      <w:r w:rsidRPr="00FB3AEC">
        <w:rPr>
          <w:rFonts w:ascii="Times New Roman" w:hAnsi="Times New Roman" w:cs="Times New Roman"/>
          <w:sz w:val="24"/>
          <w:szCs w:val="24"/>
        </w:rPr>
        <w:t xml:space="preserve"> GBAI, Departamento de Microbiología, Facultad de Ciencias, Pontificia Universidad Javeriana</w:t>
      </w:r>
      <w:r w:rsidR="00FB3AEC">
        <w:rPr>
          <w:rFonts w:ascii="Times New Roman" w:hAnsi="Times New Roman" w:cs="Times New Roman"/>
          <w:sz w:val="24"/>
          <w:szCs w:val="24"/>
        </w:rPr>
        <w:t xml:space="preserve">, Colombia, </w:t>
      </w:r>
      <w:r w:rsidRPr="00FB3AEC">
        <w:rPr>
          <w:rFonts w:ascii="Times New Roman" w:hAnsi="Times New Roman" w:cs="Times New Roman"/>
          <w:sz w:val="24"/>
          <w:szCs w:val="24"/>
        </w:rPr>
        <w:t>franco@javeriana.edu.co</w:t>
      </w:r>
    </w:p>
    <w:p w:rsidR="00271072" w:rsidRPr="00271072" w:rsidRDefault="00271072" w:rsidP="00EC0D6F">
      <w:pPr>
        <w:rPr>
          <w:rFonts w:ascii="Times New Roman" w:hAnsi="Times New Roman" w:cs="Times New Roman"/>
          <w:sz w:val="24"/>
          <w:szCs w:val="24"/>
        </w:rPr>
      </w:pPr>
    </w:p>
    <w:p w:rsidR="00EC0D6F" w:rsidRDefault="00476BB7" w:rsidP="00EC0D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EC0D6F" w:rsidRDefault="00EC0D6F" w:rsidP="009369DD">
      <w:pPr>
        <w:jc w:val="both"/>
        <w:rPr>
          <w:rFonts w:ascii="Times New Roman" w:hAnsi="Times New Roman" w:cs="Times New Roman"/>
          <w:sz w:val="24"/>
        </w:rPr>
      </w:pPr>
      <w:r w:rsidRPr="00A0691E">
        <w:rPr>
          <w:rFonts w:ascii="Times New Roman" w:hAnsi="Times New Roman" w:cs="Times New Roman"/>
          <w:sz w:val="24"/>
        </w:rPr>
        <w:t xml:space="preserve">El objetivo de esta investigación fue evaluar diferentes métodos de conservación para </w:t>
      </w:r>
      <w:proofErr w:type="spellStart"/>
      <w:r w:rsidRPr="00A0691E">
        <w:rPr>
          <w:rFonts w:ascii="Times New Roman" w:hAnsi="Times New Roman" w:cs="Times New Roman"/>
          <w:sz w:val="24"/>
        </w:rPr>
        <w:t>actinobacterias</w:t>
      </w:r>
      <w:proofErr w:type="spellEnd"/>
      <w:r w:rsidRPr="00A0691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691E">
        <w:rPr>
          <w:rFonts w:ascii="Times New Roman" w:hAnsi="Times New Roman" w:cs="Times New Roman"/>
          <w:sz w:val="24"/>
        </w:rPr>
        <w:t>solubilizadoras</w:t>
      </w:r>
      <w:proofErr w:type="spellEnd"/>
      <w:r w:rsidRPr="00A0691E">
        <w:rPr>
          <w:rFonts w:ascii="Times New Roman" w:hAnsi="Times New Roman" w:cs="Times New Roman"/>
          <w:sz w:val="24"/>
        </w:rPr>
        <w:t xml:space="preserve"> de fósforo</w:t>
      </w:r>
      <w:r>
        <w:rPr>
          <w:rFonts w:ascii="Times New Roman" w:hAnsi="Times New Roman" w:cs="Times New Roman"/>
          <w:sz w:val="24"/>
        </w:rPr>
        <w:t xml:space="preserve"> debido </w:t>
      </w:r>
      <w:r w:rsidR="002D12E3">
        <w:rPr>
          <w:rFonts w:ascii="Times New Roman" w:hAnsi="Times New Roman" w:cs="Times New Roman"/>
          <w:sz w:val="24"/>
        </w:rPr>
        <w:t>a la poca información de</w:t>
      </w:r>
      <w:r>
        <w:rPr>
          <w:rFonts w:ascii="Times New Roman" w:hAnsi="Times New Roman" w:cs="Times New Roman"/>
          <w:sz w:val="24"/>
        </w:rPr>
        <w:t xml:space="preserve"> métodos específicos reportados para </w:t>
      </w:r>
      <w:r w:rsidR="002D12E3">
        <w:rPr>
          <w:rFonts w:ascii="Times New Roman" w:hAnsi="Times New Roman" w:cs="Times New Roman"/>
          <w:sz w:val="24"/>
        </w:rPr>
        <w:t xml:space="preserve">estos </w:t>
      </w:r>
      <w:r>
        <w:rPr>
          <w:rFonts w:ascii="Times New Roman" w:hAnsi="Times New Roman" w:cs="Times New Roman"/>
          <w:sz w:val="24"/>
        </w:rPr>
        <w:t xml:space="preserve">microorganismos. </w:t>
      </w:r>
      <w:r w:rsidRPr="00A0691E">
        <w:rPr>
          <w:rFonts w:ascii="Times New Roman" w:hAnsi="Times New Roman" w:cs="Times New Roman"/>
          <w:sz w:val="24"/>
        </w:rPr>
        <w:t>Los métodos de conservación se evaluaron a 3 diferentes</w:t>
      </w:r>
      <w:r w:rsidR="00F664E7">
        <w:rPr>
          <w:rFonts w:ascii="Times New Roman" w:hAnsi="Times New Roman" w:cs="Times New Roman"/>
          <w:sz w:val="24"/>
        </w:rPr>
        <w:t xml:space="preserve"> periodos de</w:t>
      </w:r>
      <w:r w:rsidRPr="00A0691E">
        <w:rPr>
          <w:rFonts w:ascii="Times New Roman" w:hAnsi="Times New Roman" w:cs="Times New Roman"/>
          <w:sz w:val="24"/>
        </w:rPr>
        <w:t xml:space="preserve"> tiempo; largo, mediano y corto plazo, </w:t>
      </w:r>
      <w:r w:rsidR="002D12E3">
        <w:rPr>
          <w:rFonts w:ascii="Times New Roman" w:hAnsi="Times New Roman" w:cs="Times New Roman"/>
          <w:sz w:val="24"/>
        </w:rPr>
        <w:t>usando métodos de</w:t>
      </w:r>
      <w:r w:rsidRPr="00A0691E">
        <w:rPr>
          <w:rFonts w:ascii="Times New Roman" w:hAnsi="Times New Roman" w:cs="Times New Roman"/>
          <w:sz w:val="24"/>
        </w:rPr>
        <w:t xml:space="preserve"> congelación y liofilización</w:t>
      </w:r>
      <w:r>
        <w:rPr>
          <w:rFonts w:ascii="Times New Roman" w:hAnsi="Times New Roman" w:cs="Times New Roman"/>
          <w:sz w:val="24"/>
        </w:rPr>
        <w:t>;</w:t>
      </w:r>
      <w:r w:rsidR="00A31A6F">
        <w:rPr>
          <w:rFonts w:ascii="Times New Roman" w:hAnsi="Times New Roman" w:cs="Times New Roman"/>
          <w:sz w:val="24"/>
        </w:rPr>
        <w:t xml:space="preserve"> arcilla, </w:t>
      </w:r>
      <w:proofErr w:type="spellStart"/>
      <w:r w:rsidR="00DB2577">
        <w:rPr>
          <w:rFonts w:ascii="Times New Roman" w:hAnsi="Times New Roman" w:cs="Times New Roman"/>
          <w:sz w:val="24"/>
        </w:rPr>
        <w:t>sílica</w:t>
      </w:r>
      <w:proofErr w:type="spellEnd"/>
      <w:r w:rsidR="00DB2577">
        <w:rPr>
          <w:rFonts w:ascii="Times New Roman" w:hAnsi="Times New Roman" w:cs="Times New Roman"/>
          <w:sz w:val="24"/>
        </w:rPr>
        <w:t>,</w:t>
      </w:r>
      <w:r w:rsidR="00A31A6F">
        <w:rPr>
          <w:rFonts w:ascii="Times New Roman" w:hAnsi="Times New Roman" w:cs="Times New Roman"/>
          <w:sz w:val="24"/>
        </w:rPr>
        <w:t xml:space="preserve"> arena </w:t>
      </w:r>
      <w:r w:rsidRPr="00A0691E">
        <w:rPr>
          <w:rFonts w:ascii="Times New Roman" w:hAnsi="Times New Roman" w:cs="Times New Roman"/>
          <w:sz w:val="24"/>
        </w:rPr>
        <w:t xml:space="preserve"> y transferencia periódica</w:t>
      </w:r>
      <w:r w:rsidR="002D12E3">
        <w:rPr>
          <w:rFonts w:ascii="Times New Roman" w:hAnsi="Times New Roman" w:cs="Times New Roman"/>
          <w:sz w:val="24"/>
        </w:rPr>
        <w:t>,</w:t>
      </w:r>
      <w:r w:rsidRPr="00A0691E">
        <w:rPr>
          <w:rFonts w:ascii="Times New Roman" w:hAnsi="Times New Roman" w:cs="Times New Roman"/>
          <w:sz w:val="24"/>
        </w:rPr>
        <w:t xml:space="preserve"> respectivamente. Para ello se usaron 15 aislamientos de 3 localidades diferentes (La Vega, Maní y Tota) y un banco de referencia de la Unidad de Investigaciones Agropecuarias de la Pontificia Universidad Javeriana. Se prepararon todos los </w:t>
      </w:r>
      <w:proofErr w:type="spellStart"/>
      <w:r w:rsidRPr="00A0691E">
        <w:rPr>
          <w:rFonts w:ascii="Times New Roman" w:hAnsi="Times New Roman" w:cs="Times New Roman"/>
          <w:sz w:val="24"/>
        </w:rPr>
        <w:t>inóculos</w:t>
      </w:r>
      <w:proofErr w:type="spellEnd"/>
      <w:r w:rsidRPr="00A0691E">
        <w:rPr>
          <w:rFonts w:ascii="Times New Roman" w:hAnsi="Times New Roman" w:cs="Times New Roman"/>
          <w:sz w:val="24"/>
        </w:rPr>
        <w:t xml:space="preserve"> en solución salina al 0,85% (p/v) </w:t>
      </w:r>
      <w:r w:rsidR="002D12E3">
        <w:rPr>
          <w:rFonts w:ascii="Times New Roman" w:hAnsi="Times New Roman" w:cs="Times New Roman"/>
          <w:sz w:val="24"/>
        </w:rPr>
        <w:t>y</w:t>
      </w:r>
      <w:r w:rsidRPr="00A0691E">
        <w:rPr>
          <w:rFonts w:ascii="Times New Roman" w:hAnsi="Times New Roman" w:cs="Times New Roman"/>
          <w:sz w:val="24"/>
        </w:rPr>
        <w:t xml:space="preserve"> se ajustaron a una concentración de 10</w:t>
      </w:r>
      <w:r w:rsidRPr="00A0691E">
        <w:rPr>
          <w:rFonts w:ascii="Times New Roman" w:hAnsi="Times New Roman" w:cs="Times New Roman"/>
          <w:sz w:val="24"/>
          <w:vertAlign w:val="superscript"/>
        </w:rPr>
        <w:t>8</w:t>
      </w:r>
      <w:r w:rsidRPr="00A0691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691E">
        <w:rPr>
          <w:rFonts w:ascii="Times New Roman" w:hAnsi="Times New Roman" w:cs="Times New Roman"/>
          <w:sz w:val="24"/>
        </w:rPr>
        <w:t>cel</w:t>
      </w:r>
      <w:proofErr w:type="spellEnd"/>
      <w:r w:rsidRPr="00A0691E">
        <w:rPr>
          <w:rFonts w:ascii="Times New Roman" w:hAnsi="Times New Roman" w:cs="Times New Roman"/>
          <w:sz w:val="24"/>
        </w:rPr>
        <w:t>/</w:t>
      </w:r>
      <w:proofErr w:type="spellStart"/>
      <w:r w:rsidRPr="00A0691E">
        <w:rPr>
          <w:rFonts w:ascii="Times New Roman" w:hAnsi="Times New Roman" w:cs="Times New Roman"/>
          <w:sz w:val="24"/>
        </w:rPr>
        <w:t>mL</w:t>
      </w:r>
      <w:proofErr w:type="spellEnd"/>
      <w:r w:rsidRPr="00A0691E">
        <w:rPr>
          <w:rFonts w:ascii="Times New Roman" w:hAnsi="Times New Roman" w:cs="Times New Roman"/>
          <w:sz w:val="24"/>
        </w:rPr>
        <w:t xml:space="preserve">, seguido a ello se inocularon los viales de cada método de conservación con sus respectivos </w:t>
      </w:r>
      <w:proofErr w:type="spellStart"/>
      <w:r w:rsidRPr="00A0691E">
        <w:rPr>
          <w:rFonts w:ascii="Times New Roman" w:hAnsi="Times New Roman" w:cs="Times New Roman"/>
          <w:sz w:val="24"/>
        </w:rPr>
        <w:t>crioprotectantes</w:t>
      </w:r>
      <w:proofErr w:type="spellEnd"/>
      <w:r w:rsidRPr="00A0691E">
        <w:rPr>
          <w:rFonts w:ascii="Times New Roman" w:hAnsi="Times New Roman" w:cs="Times New Roman"/>
          <w:sz w:val="24"/>
        </w:rPr>
        <w:t xml:space="preserve">, glicerol 20% (v/v), 30% (v/v) para congelación y </w:t>
      </w:r>
      <w:proofErr w:type="spellStart"/>
      <w:r w:rsidRPr="00A0691E">
        <w:rPr>
          <w:rFonts w:ascii="Times New Roman" w:hAnsi="Times New Roman" w:cs="Times New Roman"/>
          <w:sz w:val="24"/>
        </w:rPr>
        <w:t>skim</w:t>
      </w:r>
      <w:proofErr w:type="spellEnd"/>
      <w:r w:rsidRPr="00A0691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691E">
        <w:rPr>
          <w:rFonts w:ascii="Times New Roman" w:hAnsi="Times New Roman" w:cs="Times New Roman"/>
          <w:sz w:val="24"/>
        </w:rPr>
        <w:t>milk</w:t>
      </w:r>
      <w:proofErr w:type="spellEnd"/>
      <w:r w:rsidRPr="00A0691E">
        <w:rPr>
          <w:rFonts w:ascii="Times New Roman" w:hAnsi="Times New Roman" w:cs="Times New Roman"/>
          <w:sz w:val="24"/>
        </w:rPr>
        <w:t xml:space="preserve"> 18% (p/v) para liofilización. Los métodos a mediano plazo se </w:t>
      </w:r>
      <w:r w:rsidR="00493F67">
        <w:rPr>
          <w:rFonts w:ascii="Times New Roman" w:hAnsi="Times New Roman" w:cs="Times New Roman"/>
          <w:sz w:val="24"/>
        </w:rPr>
        <w:t>ejecutaron</w:t>
      </w:r>
      <w:r w:rsidR="00493F67" w:rsidRPr="00A0691E">
        <w:rPr>
          <w:rFonts w:ascii="Times New Roman" w:hAnsi="Times New Roman" w:cs="Times New Roman"/>
          <w:sz w:val="24"/>
        </w:rPr>
        <w:t xml:space="preserve"> </w:t>
      </w:r>
      <w:r w:rsidRPr="00A0691E">
        <w:rPr>
          <w:rFonts w:ascii="Times New Roman" w:hAnsi="Times New Roman" w:cs="Times New Roman"/>
          <w:sz w:val="24"/>
        </w:rPr>
        <w:t>de igual manera, el in</w:t>
      </w:r>
      <w:r>
        <w:rPr>
          <w:rFonts w:ascii="Times New Roman" w:hAnsi="Times New Roman" w:cs="Times New Roman"/>
          <w:sz w:val="24"/>
        </w:rPr>
        <w:t>ó</w:t>
      </w:r>
      <w:r w:rsidRPr="00A0691E">
        <w:rPr>
          <w:rFonts w:ascii="Times New Roman" w:hAnsi="Times New Roman" w:cs="Times New Roman"/>
          <w:sz w:val="24"/>
        </w:rPr>
        <w:t xml:space="preserve">culo se agregó a 10 perlas de arcilla, 10 g de arena y 5 g de </w:t>
      </w:r>
      <w:proofErr w:type="spellStart"/>
      <w:r w:rsidR="00493F67">
        <w:rPr>
          <w:rFonts w:ascii="Times New Roman" w:hAnsi="Times New Roman" w:cs="Times New Roman"/>
          <w:sz w:val="24"/>
        </w:rPr>
        <w:t>s</w:t>
      </w:r>
      <w:r w:rsidRPr="00A0691E">
        <w:rPr>
          <w:rFonts w:ascii="Times New Roman" w:hAnsi="Times New Roman" w:cs="Times New Roman"/>
          <w:sz w:val="24"/>
        </w:rPr>
        <w:t>ílica</w:t>
      </w:r>
      <w:proofErr w:type="spellEnd"/>
      <w:r w:rsidRPr="00A0691E">
        <w:rPr>
          <w:rFonts w:ascii="Times New Roman" w:hAnsi="Times New Roman" w:cs="Times New Roman"/>
          <w:sz w:val="24"/>
        </w:rPr>
        <w:t xml:space="preserve">, posteriormente se almacenaron a 4ºC. El método de corto plazo se evaluó en </w:t>
      </w:r>
      <w:proofErr w:type="spellStart"/>
      <w:r w:rsidRPr="00A0691E">
        <w:rPr>
          <w:rFonts w:ascii="Times New Roman" w:hAnsi="Times New Roman" w:cs="Times New Roman"/>
          <w:sz w:val="24"/>
        </w:rPr>
        <w:t>agar</w:t>
      </w:r>
      <w:proofErr w:type="spellEnd"/>
      <w:r w:rsidRPr="00A0691E">
        <w:rPr>
          <w:rFonts w:ascii="Times New Roman" w:hAnsi="Times New Roman" w:cs="Times New Roman"/>
          <w:sz w:val="24"/>
        </w:rPr>
        <w:t xml:space="preserve"> avena (15 g/L). La evaluación se realizó mediante recuento directo en cámara de </w:t>
      </w:r>
      <w:proofErr w:type="spellStart"/>
      <w:r w:rsidRPr="00A0691E">
        <w:rPr>
          <w:rFonts w:ascii="Times New Roman" w:hAnsi="Times New Roman" w:cs="Times New Roman"/>
          <w:sz w:val="24"/>
        </w:rPr>
        <w:t>Neubauer</w:t>
      </w:r>
      <w:proofErr w:type="spellEnd"/>
      <w:r w:rsidRPr="00A0691E">
        <w:rPr>
          <w:rFonts w:ascii="Times New Roman" w:hAnsi="Times New Roman" w:cs="Times New Roman"/>
          <w:sz w:val="24"/>
        </w:rPr>
        <w:t xml:space="preserve"> por la técnica de azul de </w:t>
      </w:r>
      <w:proofErr w:type="spellStart"/>
      <w:r w:rsidRPr="00A0691E">
        <w:rPr>
          <w:rFonts w:ascii="Times New Roman" w:hAnsi="Times New Roman" w:cs="Times New Roman"/>
          <w:sz w:val="24"/>
        </w:rPr>
        <w:t>tripán</w:t>
      </w:r>
      <w:proofErr w:type="spellEnd"/>
      <w:r w:rsidRPr="00A0691E">
        <w:rPr>
          <w:rFonts w:ascii="Times New Roman" w:hAnsi="Times New Roman" w:cs="Times New Roman"/>
          <w:sz w:val="24"/>
        </w:rPr>
        <w:t xml:space="preserve">, además de la caracterización macroscópica y microscópica de cada aislamiento en transferencia periódica. </w:t>
      </w:r>
      <w:r w:rsidR="00493F67">
        <w:rPr>
          <w:rFonts w:ascii="Times New Roman" w:hAnsi="Times New Roman" w:cs="Times New Roman"/>
          <w:sz w:val="24"/>
        </w:rPr>
        <w:t>Se estableció que</w:t>
      </w:r>
      <w:r w:rsidR="00493F67" w:rsidRPr="00A0691E">
        <w:rPr>
          <w:rFonts w:ascii="Times New Roman" w:hAnsi="Times New Roman" w:cs="Times New Roman"/>
          <w:sz w:val="24"/>
        </w:rPr>
        <w:t xml:space="preserve"> </w:t>
      </w:r>
      <w:r w:rsidRPr="00A0691E">
        <w:rPr>
          <w:rFonts w:ascii="Times New Roman" w:hAnsi="Times New Roman" w:cs="Times New Roman"/>
          <w:sz w:val="24"/>
        </w:rPr>
        <w:t>la actividad solubilizadora de fósforo se mantuvo más estable en los métodos</w:t>
      </w:r>
      <w:r>
        <w:rPr>
          <w:rFonts w:ascii="Times New Roman" w:hAnsi="Times New Roman" w:cs="Times New Roman"/>
          <w:sz w:val="24"/>
        </w:rPr>
        <w:t xml:space="preserve"> de glicerol 30 % (p/v) y liofilización según el análisis estadístico</w:t>
      </w:r>
      <w:r w:rsidRPr="00A0691E">
        <w:rPr>
          <w:rFonts w:ascii="Times New Roman" w:hAnsi="Times New Roman" w:cs="Times New Roman"/>
          <w:sz w:val="24"/>
        </w:rPr>
        <w:t xml:space="preserve">.   </w:t>
      </w:r>
    </w:p>
    <w:p w:rsidR="00EC0D6F" w:rsidRDefault="00EC0D6F" w:rsidP="00EC0D6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FB21B1">
        <w:rPr>
          <w:rFonts w:ascii="Times New Roman" w:hAnsi="Times New Roman" w:cs="Times New Roman"/>
          <w:b/>
          <w:sz w:val="24"/>
        </w:rPr>
        <w:t>Palabras clave:</w:t>
      </w:r>
      <w:r w:rsidR="001B22DE">
        <w:rPr>
          <w:rFonts w:ascii="Times New Roman" w:hAnsi="Times New Roman" w:cs="Times New Roman"/>
          <w:b/>
          <w:sz w:val="24"/>
        </w:rPr>
        <w:t xml:space="preserve"> </w:t>
      </w:r>
      <w:r w:rsidR="004952ED">
        <w:rPr>
          <w:rFonts w:ascii="Times New Roman" w:hAnsi="Times New Roman" w:cs="Times New Roman"/>
          <w:sz w:val="24"/>
        </w:rPr>
        <w:t>viabilidad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crioprotectantes</w:t>
      </w:r>
      <w:proofErr w:type="spellEnd"/>
      <w:r>
        <w:rPr>
          <w:rFonts w:ascii="Times New Roman" w:hAnsi="Times New Roman" w:cs="Times New Roman"/>
          <w:sz w:val="24"/>
        </w:rPr>
        <w:t xml:space="preserve">, banco, liofilización, </w:t>
      </w:r>
      <w:proofErr w:type="spellStart"/>
      <w:r>
        <w:rPr>
          <w:rFonts w:ascii="Times New Roman" w:hAnsi="Times New Roman" w:cs="Times New Roman"/>
          <w:sz w:val="24"/>
        </w:rPr>
        <w:t>crioconservación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C0D6F" w:rsidRPr="00C0313B" w:rsidRDefault="00476BB7" w:rsidP="00EC0D6F">
      <w:pPr>
        <w:spacing w:line="24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ABSTRACT</w:t>
      </w:r>
    </w:p>
    <w:p w:rsidR="00EC0D6F" w:rsidRPr="002575E8" w:rsidRDefault="00EC0D6F" w:rsidP="009369D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757B">
        <w:rPr>
          <w:rFonts w:ascii="Times New Roman" w:hAnsi="Times New Roman" w:cs="Times New Roman"/>
          <w:sz w:val="24"/>
          <w:lang w:val="en-US"/>
        </w:rPr>
        <w:t xml:space="preserve">The aim of this </w:t>
      </w:r>
      <w:r w:rsidR="003D17E6" w:rsidRPr="005F2A15">
        <w:rPr>
          <w:rFonts w:ascii="Times New Roman" w:hAnsi="Times New Roman" w:cs="Times New Roman"/>
          <w:noProof/>
          <w:sz w:val="24"/>
          <w:lang w:val="en-US"/>
        </w:rPr>
        <w:t>research</w:t>
      </w:r>
      <w:r w:rsidRPr="0034757B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was </w:t>
      </w:r>
      <w:r w:rsidR="003D17E6">
        <w:rPr>
          <w:rFonts w:ascii="Times New Roman" w:hAnsi="Times New Roman" w:cs="Times New Roman"/>
          <w:sz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lang w:val="en-US"/>
        </w:rPr>
        <w:t xml:space="preserve">evaluate different methods of </w:t>
      </w:r>
      <w:r w:rsidR="003D17E6">
        <w:rPr>
          <w:rFonts w:ascii="Times New Roman" w:hAnsi="Times New Roman" w:cs="Times New Roman"/>
          <w:sz w:val="24"/>
          <w:lang w:val="en-US"/>
        </w:rPr>
        <w:t xml:space="preserve">preservation </w:t>
      </w:r>
      <w:r>
        <w:rPr>
          <w:rFonts w:ascii="Times New Roman" w:hAnsi="Times New Roman" w:cs="Times New Roman"/>
          <w:sz w:val="24"/>
          <w:lang w:val="en-US"/>
        </w:rPr>
        <w:t xml:space="preserve">for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actinobacteria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with phosphate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solubilization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34757B">
        <w:rPr>
          <w:rFonts w:ascii="Times New Roman" w:hAnsi="Times New Roman" w:cs="Times New Roman"/>
          <w:sz w:val="24"/>
          <w:szCs w:val="24"/>
          <w:lang w:val="en-US"/>
        </w:rPr>
        <w:t>activity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17E6">
        <w:rPr>
          <w:rFonts w:ascii="Times New Roman" w:hAnsi="Times New Roman" w:cs="Times New Roman"/>
          <w:sz w:val="24"/>
          <w:szCs w:val="24"/>
          <w:lang w:val="en-US"/>
        </w:rPr>
        <w:t xml:space="preserve">due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there are </w:t>
      </w:r>
      <w:r w:rsidR="00493F67">
        <w:rPr>
          <w:rFonts w:ascii="Times New Roman" w:hAnsi="Times New Roman" w:cs="Times New Roman"/>
          <w:sz w:val="24"/>
          <w:szCs w:val="24"/>
          <w:lang w:val="en-US"/>
        </w:rPr>
        <w:t>a few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specific methods reported for these organisms</w:t>
      </w:r>
      <w:r w:rsidRPr="0034757B">
        <w:rPr>
          <w:rFonts w:ascii="Times New Roman" w:hAnsi="Times New Roman" w:cs="Times New Roman"/>
          <w:sz w:val="24"/>
          <w:szCs w:val="24"/>
          <w:lang w:val="en-US"/>
        </w:rPr>
        <w:t>. The methods were evaluated at three different time</w:t>
      </w:r>
      <w:r w:rsidR="003D17E6">
        <w:rPr>
          <w:rFonts w:ascii="Times New Roman" w:hAnsi="Times New Roman" w:cs="Times New Roman"/>
          <w:sz w:val="24"/>
          <w:szCs w:val="24"/>
          <w:lang w:val="en-US"/>
        </w:rPr>
        <w:t xml:space="preserve"> periods</w:t>
      </w:r>
      <w:r w:rsidRPr="0034757B">
        <w:rPr>
          <w:rFonts w:ascii="Times New Roman" w:hAnsi="Times New Roman" w:cs="Times New Roman"/>
          <w:sz w:val="24"/>
          <w:szCs w:val="24"/>
          <w:lang w:val="en-US"/>
        </w:rPr>
        <w:t xml:space="preserve">; long, medium and </w:t>
      </w:r>
      <w:r w:rsidRPr="005F2A15">
        <w:rPr>
          <w:rFonts w:ascii="Times New Roman" w:hAnsi="Times New Roman" w:cs="Times New Roman"/>
          <w:noProof/>
          <w:sz w:val="24"/>
          <w:szCs w:val="24"/>
          <w:lang w:val="en-US"/>
        </w:rPr>
        <w:t>short</w:t>
      </w:r>
      <w:r w:rsidR="005F2A15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Pr="005F2A15">
        <w:rPr>
          <w:rFonts w:ascii="Times New Roman" w:hAnsi="Times New Roman" w:cs="Times New Roman"/>
          <w:noProof/>
          <w:sz w:val="24"/>
          <w:szCs w:val="24"/>
          <w:lang w:val="en-US"/>
        </w:rPr>
        <w:t>term</w:t>
      </w:r>
      <w:r w:rsidR="00F664E7">
        <w:rPr>
          <w:rFonts w:ascii="Times New Roman" w:hAnsi="Times New Roman" w:cs="Times New Roman"/>
          <w:sz w:val="24"/>
          <w:szCs w:val="24"/>
          <w:lang w:val="en-US"/>
        </w:rPr>
        <w:t xml:space="preserve"> and employing methods as</w:t>
      </w:r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 cryopreservation 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Pr="002575E8">
        <w:rPr>
          <w:rFonts w:ascii="Times New Roman" w:hAnsi="Times New Roman" w:cs="Times New Roman"/>
          <w:sz w:val="24"/>
          <w:szCs w:val="24"/>
          <w:lang w:val="en-US"/>
        </w:rPr>
        <w:t>dry-freezing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 clay, silica and sand; and periodically plating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75E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respectively. </w:t>
      </w:r>
      <w:r w:rsidR="005F2A15">
        <w:rPr>
          <w:rFonts w:ascii="Times New Roman" w:hAnsi="Times New Roman" w:cs="Times New Roman"/>
          <w:sz w:val="24"/>
          <w:szCs w:val="24"/>
          <w:lang w:val="en-US"/>
        </w:rPr>
        <w:t>Therefore</w:t>
      </w:r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 15 isolates from 3 different locations (La Vega, </w:t>
      </w:r>
      <w:r w:rsidRPr="005F2A15">
        <w:rPr>
          <w:rFonts w:ascii="Times New Roman" w:hAnsi="Times New Roman" w:cs="Times New Roman"/>
          <w:noProof/>
          <w:sz w:val="24"/>
          <w:szCs w:val="24"/>
          <w:lang w:val="en-US"/>
        </w:rPr>
        <w:t>Maní</w:t>
      </w:r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2575E8">
        <w:rPr>
          <w:rFonts w:ascii="Times New Roman" w:hAnsi="Times New Roman" w:cs="Times New Roman"/>
          <w:sz w:val="24"/>
          <w:szCs w:val="24"/>
          <w:lang w:val="en-US"/>
        </w:rPr>
        <w:t>Tota</w:t>
      </w:r>
      <w:proofErr w:type="spellEnd"/>
      <w:r w:rsidRPr="002575E8">
        <w:rPr>
          <w:rFonts w:ascii="Times New Roman" w:hAnsi="Times New Roman" w:cs="Times New Roman"/>
          <w:sz w:val="24"/>
          <w:szCs w:val="24"/>
          <w:lang w:val="en-US"/>
        </w:rPr>
        <w:t>) and a bank reference</w:t>
      </w:r>
      <w:r w:rsidR="005F2A15">
        <w:rPr>
          <w:rFonts w:ascii="Times New Roman" w:hAnsi="Times New Roman" w:cs="Times New Roman"/>
          <w:sz w:val="24"/>
          <w:szCs w:val="24"/>
          <w:lang w:val="en-US"/>
        </w:rPr>
        <w:t xml:space="preserve"> from</w:t>
      </w:r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 Livestock Research Unit of the </w:t>
      </w:r>
      <w:proofErr w:type="spellStart"/>
      <w:r w:rsidRPr="002575E8">
        <w:rPr>
          <w:rFonts w:ascii="Times New Roman" w:hAnsi="Times New Roman" w:cs="Times New Roman"/>
          <w:sz w:val="24"/>
          <w:szCs w:val="24"/>
          <w:lang w:val="en-US"/>
        </w:rPr>
        <w:t>Pontificia</w:t>
      </w:r>
      <w:proofErr w:type="spellEnd"/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 Universidad </w:t>
      </w:r>
      <w:proofErr w:type="spellStart"/>
      <w:r w:rsidRPr="002575E8">
        <w:rPr>
          <w:rFonts w:ascii="Times New Roman" w:hAnsi="Times New Roman" w:cs="Times New Roman"/>
          <w:sz w:val="24"/>
          <w:szCs w:val="24"/>
          <w:lang w:val="en-US"/>
        </w:rPr>
        <w:t>Javeriana</w:t>
      </w:r>
      <w:proofErr w:type="spellEnd"/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 were used. All </w:t>
      </w:r>
      <w:proofErr w:type="spellStart"/>
      <w:r w:rsidRPr="002575E8">
        <w:rPr>
          <w:rFonts w:ascii="Times New Roman" w:hAnsi="Times New Roman" w:cs="Times New Roman"/>
          <w:sz w:val="24"/>
          <w:szCs w:val="24"/>
          <w:lang w:val="en-US"/>
        </w:rPr>
        <w:t>inocula</w:t>
      </w:r>
      <w:proofErr w:type="spellEnd"/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 were prepared in 0.85% saline</w:t>
      </w:r>
      <w:r w:rsidR="005F2A15">
        <w:rPr>
          <w:rFonts w:ascii="Times New Roman" w:hAnsi="Times New Roman" w:cs="Times New Roman"/>
          <w:sz w:val="24"/>
          <w:szCs w:val="24"/>
          <w:lang w:val="en-US"/>
        </w:rPr>
        <w:t xml:space="preserve"> solution</w:t>
      </w:r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 (w/v) which were adjusted to a concentration of 10</w:t>
      </w:r>
      <w:r w:rsidRPr="002575E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 cells/</w:t>
      </w:r>
      <w:proofErr w:type="spellStart"/>
      <w:r w:rsidRPr="002575E8">
        <w:rPr>
          <w:rFonts w:ascii="Times New Roman" w:hAnsi="Times New Roman" w:cs="Times New Roman"/>
          <w:sz w:val="24"/>
          <w:szCs w:val="24"/>
          <w:lang w:val="en-US"/>
        </w:rPr>
        <w:t>mL</w:t>
      </w:r>
      <w:proofErr w:type="spellEnd"/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, followed </w:t>
      </w:r>
      <w:r w:rsidR="005F2A15"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vial </w:t>
      </w:r>
      <w:r w:rsidR="005F2A15">
        <w:rPr>
          <w:rFonts w:ascii="Times New Roman" w:hAnsi="Times New Roman" w:cs="Times New Roman"/>
          <w:sz w:val="24"/>
          <w:szCs w:val="24"/>
          <w:lang w:val="en-US"/>
        </w:rPr>
        <w:t xml:space="preserve">was inoculated </w:t>
      </w:r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with their respective storage </w:t>
      </w:r>
      <w:proofErr w:type="spellStart"/>
      <w:r w:rsidRPr="002575E8">
        <w:rPr>
          <w:rFonts w:ascii="Times New Roman" w:hAnsi="Times New Roman" w:cs="Times New Roman"/>
          <w:sz w:val="24"/>
          <w:szCs w:val="24"/>
          <w:lang w:val="en-US"/>
        </w:rPr>
        <w:t>cryoprotectants</w:t>
      </w:r>
      <w:proofErr w:type="spellEnd"/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 , glycerol 20% (v/v), 30% (v/v) to freeze and 18% skim milk (w/v) for dry-freezing. Medium-term methods were performed similarly; the </w:t>
      </w:r>
      <w:proofErr w:type="spellStart"/>
      <w:r w:rsidRPr="002575E8">
        <w:rPr>
          <w:rFonts w:ascii="Times New Roman" w:hAnsi="Times New Roman" w:cs="Times New Roman"/>
          <w:sz w:val="24"/>
          <w:szCs w:val="24"/>
          <w:lang w:val="en-US"/>
        </w:rPr>
        <w:t>inoculum</w:t>
      </w:r>
      <w:proofErr w:type="spellEnd"/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15"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was added </w:t>
      </w:r>
      <w:r w:rsidR="005F2A1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10 clay beads, 10 g of sand and 5 g of silica and then stored at 4 °C. The short-term method was evaluated in oatmeal agar (15 g/L). The evaluation was performed by direct counting in a </w:t>
      </w:r>
      <w:proofErr w:type="spellStart"/>
      <w:r w:rsidRPr="002575E8">
        <w:rPr>
          <w:rFonts w:ascii="Times New Roman" w:hAnsi="Times New Roman" w:cs="Times New Roman"/>
          <w:sz w:val="24"/>
          <w:szCs w:val="24"/>
          <w:lang w:val="en-US"/>
        </w:rPr>
        <w:t>Neubauer</w:t>
      </w:r>
      <w:proofErr w:type="spellEnd"/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75E8">
        <w:rPr>
          <w:rFonts w:ascii="Times New Roman" w:hAnsi="Times New Roman" w:cs="Times New Roman"/>
          <w:sz w:val="24"/>
          <w:szCs w:val="24"/>
          <w:lang w:val="en-US"/>
        </w:rPr>
        <w:t>chamber</w:t>
      </w:r>
      <w:r w:rsidR="00BC25EB">
        <w:rPr>
          <w:rFonts w:ascii="Times New Roman" w:hAnsi="Times New Roman" w:cs="Times New Roman"/>
          <w:noProof/>
          <w:sz w:val="24"/>
          <w:szCs w:val="24"/>
          <w:lang w:val="en-US"/>
        </w:rPr>
        <w:t>using</w:t>
      </w:r>
      <w:proofErr w:type="spellEnd"/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75E8">
        <w:rPr>
          <w:rFonts w:ascii="Times New Roman" w:hAnsi="Times New Roman" w:cs="Times New Roman"/>
          <w:sz w:val="24"/>
          <w:szCs w:val="24"/>
          <w:lang w:val="en-US"/>
        </w:rPr>
        <w:t>trypan</w:t>
      </w:r>
      <w:proofErr w:type="spellEnd"/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 blue </w:t>
      </w:r>
      <w:r w:rsidR="00BC25EB">
        <w:rPr>
          <w:rFonts w:ascii="Times New Roman" w:hAnsi="Times New Roman" w:cs="Times New Roman"/>
          <w:sz w:val="24"/>
          <w:szCs w:val="24"/>
          <w:lang w:val="en-US"/>
        </w:rPr>
        <w:t>staining technique</w:t>
      </w:r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, in addition to macroscopic and microscopic characterization of each isolate in </w:t>
      </w:r>
      <w:r w:rsidRPr="005F2A15">
        <w:rPr>
          <w:rFonts w:ascii="Times New Roman" w:hAnsi="Times New Roman" w:cs="Times New Roman"/>
          <w:noProof/>
          <w:sz w:val="24"/>
          <w:szCs w:val="24"/>
          <w:lang w:val="en-US"/>
        </w:rPr>
        <w:t>periodic</w:t>
      </w:r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15" w:rsidRPr="005F2A15">
        <w:rPr>
          <w:rFonts w:ascii="Times New Roman" w:hAnsi="Times New Roman" w:cs="Times New Roman"/>
          <w:noProof/>
          <w:sz w:val="24"/>
          <w:szCs w:val="24"/>
          <w:lang w:val="en-US"/>
        </w:rPr>
        <w:t>plating</w:t>
      </w:r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83BD3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It was </w:t>
      </w:r>
      <w:r w:rsidR="005F2A15" w:rsidRPr="005F2A15">
        <w:rPr>
          <w:rStyle w:val="hps"/>
          <w:rFonts w:ascii="Times New Roman" w:hAnsi="Times New Roman" w:cs="Times New Roman"/>
          <w:noProof/>
          <w:sz w:val="24"/>
          <w:szCs w:val="24"/>
          <w:lang w:val="en-US"/>
        </w:rPr>
        <w:t>e</w:t>
      </w:r>
      <w:r w:rsidR="00A83BD3" w:rsidRPr="005F2A15">
        <w:rPr>
          <w:rStyle w:val="hps"/>
          <w:rFonts w:ascii="Times New Roman" w:hAnsi="Times New Roman" w:cs="Times New Roman"/>
          <w:noProof/>
          <w:sz w:val="24"/>
          <w:szCs w:val="24"/>
          <w:lang w:val="en-US"/>
        </w:rPr>
        <w:t>stablished</w:t>
      </w:r>
      <w:r w:rsidR="00A83BD3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493F67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33B1F">
        <w:rPr>
          <w:rStyle w:val="hps"/>
          <w:rFonts w:ascii="Times New Roman" w:hAnsi="Times New Roman" w:cs="Times New Roman"/>
          <w:sz w:val="24"/>
          <w:szCs w:val="24"/>
          <w:lang w:val="en-US"/>
        </w:rPr>
        <w:t>phosphorus</w:t>
      </w:r>
      <w:r w:rsidR="001B22DE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B1F">
        <w:rPr>
          <w:rStyle w:val="hps"/>
          <w:rFonts w:ascii="Times New Roman" w:hAnsi="Times New Roman" w:cs="Times New Roman"/>
          <w:sz w:val="24"/>
          <w:szCs w:val="24"/>
          <w:lang w:val="en-US"/>
        </w:rPr>
        <w:t>solubilizing</w:t>
      </w:r>
      <w:proofErr w:type="spellEnd"/>
      <w:r w:rsidRPr="00733B1F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activity</w:t>
      </w:r>
      <w:r w:rsidR="001B22DE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3B1F">
        <w:rPr>
          <w:rStyle w:val="hps"/>
          <w:rFonts w:ascii="Times New Roman" w:hAnsi="Times New Roman" w:cs="Times New Roman"/>
          <w:sz w:val="24"/>
          <w:szCs w:val="24"/>
          <w:lang w:val="en-US"/>
        </w:rPr>
        <w:t>was more stable</w:t>
      </w:r>
      <w:r w:rsidR="001B22DE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3B1F">
        <w:rPr>
          <w:rStyle w:val="hps"/>
          <w:rFonts w:ascii="Times New Roman" w:hAnsi="Times New Roman" w:cs="Times New Roman"/>
          <w:sz w:val="24"/>
          <w:szCs w:val="24"/>
          <w:lang w:val="en-US"/>
        </w:rPr>
        <w:t>in</w:t>
      </w:r>
      <w:r w:rsidR="001B22DE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3B1F">
        <w:rPr>
          <w:rStyle w:val="hps"/>
          <w:rFonts w:ascii="Times New Roman" w:hAnsi="Times New Roman" w:cs="Times New Roman"/>
          <w:sz w:val="24"/>
          <w:szCs w:val="24"/>
          <w:lang w:val="en-US"/>
        </w:rPr>
        <w:t>glycerol</w:t>
      </w:r>
      <w:r w:rsidR="00A83BD3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3B1F">
        <w:rPr>
          <w:rStyle w:val="hps"/>
          <w:rFonts w:ascii="Times New Roman" w:hAnsi="Times New Roman" w:cs="Times New Roman"/>
          <w:sz w:val="24"/>
          <w:szCs w:val="24"/>
          <w:lang w:val="en-US"/>
        </w:rPr>
        <w:t>30% (w/v</w:t>
      </w:r>
      <w:r w:rsidRPr="00733B1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733B1F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Pr="00733B1F">
        <w:rPr>
          <w:rStyle w:val="hps"/>
          <w:rFonts w:ascii="Times New Roman" w:hAnsi="Times New Roman" w:cs="Times New Roman"/>
          <w:sz w:val="24"/>
          <w:szCs w:val="24"/>
          <w:lang w:val="en-US"/>
        </w:rPr>
        <w:t>lyophilization</w:t>
      </w:r>
      <w:proofErr w:type="spellEnd"/>
      <w:r w:rsidR="001B22DE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3B1F">
        <w:rPr>
          <w:rStyle w:val="hps"/>
          <w:rFonts w:ascii="Times New Roman" w:hAnsi="Times New Roman" w:cs="Times New Roman"/>
          <w:sz w:val="24"/>
          <w:szCs w:val="24"/>
          <w:lang w:val="en-US"/>
        </w:rPr>
        <w:t>for statistical analysis</w:t>
      </w:r>
      <w:r w:rsidRPr="00733B1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0D6F" w:rsidRDefault="00EC0D6F" w:rsidP="00EC0D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2A15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Keywords</w:t>
      </w:r>
      <w:r w:rsidRPr="002575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4952E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952ED" w:rsidRPr="002575E8">
        <w:rPr>
          <w:rFonts w:ascii="Times New Roman" w:hAnsi="Times New Roman" w:cs="Times New Roman"/>
          <w:sz w:val="24"/>
          <w:szCs w:val="24"/>
          <w:lang w:val="en-US"/>
        </w:rPr>
        <w:t>iability</w:t>
      </w:r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575E8">
        <w:rPr>
          <w:rFonts w:ascii="Times New Roman" w:hAnsi="Times New Roman" w:cs="Times New Roman"/>
          <w:sz w:val="24"/>
          <w:szCs w:val="24"/>
          <w:lang w:val="en-US"/>
        </w:rPr>
        <w:t>cryoprotectants</w:t>
      </w:r>
      <w:proofErr w:type="spellEnd"/>
      <w:r w:rsidRPr="002575E8">
        <w:rPr>
          <w:rFonts w:ascii="Times New Roman" w:hAnsi="Times New Roman" w:cs="Times New Roman"/>
          <w:sz w:val="24"/>
          <w:szCs w:val="24"/>
          <w:lang w:val="en-US"/>
        </w:rPr>
        <w:t xml:space="preserve">, bank, dry-freezing, cryopreservation. </w:t>
      </w:r>
    </w:p>
    <w:p w:rsidR="00B054D2" w:rsidRDefault="00B054D2" w:rsidP="00B054D2">
      <w:pPr>
        <w:rPr>
          <w:rFonts w:ascii="Times New Roman" w:hAnsi="Times New Roman" w:cs="Times New Roman"/>
          <w:sz w:val="24"/>
          <w:szCs w:val="24"/>
        </w:rPr>
      </w:pPr>
    </w:p>
    <w:p w:rsidR="00F208A4" w:rsidRDefault="00B054D2" w:rsidP="00B054D2">
      <w:pPr>
        <w:rPr>
          <w:rFonts w:ascii="Times New Roman" w:hAnsi="Times New Roman" w:cs="Times New Roman"/>
          <w:sz w:val="24"/>
          <w:szCs w:val="24"/>
        </w:rPr>
      </w:pPr>
      <w:r w:rsidRPr="00AB4D66">
        <w:rPr>
          <w:rFonts w:ascii="Times New Roman" w:hAnsi="Times New Roman" w:cs="Times New Roman"/>
          <w:b/>
          <w:sz w:val="24"/>
          <w:szCs w:val="24"/>
        </w:rPr>
        <w:t>Recibido:</w:t>
      </w:r>
      <w:r w:rsidR="00AB4D66">
        <w:rPr>
          <w:rFonts w:ascii="Times New Roman" w:hAnsi="Times New Roman" w:cs="Times New Roman"/>
          <w:sz w:val="24"/>
          <w:szCs w:val="24"/>
        </w:rPr>
        <w:t xml:space="preserve"> noviembre 18 de 2015 </w:t>
      </w:r>
      <w:r>
        <w:rPr>
          <w:rFonts w:ascii="Times New Roman" w:hAnsi="Times New Roman" w:cs="Times New Roman"/>
          <w:sz w:val="24"/>
          <w:szCs w:val="24"/>
        </w:rPr>
        <w:tab/>
      </w:r>
      <w:r w:rsidRPr="00AB4D66">
        <w:rPr>
          <w:rFonts w:ascii="Times New Roman" w:hAnsi="Times New Roman" w:cs="Times New Roman"/>
          <w:b/>
          <w:sz w:val="24"/>
          <w:szCs w:val="24"/>
        </w:rPr>
        <w:t>Aprobado:</w:t>
      </w:r>
      <w:r w:rsidR="00AB4D66">
        <w:rPr>
          <w:rFonts w:ascii="Times New Roman" w:hAnsi="Times New Roman" w:cs="Times New Roman"/>
          <w:sz w:val="24"/>
          <w:szCs w:val="24"/>
        </w:rPr>
        <w:t xml:space="preserve"> octubre 26 de 2016</w:t>
      </w:r>
    </w:p>
    <w:p w:rsidR="00B054D2" w:rsidRPr="00B054D2" w:rsidRDefault="00B054D2" w:rsidP="00EC0D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67" w:rsidRDefault="006E5E6B" w:rsidP="00EC0D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INTRODUCCIÓN</w:t>
      </w:r>
    </w:p>
    <w:p w:rsidR="00EC0D6F" w:rsidRPr="005B142E" w:rsidRDefault="00EC0D6F" w:rsidP="00A83BD3">
      <w:pPr>
        <w:jc w:val="both"/>
        <w:rPr>
          <w:rFonts w:ascii="Times New Roman" w:hAnsi="Times New Roman" w:cs="Times New Roman"/>
          <w:sz w:val="24"/>
          <w:szCs w:val="24"/>
        </w:rPr>
      </w:pPr>
      <w:r w:rsidRPr="005B142E">
        <w:rPr>
          <w:rFonts w:ascii="Times New Roman" w:hAnsi="Times New Roman" w:cs="Times New Roman"/>
          <w:sz w:val="24"/>
          <w:szCs w:val="24"/>
        </w:rPr>
        <w:t>Para la elección de un método de conservación se deben tener en cuenta cuatro aspectos fundamentales: mantener el 70% de las células viables, la pureza, la estabilidad genética al final de la conservación de los aislamientos (García</w:t>
      </w:r>
      <w:r w:rsidR="006169D9">
        <w:rPr>
          <w:rFonts w:ascii="Times New Roman" w:hAnsi="Times New Roman" w:cs="Times New Roman"/>
          <w:sz w:val="24"/>
          <w:szCs w:val="24"/>
        </w:rPr>
        <w:t xml:space="preserve"> </w:t>
      </w:r>
      <w:r w:rsidR="00FC1538">
        <w:rPr>
          <w:rFonts w:ascii="Times New Roman" w:hAnsi="Times New Roman" w:cs="Times New Roman"/>
          <w:sz w:val="24"/>
          <w:szCs w:val="24"/>
        </w:rPr>
        <w:t>&amp;</w:t>
      </w:r>
      <w:r w:rsidR="00616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9D9">
        <w:rPr>
          <w:rFonts w:ascii="Times New Roman" w:hAnsi="Times New Roman" w:cs="Times New Roman"/>
          <w:sz w:val="24"/>
          <w:szCs w:val="24"/>
        </w:rPr>
        <w:t>Uruburu</w:t>
      </w:r>
      <w:proofErr w:type="spellEnd"/>
      <w:r w:rsidR="00837167">
        <w:rPr>
          <w:rFonts w:ascii="Times New Roman" w:hAnsi="Times New Roman" w:cs="Times New Roman"/>
          <w:sz w:val="24"/>
          <w:szCs w:val="24"/>
        </w:rPr>
        <w:t>,</w:t>
      </w:r>
      <w:r w:rsidRPr="005B142E">
        <w:rPr>
          <w:rFonts w:ascii="Times New Roman" w:hAnsi="Times New Roman" w:cs="Times New Roman"/>
          <w:sz w:val="24"/>
          <w:szCs w:val="24"/>
        </w:rPr>
        <w:t xml:space="preserve"> 2001) y los costos que implica el proceso (Parra</w:t>
      </w:r>
      <w:r w:rsidR="00B2355E">
        <w:rPr>
          <w:rFonts w:ascii="Times New Roman" w:hAnsi="Times New Roman" w:cs="Times New Roman"/>
          <w:sz w:val="24"/>
          <w:szCs w:val="24"/>
        </w:rPr>
        <w:t xml:space="preserve"> </w:t>
      </w:r>
      <w:r w:rsidR="00B2355E">
        <w:rPr>
          <w:rFonts w:ascii="Times New Roman" w:hAnsi="Times New Roman" w:cs="Times New Roman"/>
          <w:i/>
          <w:sz w:val="24"/>
          <w:szCs w:val="24"/>
        </w:rPr>
        <w:t>et al.</w:t>
      </w:r>
      <w:r w:rsidR="00B5366F">
        <w:rPr>
          <w:rFonts w:ascii="Times New Roman" w:hAnsi="Times New Roman" w:cs="Times New Roman"/>
          <w:i/>
          <w:sz w:val="24"/>
          <w:szCs w:val="24"/>
        </w:rPr>
        <w:t>,</w:t>
      </w:r>
      <w:r w:rsidRPr="005B142E">
        <w:rPr>
          <w:rFonts w:ascii="Times New Roman" w:hAnsi="Times New Roman" w:cs="Times New Roman"/>
          <w:sz w:val="24"/>
          <w:szCs w:val="24"/>
        </w:rPr>
        <w:t xml:space="preserve"> 2006). Existen diversos métodos de conservación entre los que se encuentran congelación y liofilización; </w:t>
      </w:r>
      <w:proofErr w:type="spellStart"/>
      <w:r w:rsidRPr="005B142E">
        <w:rPr>
          <w:rFonts w:ascii="Times New Roman" w:hAnsi="Times New Roman" w:cs="Times New Roman"/>
          <w:sz w:val="24"/>
          <w:szCs w:val="24"/>
        </w:rPr>
        <w:t>sílica</w:t>
      </w:r>
      <w:proofErr w:type="spellEnd"/>
      <w:r w:rsidRPr="005B142E">
        <w:rPr>
          <w:rFonts w:ascii="Times New Roman" w:hAnsi="Times New Roman" w:cs="Times New Roman"/>
          <w:sz w:val="24"/>
          <w:szCs w:val="24"/>
        </w:rPr>
        <w:t xml:space="preserve"> gel, arcilla y arena; y transferencia periódica, clasificándose según el tiempo en largo, mediano y corto plazo respectivamente. Es necesario entonces</w:t>
      </w:r>
      <w:r w:rsidR="00237996">
        <w:rPr>
          <w:rFonts w:ascii="Times New Roman" w:hAnsi="Times New Roman" w:cs="Times New Roman"/>
          <w:sz w:val="24"/>
          <w:szCs w:val="24"/>
        </w:rPr>
        <w:t>,</w:t>
      </w:r>
      <w:r w:rsidRPr="005B142E">
        <w:rPr>
          <w:rFonts w:ascii="Times New Roman" w:hAnsi="Times New Roman" w:cs="Times New Roman"/>
          <w:sz w:val="24"/>
          <w:szCs w:val="24"/>
        </w:rPr>
        <w:t xml:space="preserve"> encontrar métodos que permitan la conservación de microorganismos que presentan características de gran interés</w:t>
      </w:r>
      <w:r w:rsidR="00237996">
        <w:rPr>
          <w:rFonts w:ascii="Times New Roman" w:hAnsi="Times New Roman" w:cs="Times New Roman"/>
          <w:sz w:val="24"/>
          <w:szCs w:val="24"/>
        </w:rPr>
        <w:t>,</w:t>
      </w:r>
      <w:r w:rsidRPr="005B142E">
        <w:rPr>
          <w:rFonts w:ascii="Times New Roman" w:hAnsi="Times New Roman" w:cs="Times New Roman"/>
          <w:sz w:val="24"/>
          <w:szCs w:val="24"/>
        </w:rPr>
        <w:t xml:space="preserve"> como producción de metabolitos secundarios o en este caso la solubilización de fósforo. </w:t>
      </w:r>
    </w:p>
    <w:p w:rsidR="00EC0D6F" w:rsidRPr="00931B17" w:rsidRDefault="00931B17" w:rsidP="00931B17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B0279A">
        <w:rPr>
          <w:rFonts w:ascii="Times New Roman" w:hAnsi="Times New Roman" w:cs="Times New Roman"/>
          <w:sz w:val="24"/>
          <w:szCs w:val="24"/>
        </w:rPr>
        <w:t xml:space="preserve">fósforo </w:t>
      </w:r>
      <w:r>
        <w:rPr>
          <w:rFonts w:ascii="Times New Roman" w:hAnsi="Times New Roman" w:cs="Times New Roman"/>
          <w:sz w:val="24"/>
          <w:szCs w:val="24"/>
        </w:rPr>
        <w:t xml:space="preserve">es un </w:t>
      </w:r>
      <w:proofErr w:type="spellStart"/>
      <w:r>
        <w:rPr>
          <w:rFonts w:ascii="Times New Roman" w:hAnsi="Times New Roman" w:cs="Times New Roman"/>
          <w:sz w:val="24"/>
          <w:szCs w:val="24"/>
        </w:rPr>
        <w:t>macronutriente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esencial para el desarrollo de las plantas, sin embargo no se encuentra</w:t>
      </w:r>
      <w:r w:rsidR="00493F67">
        <w:rPr>
          <w:rFonts w:ascii="Times New Roman" w:hAnsi="Times New Roman" w:cs="Times New Roman"/>
          <w:sz w:val="24"/>
          <w:szCs w:val="24"/>
        </w:rPr>
        <w:t xml:space="preserve"> frecuentemente en formas</w:t>
      </w:r>
      <w:r>
        <w:rPr>
          <w:rFonts w:ascii="Times New Roman" w:hAnsi="Times New Roman" w:cs="Times New Roman"/>
          <w:sz w:val="24"/>
          <w:szCs w:val="24"/>
        </w:rPr>
        <w:t xml:space="preserve"> disponible</w:t>
      </w:r>
      <w:r w:rsidR="00493F6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en el suelo, por lo cual las plantas no pueden </w:t>
      </w:r>
      <w:r w:rsidR="00493F67">
        <w:rPr>
          <w:rFonts w:ascii="Times New Roman" w:hAnsi="Times New Roman" w:cs="Times New Roman"/>
          <w:sz w:val="24"/>
          <w:szCs w:val="24"/>
        </w:rPr>
        <w:t xml:space="preserve">usarlo </w:t>
      </w:r>
      <w:r>
        <w:rPr>
          <w:rFonts w:ascii="Times New Roman" w:hAnsi="Times New Roman" w:cs="Times New Roman"/>
          <w:sz w:val="24"/>
          <w:szCs w:val="24"/>
        </w:rPr>
        <w:t>para su desarrollo. Existen diversas formas de transformar fosforo no disponible</w:t>
      </w:r>
      <w:r w:rsidR="00F50A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 </w:t>
      </w:r>
      <w:r w:rsidR="00F50ADA">
        <w:rPr>
          <w:rFonts w:ascii="Times New Roman" w:hAnsi="Times New Roman" w:cs="Times New Roman"/>
          <w:sz w:val="24"/>
          <w:szCs w:val="24"/>
        </w:rPr>
        <w:t xml:space="preserve">formas </w:t>
      </w:r>
      <w:r>
        <w:rPr>
          <w:rFonts w:ascii="Times New Roman" w:hAnsi="Times New Roman" w:cs="Times New Roman"/>
          <w:sz w:val="24"/>
          <w:szCs w:val="24"/>
        </w:rPr>
        <w:t>disponible</w:t>
      </w:r>
      <w:r w:rsidR="00F50AD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como la solubilización mediante la producción de ácidos orgánicos</w:t>
      </w:r>
      <w:r w:rsidR="00F50ADA">
        <w:rPr>
          <w:rFonts w:ascii="Times New Roman" w:hAnsi="Times New Roman" w:cs="Times New Roman"/>
          <w:sz w:val="24"/>
          <w:szCs w:val="24"/>
        </w:rPr>
        <w:t xml:space="preserve"> la cual</w:t>
      </w:r>
      <w:r>
        <w:rPr>
          <w:rFonts w:ascii="Times New Roman" w:hAnsi="Times New Roman" w:cs="Times New Roman"/>
          <w:sz w:val="24"/>
          <w:szCs w:val="24"/>
        </w:rPr>
        <w:t xml:space="preserve"> libera fosforo inorgánico como </w:t>
      </w:r>
      <w:proofErr w:type="spellStart"/>
      <w:r>
        <w:rPr>
          <w:rFonts w:ascii="Times New Roman" w:hAnsi="Times New Roman" w:cs="Times New Roman"/>
          <w:sz w:val="24"/>
          <w:szCs w:val="24"/>
        </w:rPr>
        <w:t>ortofosfatos</w:t>
      </w:r>
      <w:proofErr w:type="spellEnd"/>
      <w:r w:rsidR="00F50A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F50ADA">
        <w:rPr>
          <w:rFonts w:ascii="Times New Roman" w:hAnsi="Times New Roman" w:cs="Times New Roman"/>
          <w:sz w:val="24"/>
          <w:szCs w:val="24"/>
        </w:rPr>
        <w:t>pueden 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ADA">
        <w:rPr>
          <w:rFonts w:ascii="Times New Roman" w:hAnsi="Times New Roman" w:cs="Times New Roman"/>
          <w:sz w:val="24"/>
          <w:szCs w:val="24"/>
        </w:rPr>
        <w:t xml:space="preserve">asimilados </w:t>
      </w:r>
      <w:r>
        <w:rPr>
          <w:rFonts w:ascii="Times New Roman" w:hAnsi="Times New Roman" w:cs="Times New Roman"/>
          <w:sz w:val="24"/>
          <w:szCs w:val="24"/>
        </w:rPr>
        <w:t>por las plantas para su crecimiento.</w:t>
      </w:r>
      <w:r w:rsidR="00EC0D6F" w:rsidRPr="005B142E">
        <w:rPr>
          <w:rFonts w:ascii="Times New Roman" w:hAnsi="Times New Roman" w:cs="Times New Roman"/>
          <w:sz w:val="24"/>
          <w:szCs w:val="24"/>
        </w:rPr>
        <w:t xml:space="preserve"> Existen diferentes microorganismos capaces de solubilizar fósforo como las </w:t>
      </w:r>
      <w:proofErr w:type="spellStart"/>
      <w:r w:rsidR="00EC0D6F" w:rsidRPr="005B142E">
        <w:rPr>
          <w:rFonts w:ascii="Times New Roman" w:hAnsi="Times New Roman" w:cs="Times New Roman"/>
          <w:sz w:val="24"/>
          <w:szCs w:val="24"/>
        </w:rPr>
        <w:t>actinobacterias</w:t>
      </w:r>
      <w:proofErr w:type="spellEnd"/>
      <w:r w:rsidR="00EC0D6F">
        <w:rPr>
          <w:rFonts w:ascii="Times New Roman" w:hAnsi="Times New Roman" w:cs="Times New Roman"/>
          <w:sz w:val="24"/>
          <w:szCs w:val="24"/>
        </w:rPr>
        <w:t>,</w:t>
      </w:r>
      <w:r w:rsidR="00EC0D6F" w:rsidRPr="005B142E">
        <w:rPr>
          <w:rFonts w:ascii="Times New Roman" w:hAnsi="Times New Roman" w:cs="Times New Roman"/>
          <w:sz w:val="24"/>
          <w:szCs w:val="24"/>
        </w:rPr>
        <w:t xml:space="preserve"> bacterias </w:t>
      </w:r>
      <w:proofErr w:type="spellStart"/>
      <w:r w:rsidR="00EC0D6F" w:rsidRPr="005B142E">
        <w:rPr>
          <w:rFonts w:ascii="Times New Roman" w:hAnsi="Times New Roman" w:cs="Times New Roman"/>
          <w:sz w:val="24"/>
          <w:szCs w:val="24"/>
        </w:rPr>
        <w:t>Gram</w:t>
      </w:r>
      <w:proofErr w:type="spellEnd"/>
      <w:r w:rsidR="00EC0D6F" w:rsidRPr="005B142E">
        <w:rPr>
          <w:rFonts w:ascii="Times New Roman" w:hAnsi="Times New Roman" w:cs="Times New Roman"/>
          <w:sz w:val="24"/>
          <w:szCs w:val="24"/>
        </w:rPr>
        <w:t xml:space="preserve"> positivas filamentosas ampliamente distribuidas en distintos tipos de ambientes como el suelo y  agua, aunque también se pueden encontrar en el hombre; son microorganismos heterótrofos, aerobios y su temperatura óptima de crecimiento es de 25 - 30°C (Franco</w:t>
      </w:r>
      <w:r w:rsidR="008371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2008), sin embargo</w:t>
      </w:r>
      <w:r w:rsidR="00F37475">
        <w:rPr>
          <w:rFonts w:ascii="Times New Roman" w:hAnsi="Times New Roman" w:cs="Times New Roman"/>
          <w:sz w:val="24"/>
          <w:szCs w:val="24"/>
        </w:rPr>
        <w:t>,</w:t>
      </w:r>
      <w:r w:rsidR="00EC0D6F" w:rsidRPr="005B142E">
        <w:rPr>
          <w:rFonts w:ascii="Times New Roman" w:hAnsi="Times New Roman" w:cs="Times New Roman"/>
          <w:sz w:val="24"/>
          <w:szCs w:val="24"/>
        </w:rPr>
        <w:t xml:space="preserve"> se han reportado</w:t>
      </w:r>
      <w:r>
        <w:rPr>
          <w:rFonts w:ascii="Times New Roman" w:hAnsi="Times New Roman" w:cs="Times New Roman"/>
          <w:sz w:val="24"/>
          <w:szCs w:val="24"/>
        </w:rPr>
        <w:t xml:space="preserve"> pocos </w:t>
      </w:r>
      <w:r w:rsidR="00EC0D6F" w:rsidRPr="005B142E">
        <w:rPr>
          <w:rFonts w:ascii="Times New Roman" w:hAnsi="Times New Roman" w:cs="Times New Roman"/>
          <w:sz w:val="24"/>
          <w:szCs w:val="24"/>
        </w:rPr>
        <w:t xml:space="preserve">métodos de conservación para </w:t>
      </w:r>
      <w:proofErr w:type="spellStart"/>
      <w:r w:rsidR="00EC0D6F" w:rsidRPr="005B142E">
        <w:rPr>
          <w:rFonts w:ascii="Times New Roman" w:hAnsi="Times New Roman" w:cs="Times New Roman"/>
          <w:sz w:val="24"/>
          <w:szCs w:val="24"/>
        </w:rPr>
        <w:t>actinobacterias</w:t>
      </w:r>
      <w:proofErr w:type="spellEnd"/>
      <w:r w:rsidR="00EC0D6F" w:rsidRPr="005B142E">
        <w:rPr>
          <w:rFonts w:ascii="Times New Roman" w:hAnsi="Times New Roman" w:cs="Times New Roman"/>
          <w:sz w:val="24"/>
          <w:szCs w:val="24"/>
        </w:rPr>
        <w:t xml:space="preserve">, por lo tanto el objetivo de este trabajo es </w:t>
      </w:r>
      <w:r w:rsidR="00F50ADA">
        <w:rPr>
          <w:rFonts w:ascii="Times New Roman" w:hAnsi="Times New Roman" w:cs="Times New Roman"/>
          <w:sz w:val="24"/>
          <w:szCs w:val="24"/>
        </w:rPr>
        <w:t>definir un método</w:t>
      </w:r>
      <w:r w:rsidR="002D68D0">
        <w:rPr>
          <w:rFonts w:ascii="Times New Roman" w:hAnsi="Times New Roman" w:cs="Times New Roman"/>
          <w:sz w:val="24"/>
          <w:szCs w:val="24"/>
        </w:rPr>
        <w:t xml:space="preserve"> adecuado</w:t>
      </w:r>
      <w:r w:rsidR="00EC0D6F" w:rsidRPr="005B142E">
        <w:rPr>
          <w:rFonts w:ascii="Times New Roman" w:hAnsi="Times New Roman" w:cs="Times New Roman"/>
          <w:sz w:val="24"/>
          <w:szCs w:val="24"/>
        </w:rPr>
        <w:t xml:space="preserve"> de conservación para </w:t>
      </w:r>
      <w:proofErr w:type="spellStart"/>
      <w:r w:rsidR="00EC0D6F" w:rsidRPr="005B142E">
        <w:rPr>
          <w:rFonts w:ascii="Times New Roman" w:hAnsi="Times New Roman" w:cs="Times New Roman"/>
          <w:sz w:val="24"/>
          <w:szCs w:val="24"/>
        </w:rPr>
        <w:t>actinobacterias</w:t>
      </w:r>
      <w:proofErr w:type="spellEnd"/>
      <w:r w:rsidR="00EC0D6F" w:rsidRPr="005B142E">
        <w:rPr>
          <w:rFonts w:ascii="Times New Roman" w:hAnsi="Times New Roman" w:cs="Times New Roman"/>
          <w:sz w:val="24"/>
          <w:szCs w:val="24"/>
        </w:rPr>
        <w:t xml:space="preserve"> que presenten actividad solubilizadora de fósforo.  </w:t>
      </w:r>
    </w:p>
    <w:p w:rsidR="00EC0D6F" w:rsidRPr="005B142E" w:rsidRDefault="00EC0D6F" w:rsidP="00EC0D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D6F" w:rsidRDefault="00EC0D6F" w:rsidP="00EC0D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68D">
        <w:rPr>
          <w:rFonts w:ascii="Times New Roman" w:hAnsi="Times New Roman" w:cs="Times New Roman"/>
          <w:b/>
          <w:sz w:val="24"/>
          <w:szCs w:val="24"/>
        </w:rPr>
        <w:lastRenderedPageBreak/>
        <w:t>METODOLOGÍA</w:t>
      </w:r>
    </w:p>
    <w:p w:rsidR="00EC0D6F" w:rsidRDefault="00EC0D6F" w:rsidP="00FC1538">
      <w:pPr>
        <w:jc w:val="both"/>
        <w:rPr>
          <w:rFonts w:ascii="Times New Roman" w:hAnsi="Times New Roman" w:cs="Times New Roman"/>
          <w:sz w:val="24"/>
          <w:szCs w:val="24"/>
        </w:rPr>
      </w:pPr>
      <w:r w:rsidRPr="0040718C">
        <w:rPr>
          <w:rFonts w:ascii="Times New Roman" w:hAnsi="Times New Roman" w:cs="Times New Roman"/>
          <w:sz w:val="24"/>
          <w:szCs w:val="24"/>
        </w:rPr>
        <w:t>Se seleccionaron 15 aislamientos</w:t>
      </w:r>
      <w:r w:rsidR="006169D9">
        <w:rPr>
          <w:rFonts w:ascii="Times New Roman" w:hAnsi="Times New Roman" w:cs="Times New Roman"/>
          <w:sz w:val="24"/>
          <w:szCs w:val="24"/>
        </w:rPr>
        <w:t xml:space="preserve"> (Prieto</w:t>
      </w:r>
      <w:r w:rsidR="00B2355E">
        <w:rPr>
          <w:rFonts w:ascii="Times New Roman" w:hAnsi="Times New Roman" w:cs="Times New Roman"/>
          <w:sz w:val="24"/>
          <w:szCs w:val="24"/>
        </w:rPr>
        <w:t xml:space="preserve"> </w:t>
      </w:r>
      <w:r w:rsidR="00B2355E">
        <w:rPr>
          <w:rFonts w:ascii="Times New Roman" w:hAnsi="Times New Roman" w:cs="Times New Roman"/>
          <w:i/>
          <w:sz w:val="24"/>
          <w:szCs w:val="24"/>
        </w:rPr>
        <w:t>et al.</w:t>
      </w:r>
      <w:r w:rsidR="00B5366F">
        <w:rPr>
          <w:rFonts w:ascii="Times New Roman" w:hAnsi="Times New Roman" w:cs="Times New Roman"/>
          <w:i/>
          <w:sz w:val="24"/>
          <w:szCs w:val="24"/>
        </w:rPr>
        <w:t>,</w:t>
      </w:r>
      <w:r w:rsidR="00B235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69D9">
        <w:rPr>
          <w:rFonts w:ascii="Times New Roman" w:hAnsi="Times New Roman" w:cs="Times New Roman"/>
          <w:sz w:val="24"/>
          <w:szCs w:val="24"/>
        </w:rPr>
        <w:t>2015)</w:t>
      </w:r>
      <w:r w:rsidRPr="0040718C">
        <w:rPr>
          <w:rFonts w:ascii="Times New Roman" w:hAnsi="Times New Roman" w:cs="Times New Roman"/>
          <w:sz w:val="24"/>
          <w:szCs w:val="24"/>
        </w:rPr>
        <w:t xml:space="preserve"> de la Unidad de Investigaciones Agropecuarias de la Pontificia Universidad Javeriana para el estudio, las cuales presenta</w:t>
      </w:r>
      <w:r w:rsidR="006B36D6">
        <w:rPr>
          <w:rFonts w:ascii="Times New Roman" w:hAnsi="Times New Roman" w:cs="Times New Roman"/>
          <w:sz w:val="24"/>
          <w:szCs w:val="24"/>
        </w:rPr>
        <w:t>ro</w:t>
      </w:r>
      <w:r w:rsidRPr="0040718C">
        <w:rPr>
          <w:rFonts w:ascii="Times New Roman" w:hAnsi="Times New Roman" w:cs="Times New Roman"/>
          <w:sz w:val="24"/>
          <w:szCs w:val="24"/>
        </w:rPr>
        <w:t>n actividad solubilizadora de fósforo según Prada</w:t>
      </w:r>
      <w:r w:rsidR="00B2355E">
        <w:rPr>
          <w:rFonts w:ascii="Times New Roman" w:hAnsi="Times New Roman" w:cs="Times New Roman"/>
          <w:sz w:val="24"/>
          <w:szCs w:val="24"/>
        </w:rPr>
        <w:t xml:space="preserve">, Prieto </w:t>
      </w:r>
      <w:r w:rsidR="00B5366F">
        <w:rPr>
          <w:rFonts w:ascii="Times New Roman" w:hAnsi="Times New Roman" w:cs="Times New Roman"/>
          <w:sz w:val="24"/>
          <w:szCs w:val="24"/>
        </w:rPr>
        <w:t>&amp;</w:t>
      </w:r>
      <w:r w:rsidR="004E35E7">
        <w:rPr>
          <w:rFonts w:ascii="Times New Roman" w:hAnsi="Times New Roman" w:cs="Times New Roman"/>
          <w:sz w:val="24"/>
          <w:szCs w:val="24"/>
        </w:rPr>
        <w:t xml:space="preserve"> Franco</w:t>
      </w:r>
      <w:r w:rsidRPr="0040718C">
        <w:rPr>
          <w:rFonts w:ascii="Times New Roman" w:hAnsi="Times New Roman" w:cs="Times New Roman"/>
          <w:sz w:val="24"/>
          <w:szCs w:val="24"/>
        </w:rPr>
        <w:t xml:space="preserve"> (2014)</w:t>
      </w:r>
      <w:r w:rsidR="006169D9">
        <w:rPr>
          <w:rFonts w:ascii="Times New Roman" w:hAnsi="Times New Roman" w:cs="Times New Roman"/>
          <w:sz w:val="24"/>
          <w:szCs w:val="24"/>
        </w:rPr>
        <w:t>.</w:t>
      </w:r>
    </w:p>
    <w:p w:rsidR="00137C0F" w:rsidRPr="0040718C" w:rsidRDefault="00EC3794" w:rsidP="00EC0D6F">
      <w:pPr>
        <w:spacing w:line="240" w:lineRule="auto"/>
        <w:jc w:val="both"/>
      </w:pPr>
      <w:r w:rsidRPr="004E35E7">
        <w:rPr>
          <w:rFonts w:ascii="Times New Roman" w:hAnsi="Times New Roman" w:cs="Times New Roman"/>
          <w:b/>
          <w:sz w:val="24"/>
          <w:szCs w:val="24"/>
        </w:rPr>
        <w:t>MÉTODOS DE LARGO PLAZO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9E5">
        <w:rPr>
          <w:rFonts w:ascii="Times New Roman" w:hAnsi="Times New Roman" w:cs="Times New Roman"/>
          <w:sz w:val="24"/>
          <w:szCs w:val="24"/>
        </w:rPr>
        <w:t>(1 año de conservación)</w:t>
      </w:r>
    </w:p>
    <w:p w:rsidR="00EC0D6F" w:rsidRPr="00B2368D" w:rsidRDefault="00EC0D6F" w:rsidP="00EC0D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68D">
        <w:rPr>
          <w:rFonts w:ascii="Times New Roman" w:hAnsi="Times New Roman" w:cs="Times New Roman"/>
          <w:b/>
          <w:sz w:val="24"/>
          <w:szCs w:val="24"/>
        </w:rPr>
        <w:t>Liofilización</w:t>
      </w:r>
    </w:p>
    <w:p w:rsidR="00EC0D6F" w:rsidRPr="00B2368D" w:rsidRDefault="005C29EA" w:rsidP="00FC1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us</w:t>
      </w:r>
      <w:r w:rsidR="00612246">
        <w:rPr>
          <w:rFonts w:ascii="Times New Roman" w:hAnsi="Times New Roman" w:cs="Times New Roman"/>
          <w:sz w:val="24"/>
          <w:szCs w:val="24"/>
        </w:rPr>
        <w:t>ó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EC0D6F" w:rsidRPr="00B2368D">
        <w:rPr>
          <w:rFonts w:ascii="Times New Roman" w:hAnsi="Times New Roman" w:cs="Times New Roman"/>
          <w:sz w:val="24"/>
          <w:szCs w:val="24"/>
        </w:rPr>
        <w:t>liofilizador</w:t>
      </w:r>
      <w:proofErr w:type="spellEnd"/>
      <w:r w:rsidR="00EC0D6F" w:rsidRPr="00B2368D">
        <w:rPr>
          <w:rFonts w:ascii="Times New Roman" w:hAnsi="Times New Roman" w:cs="Times New Roman"/>
          <w:sz w:val="24"/>
          <w:szCs w:val="24"/>
        </w:rPr>
        <w:t xml:space="preserve"> LABCONCO FREEZE DRY SISTEM / FREE ZONE 4.5 el cual se </w:t>
      </w:r>
      <w:r w:rsidR="006B36D6">
        <w:rPr>
          <w:rFonts w:ascii="Times New Roman" w:hAnsi="Times New Roman" w:cs="Times New Roman"/>
          <w:sz w:val="24"/>
          <w:szCs w:val="24"/>
        </w:rPr>
        <w:t>mantuvo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 una temperatura de -50°C, </w:t>
      </w:r>
      <w:r w:rsidR="00EC0D6F">
        <w:rPr>
          <w:rFonts w:ascii="Times New Roman" w:hAnsi="Times New Roman" w:cs="Times New Roman"/>
          <w:sz w:val="24"/>
          <w:szCs w:val="24"/>
        </w:rPr>
        <w:t xml:space="preserve">se usaron 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viales </w:t>
      </w:r>
      <w:r w:rsidR="00EC0D6F">
        <w:rPr>
          <w:rFonts w:ascii="Times New Roman" w:hAnsi="Times New Roman" w:cs="Times New Roman"/>
          <w:sz w:val="24"/>
          <w:szCs w:val="24"/>
        </w:rPr>
        <w:t>con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 una capacidad </w:t>
      </w:r>
      <w:r w:rsidR="00EC0D6F">
        <w:rPr>
          <w:rFonts w:ascii="Times New Roman" w:hAnsi="Times New Roman" w:cs="Times New Roman"/>
          <w:sz w:val="24"/>
          <w:szCs w:val="24"/>
        </w:rPr>
        <w:t xml:space="preserve">volumétrica 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de 2,5 </w:t>
      </w:r>
      <w:proofErr w:type="spellStart"/>
      <w:r w:rsidR="00EC0D6F" w:rsidRPr="00B2368D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EC0D6F" w:rsidRPr="00B2368D">
        <w:rPr>
          <w:rFonts w:ascii="Times New Roman" w:hAnsi="Times New Roman" w:cs="Times New Roman"/>
          <w:sz w:val="24"/>
          <w:szCs w:val="24"/>
        </w:rPr>
        <w:t xml:space="preserve"> y como </w:t>
      </w:r>
      <w:proofErr w:type="spellStart"/>
      <w:r w:rsidR="00EC0D6F" w:rsidRPr="00B2368D">
        <w:rPr>
          <w:rFonts w:ascii="Times New Roman" w:hAnsi="Times New Roman" w:cs="Times New Roman"/>
          <w:sz w:val="24"/>
          <w:szCs w:val="24"/>
        </w:rPr>
        <w:t>crioconservante</w:t>
      </w:r>
      <w:proofErr w:type="spellEnd"/>
      <w:r w:rsidR="00EC0D6F" w:rsidRPr="00B23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D6F" w:rsidRPr="00B2368D">
        <w:rPr>
          <w:rFonts w:ascii="Times New Roman" w:hAnsi="Times New Roman" w:cs="Times New Roman"/>
          <w:sz w:val="24"/>
          <w:szCs w:val="24"/>
        </w:rPr>
        <w:t>Skim</w:t>
      </w:r>
      <w:proofErr w:type="spellEnd"/>
      <w:r w:rsidR="00EC0D6F" w:rsidRPr="00B23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D6F" w:rsidRPr="00B2368D">
        <w:rPr>
          <w:rFonts w:ascii="Times New Roman" w:hAnsi="Times New Roman" w:cs="Times New Roman"/>
          <w:sz w:val="24"/>
          <w:szCs w:val="24"/>
        </w:rPr>
        <w:t>Milk</w:t>
      </w:r>
      <w:proofErr w:type="spellEnd"/>
      <w:r w:rsidR="00EC0D6F" w:rsidRPr="00B2368D">
        <w:rPr>
          <w:rFonts w:ascii="Times New Roman" w:hAnsi="Times New Roman" w:cs="Times New Roman"/>
          <w:sz w:val="24"/>
          <w:szCs w:val="24"/>
        </w:rPr>
        <w:t xml:space="preserve"> al 18%</w:t>
      </w:r>
      <w:r w:rsidR="00EC0D6F">
        <w:rPr>
          <w:rFonts w:ascii="Times New Roman" w:hAnsi="Times New Roman" w:cs="Times New Roman"/>
          <w:sz w:val="24"/>
          <w:szCs w:val="24"/>
        </w:rPr>
        <w:t xml:space="preserve"> (p/v),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 se </w:t>
      </w:r>
      <w:r w:rsidR="00EC0D6F">
        <w:rPr>
          <w:rFonts w:ascii="Times New Roman" w:hAnsi="Times New Roman" w:cs="Times New Roman"/>
          <w:sz w:val="24"/>
          <w:szCs w:val="24"/>
        </w:rPr>
        <w:t xml:space="preserve">prepararon </w:t>
      </w:r>
      <w:proofErr w:type="spellStart"/>
      <w:r w:rsidR="00EC0D6F" w:rsidRPr="00B2368D">
        <w:rPr>
          <w:rFonts w:ascii="Times New Roman" w:hAnsi="Times New Roman" w:cs="Times New Roman"/>
          <w:sz w:val="24"/>
          <w:szCs w:val="24"/>
        </w:rPr>
        <w:t>inóculos</w:t>
      </w:r>
      <w:proofErr w:type="spellEnd"/>
      <w:r w:rsidR="00EC0D6F" w:rsidRPr="00B2368D">
        <w:rPr>
          <w:rFonts w:ascii="Times New Roman" w:hAnsi="Times New Roman" w:cs="Times New Roman"/>
          <w:sz w:val="24"/>
          <w:szCs w:val="24"/>
        </w:rPr>
        <w:t xml:space="preserve"> en solución salina al 0,85% (p/v)  a una concentración de10</w:t>
      </w:r>
      <w:r w:rsidR="00EC0D6F" w:rsidRPr="00B2368D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D6F" w:rsidRPr="00B2368D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EC0D6F" w:rsidRPr="00B2368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C0D6F" w:rsidRPr="00B2368D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EC0D6F" w:rsidRPr="00B2368D">
        <w:rPr>
          <w:rFonts w:ascii="Times New Roman" w:hAnsi="Times New Roman" w:cs="Times New Roman"/>
          <w:sz w:val="24"/>
          <w:szCs w:val="24"/>
        </w:rPr>
        <w:t xml:space="preserve"> (García</w:t>
      </w:r>
      <w:r w:rsidR="00612246">
        <w:rPr>
          <w:rFonts w:ascii="Times New Roman" w:hAnsi="Times New Roman" w:cs="Times New Roman"/>
          <w:sz w:val="24"/>
          <w:szCs w:val="24"/>
        </w:rPr>
        <w:t xml:space="preserve"> </w:t>
      </w:r>
      <w:r w:rsidR="00FC1538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="00FC1538">
        <w:rPr>
          <w:rFonts w:ascii="Times New Roman" w:hAnsi="Times New Roman" w:cs="Times New Roman"/>
          <w:sz w:val="24"/>
          <w:szCs w:val="24"/>
        </w:rPr>
        <w:t>Uruburu</w:t>
      </w:r>
      <w:proofErr w:type="spellEnd"/>
      <w:r w:rsidR="00837167">
        <w:rPr>
          <w:rFonts w:ascii="Times New Roman" w:hAnsi="Times New Roman" w:cs="Times New Roman"/>
          <w:sz w:val="24"/>
          <w:szCs w:val="24"/>
        </w:rPr>
        <w:t>,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 2001). Para ello se realizaron recuentos en cámara de </w:t>
      </w:r>
      <w:proofErr w:type="spellStart"/>
      <w:r w:rsidR="00EC0D6F" w:rsidRPr="00B2368D">
        <w:rPr>
          <w:rFonts w:ascii="Times New Roman" w:hAnsi="Times New Roman" w:cs="Times New Roman"/>
          <w:sz w:val="24"/>
          <w:szCs w:val="24"/>
        </w:rPr>
        <w:t>Neubauer</w:t>
      </w:r>
      <w:proofErr w:type="spellEnd"/>
      <w:r w:rsidR="00EC0D6F" w:rsidRPr="00B2368D">
        <w:rPr>
          <w:rFonts w:ascii="Times New Roman" w:hAnsi="Times New Roman" w:cs="Times New Roman"/>
          <w:sz w:val="24"/>
          <w:szCs w:val="24"/>
        </w:rPr>
        <w:t>, efectuando una tinción</w:t>
      </w:r>
      <w:r w:rsidR="00EC0D6F">
        <w:rPr>
          <w:rFonts w:ascii="Times New Roman" w:hAnsi="Times New Roman" w:cs="Times New Roman"/>
          <w:sz w:val="24"/>
          <w:szCs w:val="24"/>
        </w:rPr>
        <w:t xml:space="preserve"> de viabilidad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 con azul de </w:t>
      </w:r>
      <w:proofErr w:type="spellStart"/>
      <w:r w:rsidR="00EC0D6F" w:rsidRPr="00B2368D">
        <w:rPr>
          <w:rFonts w:ascii="Times New Roman" w:hAnsi="Times New Roman" w:cs="Times New Roman"/>
          <w:sz w:val="24"/>
          <w:szCs w:val="24"/>
        </w:rPr>
        <w:t>tripán</w:t>
      </w:r>
      <w:proofErr w:type="spellEnd"/>
      <w:r w:rsidR="00EC0D6F" w:rsidRPr="00B2368D">
        <w:rPr>
          <w:rFonts w:ascii="Times New Roman" w:hAnsi="Times New Roman" w:cs="Times New Roman"/>
          <w:sz w:val="24"/>
          <w:szCs w:val="24"/>
        </w:rPr>
        <w:t xml:space="preserve"> al 0,05% </w:t>
      </w:r>
      <w:r w:rsidR="00EC0D6F">
        <w:rPr>
          <w:rFonts w:ascii="Times New Roman" w:hAnsi="Times New Roman" w:cs="Times New Roman"/>
          <w:sz w:val="24"/>
          <w:szCs w:val="24"/>
        </w:rPr>
        <w:t xml:space="preserve">para </w:t>
      </w:r>
      <w:r w:rsidR="00F50ADA">
        <w:rPr>
          <w:rFonts w:ascii="Times New Roman" w:hAnsi="Times New Roman" w:cs="Times New Roman"/>
          <w:sz w:val="24"/>
          <w:szCs w:val="24"/>
        </w:rPr>
        <w:t>evidenciar</w:t>
      </w:r>
      <w:r w:rsidR="00EC0D6F">
        <w:rPr>
          <w:rFonts w:ascii="Times New Roman" w:hAnsi="Times New Roman" w:cs="Times New Roman"/>
          <w:sz w:val="24"/>
          <w:szCs w:val="24"/>
        </w:rPr>
        <w:t xml:space="preserve"> las células vivas de células muertas </w:t>
      </w:r>
      <w:r w:rsidR="00EC0D6F" w:rsidRPr="00B2368D">
        <w:rPr>
          <w:rFonts w:ascii="Times New Roman" w:hAnsi="Times New Roman" w:cs="Times New Roman"/>
          <w:sz w:val="24"/>
          <w:szCs w:val="24"/>
        </w:rPr>
        <w:t>(Cardona</w:t>
      </w:r>
      <w:r w:rsidR="00251376">
        <w:rPr>
          <w:rFonts w:ascii="Times New Roman" w:hAnsi="Times New Roman" w:cs="Times New Roman"/>
          <w:sz w:val="24"/>
          <w:szCs w:val="24"/>
        </w:rPr>
        <w:t xml:space="preserve"> </w:t>
      </w:r>
      <w:r w:rsidR="00251376">
        <w:rPr>
          <w:rFonts w:ascii="Times New Roman" w:hAnsi="Times New Roman" w:cs="Times New Roman"/>
          <w:i/>
          <w:sz w:val="24"/>
          <w:szCs w:val="24"/>
        </w:rPr>
        <w:t>et al</w:t>
      </w:r>
      <w:r w:rsidR="00DE37A6">
        <w:rPr>
          <w:rFonts w:ascii="Times New Roman" w:hAnsi="Times New Roman" w:cs="Times New Roman"/>
          <w:i/>
          <w:sz w:val="24"/>
          <w:szCs w:val="24"/>
        </w:rPr>
        <w:t>.</w:t>
      </w:r>
      <w:r w:rsidR="00B5366F">
        <w:rPr>
          <w:rFonts w:ascii="Times New Roman" w:hAnsi="Times New Roman" w:cs="Times New Roman"/>
          <w:i/>
          <w:sz w:val="24"/>
          <w:szCs w:val="24"/>
        </w:rPr>
        <w:t>,</w:t>
      </w:r>
      <w:r w:rsidR="002513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 2005)</w:t>
      </w:r>
      <w:r w:rsidR="00F50ADA">
        <w:rPr>
          <w:rFonts w:ascii="Times New Roman" w:hAnsi="Times New Roman" w:cs="Times New Roman"/>
          <w:sz w:val="24"/>
          <w:szCs w:val="24"/>
        </w:rPr>
        <w:t>.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 </w:t>
      </w:r>
      <w:r w:rsidR="00F50ADA" w:rsidRPr="00B2368D">
        <w:rPr>
          <w:rFonts w:ascii="Times New Roman" w:hAnsi="Times New Roman" w:cs="Times New Roman"/>
          <w:sz w:val="24"/>
          <w:szCs w:val="24"/>
        </w:rPr>
        <w:t>Finalmente</w:t>
      </w:r>
      <w:r w:rsidR="004952ED">
        <w:rPr>
          <w:rFonts w:ascii="Times New Roman" w:hAnsi="Times New Roman" w:cs="Times New Roman"/>
          <w:sz w:val="24"/>
          <w:szCs w:val="24"/>
        </w:rPr>
        <w:t>,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 el inóculo con el </w:t>
      </w:r>
      <w:proofErr w:type="spellStart"/>
      <w:r w:rsidR="00EC0D6F" w:rsidRPr="00B2368D">
        <w:rPr>
          <w:rFonts w:ascii="Times New Roman" w:hAnsi="Times New Roman" w:cs="Times New Roman"/>
          <w:sz w:val="24"/>
          <w:szCs w:val="24"/>
        </w:rPr>
        <w:t>crioconservante</w:t>
      </w:r>
      <w:proofErr w:type="spellEnd"/>
      <w:r w:rsidR="00EC0D6F" w:rsidRPr="00B2368D">
        <w:rPr>
          <w:rFonts w:ascii="Times New Roman" w:hAnsi="Times New Roman" w:cs="Times New Roman"/>
          <w:sz w:val="24"/>
          <w:szCs w:val="24"/>
        </w:rPr>
        <w:t xml:space="preserve"> se </w:t>
      </w:r>
      <w:r w:rsidR="00EC0D6F">
        <w:rPr>
          <w:rFonts w:ascii="Times New Roman" w:hAnsi="Times New Roman" w:cs="Times New Roman"/>
          <w:sz w:val="24"/>
          <w:szCs w:val="24"/>
        </w:rPr>
        <w:t>ajustó en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 una proporción 1:1 y se almacenaron a una temperatura de 4°C (García</w:t>
      </w:r>
      <w:r w:rsidR="00FC153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FC1538">
        <w:rPr>
          <w:rFonts w:ascii="Times New Roman" w:hAnsi="Times New Roman" w:cs="Times New Roman"/>
          <w:sz w:val="24"/>
          <w:szCs w:val="24"/>
        </w:rPr>
        <w:t>Uruburu</w:t>
      </w:r>
      <w:proofErr w:type="spellEnd"/>
      <w:r w:rsidR="0094427E">
        <w:rPr>
          <w:rFonts w:ascii="Times New Roman" w:hAnsi="Times New Roman" w:cs="Times New Roman"/>
          <w:sz w:val="24"/>
          <w:szCs w:val="24"/>
        </w:rPr>
        <w:t>,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 2001). Para su reactivación se tomaron 0,5 </w:t>
      </w:r>
      <w:proofErr w:type="spellStart"/>
      <w:r w:rsidR="00EC0D6F" w:rsidRPr="00B2368D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EC0D6F" w:rsidRPr="00B2368D">
        <w:rPr>
          <w:rFonts w:ascii="Times New Roman" w:hAnsi="Times New Roman" w:cs="Times New Roman"/>
          <w:sz w:val="24"/>
          <w:szCs w:val="24"/>
        </w:rPr>
        <w:t xml:space="preserve"> de solución salina con una jeringa de 3 </w:t>
      </w:r>
      <w:proofErr w:type="spellStart"/>
      <w:r w:rsidR="00EC0D6F" w:rsidRPr="00B2368D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EC0D6F" w:rsidRPr="00B2368D">
        <w:rPr>
          <w:rFonts w:ascii="Times New Roman" w:hAnsi="Times New Roman" w:cs="Times New Roman"/>
          <w:sz w:val="24"/>
          <w:szCs w:val="24"/>
        </w:rPr>
        <w:t xml:space="preserve"> y se agregaron al liófilo </w:t>
      </w:r>
      <w:r w:rsidR="00EC0D6F">
        <w:rPr>
          <w:rFonts w:ascii="Times New Roman" w:hAnsi="Times New Roman" w:cs="Times New Roman"/>
          <w:sz w:val="24"/>
          <w:szCs w:val="24"/>
        </w:rPr>
        <w:t xml:space="preserve">homogenizando la solución, </w:t>
      </w:r>
      <w:r w:rsidR="00F50ADA">
        <w:rPr>
          <w:rFonts w:ascii="Times New Roman" w:hAnsi="Times New Roman" w:cs="Times New Roman"/>
          <w:sz w:val="24"/>
          <w:szCs w:val="24"/>
        </w:rPr>
        <w:t>posteriormente</w:t>
      </w:r>
      <w:r w:rsidR="00EC0D6F">
        <w:rPr>
          <w:rFonts w:ascii="Times New Roman" w:hAnsi="Times New Roman" w:cs="Times New Roman"/>
          <w:sz w:val="24"/>
          <w:szCs w:val="24"/>
        </w:rPr>
        <w:t xml:space="preserve"> se realizó el recuento en cámara de </w:t>
      </w:r>
      <w:proofErr w:type="spellStart"/>
      <w:r w:rsidR="00EC0D6F">
        <w:rPr>
          <w:rFonts w:ascii="Times New Roman" w:hAnsi="Times New Roman" w:cs="Times New Roman"/>
          <w:sz w:val="24"/>
          <w:szCs w:val="24"/>
        </w:rPr>
        <w:t>Neubauer</w:t>
      </w:r>
      <w:proofErr w:type="spellEnd"/>
      <w:r w:rsidR="00EC0D6F">
        <w:rPr>
          <w:rFonts w:ascii="Times New Roman" w:hAnsi="Times New Roman" w:cs="Times New Roman"/>
          <w:sz w:val="24"/>
          <w:szCs w:val="24"/>
        </w:rPr>
        <w:t xml:space="preserve"> para</w:t>
      </w:r>
      <w:r w:rsidR="001B22DE">
        <w:rPr>
          <w:rFonts w:ascii="Times New Roman" w:hAnsi="Times New Roman" w:cs="Times New Roman"/>
          <w:sz w:val="24"/>
          <w:szCs w:val="24"/>
        </w:rPr>
        <w:t xml:space="preserve"> </w:t>
      </w:r>
      <w:r w:rsidR="00EC0D6F">
        <w:rPr>
          <w:rFonts w:ascii="Times New Roman" w:hAnsi="Times New Roman" w:cs="Times New Roman"/>
          <w:sz w:val="24"/>
          <w:szCs w:val="24"/>
        </w:rPr>
        <w:t xml:space="preserve">determinar la viabilidad y una tinción de </w:t>
      </w:r>
      <w:proofErr w:type="spellStart"/>
      <w:r w:rsidR="00EC0D6F">
        <w:rPr>
          <w:rFonts w:ascii="Times New Roman" w:hAnsi="Times New Roman" w:cs="Times New Roman"/>
          <w:sz w:val="24"/>
          <w:szCs w:val="24"/>
        </w:rPr>
        <w:t>Gram</w:t>
      </w:r>
      <w:proofErr w:type="spellEnd"/>
      <w:r w:rsidR="00EC0D6F">
        <w:rPr>
          <w:rFonts w:ascii="Times New Roman" w:hAnsi="Times New Roman" w:cs="Times New Roman"/>
          <w:sz w:val="24"/>
          <w:szCs w:val="24"/>
        </w:rPr>
        <w:t xml:space="preserve"> para confirmar la pureza.</w:t>
      </w:r>
    </w:p>
    <w:p w:rsidR="00476BB7" w:rsidRDefault="00EC0D6F" w:rsidP="00EC0D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68D">
        <w:rPr>
          <w:rFonts w:ascii="Times New Roman" w:hAnsi="Times New Roman" w:cs="Times New Roman"/>
          <w:b/>
          <w:sz w:val="24"/>
          <w:szCs w:val="24"/>
        </w:rPr>
        <w:t>Congelación</w:t>
      </w:r>
    </w:p>
    <w:p w:rsidR="00EC0D6F" w:rsidRDefault="005C29EA" w:rsidP="009442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ara llevar a cabo el proceso se utilizaron </w:t>
      </w:r>
      <w:proofErr w:type="spellStart"/>
      <w:r w:rsidR="00EC0D6F">
        <w:rPr>
          <w:rFonts w:ascii="Times New Roman" w:hAnsi="Times New Roman" w:cs="Times New Roman"/>
          <w:sz w:val="24"/>
          <w:szCs w:val="24"/>
        </w:rPr>
        <w:t>crioviales</w:t>
      </w:r>
      <w:proofErr w:type="spellEnd"/>
      <w:r w:rsidR="00EC0D6F">
        <w:rPr>
          <w:rFonts w:ascii="Times New Roman" w:hAnsi="Times New Roman" w:cs="Times New Roman"/>
          <w:sz w:val="24"/>
          <w:szCs w:val="24"/>
        </w:rPr>
        <w:t xml:space="preserve"> de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 1,5 </w:t>
      </w:r>
      <w:proofErr w:type="spellStart"/>
      <w:r w:rsidR="00EC0D6F" w:rsidRPr="00B2368D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EC0D6F" w:rsidRPr="00B2368D">
        <w:rPr>
          <w:rFonts w:ascii="Times New Roman" w:hAnsi="Times New Roman" w:cs="Times New Roman"/>
          <w:sz w:val="24"/>
          <w:szCs w:val="24"/>
        </w:rPr>
        <w:t xml:space="preserve">, para ello se prepararon dos </w:t>
      </w:r>
      <w:r w:rsidR="00EC0D6F">
        <w:rPr>
          <w:rFonts w:ascii="Times New Roman" w:hAnsi="Times New Roman" w:cs="Times New Roman"/>
          <w:sz w:val="24"/>
          <w:szCs w:val="24"/>
        </w:rPr>
        <w:t>soluciones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 de glicerol en agua destilada: glicerol al 20% (p/v) y glicerol al 30%</w:t>
      </w:r>
      <w:r w:rsidR="00EF4420">
        <w:rPr>
          <w:rFonts w:ascii="Times New Roman" w:hAnsi="Times New Roman" w:cs="Times New Roman"/>
          <w:sz w:val="24"/>
          <w:szCs w:val="24"/>
        </w:rPr>
        <w:t xml:space="preserve"> </w:t>
      </w:r>
      <w:r w:rsidR="00EC0D6F" w:rsidRPr="00B2368D">
        <w:rPr>
          <w:rFonts w:ascii="Times New Roman" w:hAnsi="Times New Roman" w:cs="Times New Roman"/>
          <w:sz w:val="24"/>
          <w:szCs w:val="24"/>
        </w:rPr>
        <w:t>(p/v),</w:t>
      </w:r>
      <w:r w:rsidR="00137C0F">
        <w:rPr>
          <w:rFonts w:ascii="Times New Roman" w:hAnsi="Times New Roman" w:cs="Times New Roman"/>
          <w:sz w:val="24"/>
          <w:szCs w:val="24"/>
        </w:rPr>
        <w:t xml:space="preserve"> 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seguido a ello se prepararon los </w:t>
      </w:r>
      <w:proofErr w:type="spellStart"/>
      <w:r w:rsidR="00EC0D6F" w:rsidRPr="00B2368D">
        <w:rPr>
          <w:rFonts w:ascii="Times New Roman" w:hAnsi="Times New Roman" w:cs="Times New Roman"/>
          <w:sz w:val="24"/>
          <w:szCs w:val="24"/>
        </w:rPr>
        <w:t>inóculos</w:t>
      </w:r>
      <w:proofErr w:type="spellEnd"/>
      <w:r w:rsidR="00EC0D6F" w:rsidRPr="00B2368D">
        <w:rPr>
          <w:rFonts w:ascii="Times New Roman" w:hAnsi="Times New Roman" w:cs="Times New Roman"/>
          <w:sz w:val="24"/>
          <w:szCs w:val="24"/>
        </w:rPr>
        <w:t xml:space="preserve"> en solución salina al 0,85% (p/v) realizando recuento en cámara de </w:t>
      </w:r>
      <w:proofErr w:type="spellStart"/>
      <w:r w:rsidR="00EC0D6F" w:rsidRPr="00B2368D">
        <w:rPr>
          <w:rFonts w:ascii="Times New Roman" w:hAnsi="Times New Roman" w:cs="Times New Roman"/>
          <w:sz w:val="24"/>
          <w:szCs w:val="24"/>
        </w:rPr>
        <w:t>Neubauer</w:t>
      </w:r>
      <w:proofErr w:type="spellEnd"/>
      <w:r w:rsidR="00EC0D6F" w:rsidRPr="00B2368D">
        <w:rPr>
          <w:rFonts w:ascii="Times New Roman" w:hAnsi="Times New Roman" w:cs="Times New Roman"/>
          <w:sz w:val="24"/>
          <w:szCs w:val="24"/>
        </w:rPr>
        <w:t xml:space="preserve">, por último el inóculo más el </w:t>
      </w:r>
      <w:proofErr w:type="spellStart"/>
      <w:r w:rsidR="00EC0D6F" w:rsidRPr="00B2368D">
        <w:rPr>
          <w:rFonts w:ascii="Times New Roman" w:hAnsi="Times New Roman" w:cs="Times New Roman"/>
          <w:sz w:val="24"/>
          <w:szCs w:val="24"/>
        </w:rPr>
        <w:t>crioconservante</w:t>
      </w:r>
      <w:proofErr w:type="spellEnd"/>
      <w:r w:rsidR="00EC0D6F" w:rsidRPr="00B2368D">
        <w:rPr>
          <w:rFonts w:ascii="Times New Roman" w:hAnsi="Times New Roman" w:cs="Times New Roman"/>
          <w:sz w:val="24"/>
          <w:szCs w:val="24"/>
        </w:rPr>
        <w:t xml:space="preserve"> se </w:t>
      </w:r>
      <w:r w:rsidR="00EC0D6F">
        <w:rPr>
          <w:rFonts w:ascii="Times New Roman" w:hAnsi="Times New Roman" w:cs="Times New Roman"/>
          <w:sz w:val="24"/>
          <w:szCs w:val="24"/>
        </w:rPr>
        <w:t xml:space="preserve">ajustó en 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una proporción 1:1, luego de esto se guardaron los </w:t>
      </w:r>
      <w:proofErr w:type="spellStart"/>
      <w:r w:rsidR="00EC0D6F">
        <w:rPr>
          <w:rFonts w:ascii="Times New Roman" w:hAnsi="Times New Roman" w:cs="Times New Roman"/>
          <w:sz w:val="24"/>
          <w:szCs w:val="24"/>
        </w:rPr>
        <w:t>crioviales</w:t>
      </w:r>
      <w:proofErr w:type="spellEnd"/>
      <w:r w:rsidR="00EC0D6F">
        <w:rPr>
          <w:rFonts w:ascii="Times New Roman" w:hAnsi="Times New Roman" w:cs="Times New Roman"/>
          <w:sz w:val="24"/>
          <w:szCs w:val="24"/>
        </w:rPr>
        <w:t xml:space="preserve"> </w:t>
      </w:r>
      <w:r w:rsidR="00EC0D6F" w:rsidRPr="00B2368D">
        <w:rPr>
          <w:rFonts w:ascii="Times New Roman" w:hAnsi="Times New Roman" w:cs="Times New Roman"/>
          <w:sz w:val="24"/>
          <w:szCs w:val="24"/>
        </w:rPr>
        <w:t>de glicerol al 20% (p/v) a una temperatura de-20°C y los de glicerol al 30% (p/v) a una temperatura de -80°C (Perry</w:t>
      </w:r>
      <w:r w:rsidR="00837167">
        <w:rPr>
          <w:rFonts w:ascii="Times New Roman" w:hAnsi="Times New Roman" w:cs="Times New Roman"/>
          <w:sz w:val="24"/>
          <w:szCs w:val="24"/>
        </w:rPr>
        <w:t>,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 1998).</w:t>
      </w:r>
      <w:r w:rsidR="00137C0F">
        <w:rPr>
          <w:rFonts w:ascii="Times New Roman" w:hAnsi="Times New Roman" w:cs="Times New Roman"/>
          <w:sz w:val="24"/>
          <w:szCs w:val="24"/>
        </w:rPr>
        <w:t xml:space="preserve"> </w:t>
      </w:r>
      <w:r w:rsidR="00EC0D6F" w:rsidRPr="00B2368D">
        <w:rPr>
          <w:rFonts w:ascii="Times New Roman" w:hAnsi="Times New Roman" w:cs="Times New Roman"/>
          <w:sz w:val="24"/>
          <w:szCs w:val="24"/>
        </w:rPr>
        <w:t>Para su reactivación se tomó un</w:t>
      </w:r>
      <w:r w:rsidR="00EC0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D6F">
        <w:rPr>
          <w:rFonts w:ascii="Times New Roman" w:hAnsi="Times New Roman" w:cs="Times New Roman"/>
          <w:sz w:val="24"/>
          <w:szCs w:val="24"/>
        </w:rPr>
        <w:t>criovial</w:t>
      </w:r>
      <w:proofErr w:type="spellEnd"/>
      <w:r w:rsidR="00EC0D6F" w:rsidRPr="00B2368D">
        <w:rPr>
          <w:rFonts w:ascii="Times New Roman" w:hAnsi="Times New Roman" w:cs="Times New Roman"/>
          <w:sz w:val="24"/>
          <w:szCs w:val="24"/>
        </w:rPr>
        <w:t xml:space="preserve"> de cada una de las concentraciones y se realizó </w:t>
      </w:r>
      <w:r w:rsidR="00EC0D6F">
        <w:rPr>
          <w:rFonts w:ascii="Times New Roman" w:hAnsi="Times New Roman" w:cs="Times New Roman"/>
          <w:sz w:val="24"/>
          <w:szCs w:val="24"/>
        </w:rPr>
        <w:t>el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 recuento directo en cámara</w:t>
      </w:r>
      <w:r w:rsidR="00EC0D6F">
        <w:rPr>
          <w:rFonts w:ascii="Times New Roman" w:hAnsi="Times New Roman" w:cs="Times New Roman"/>
          <w:sz w:val="24"/>
          <w:szCs w:val="24"/>
        </w:rPr>
        <w:t xml:space="preserve"> como se mencionó anteriormente.</w:t>
      </w:r>
    </w:p>
    <w:p w:rsidR="005C29EA" w:rsidRDefault="00EC3794" w:rsidP="00EC0D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27E">
        <w:rPr>
          <w:rFonts w:ascii="Times New Roman" w:hAnsi="Times New Roman" w:cs="Times New Roman"/>
          <w:b/>
          <w:sz w:val="24"/>
          <w:szCs w:val="24"/>
        </w:rPr>
        <w:t>MÉTODOS DE MEDIANO PLAZO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9E5">
        <w:rPr>
          <w:rFonts w:ascii="Times New Roman" w:hAnsi="Times New Roman" w:cs="Times New Roman"/>
          <w:sz w:val="24"/>
          <w:szCs w:val="24"/>
        </w:rPr>
        <w:t>(6 meses de conservación)</w:t>
      </w:r>
    </w:p>
    <w:p w:rsidR="00EC0D6F" w:rsidRPr="00B2368D" w:rsidRDefault="00EC0D6F" w:rsidP="00EC0D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68D">
        <w:rPr>
          <w:rFonts w:ascii="Times New Roman" w:hAnsi="Times New Roman" w:cs="Times New Roman"/>
          <w:b/>
          <w:sz w:val="24"/>
          <w:szCs w:val="24"/>
        </w:rPr>
        <w:t>Arena estéril</w:t>
      </w:r>
    </w:p>
    <w:p w:rsidR="00837167" w:rsidRDefault="006637ED" w:rsidP="009442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un sustrato el cual se </w:t>
      </w:r>
      <w:r w:rsidR="00F37475">
        <w:rPr>
          <w:rFonts w:ascii="Times New Roman" w:hAnsi="Times New Roman" w:cs="Times New Roman"/>
          <w:sz w:val="24"/>
          <w:szCs w:val="24"/>
        </w:rPr>
        <w:t>ha</w:t>
      </w:r>
      <w:r w:rsidR="00F37475" w:rsidRPr="00B2368D">
        <w:rPr>
          <w:rFonts w:ascii="Times New Roman" w:hAnsi="Times New Roman" w:cs="Times New Roman"/>
          <w:sz w:val="24"/>
          <w:szCs w:val="24"/>
        </w:rPr>
        <w:t xml:space="preserve"> </w:t>
      </w:r>
      <w:r w:rsidR="00EC0D6F" w:rsidRPr="00B2368D">
        <w:rPr>
          <w:rFonts w:ascii="Times New Roman" w:hAnsi="Times New Roman" w:cs="Times New Roman"/>
          <w:sz w:val="24"/>
          <w:szCs w:val="24"/>
        </w:rPr>
        <w:t>estudiado para conservación de hongos específicamente patógenos</w:t>
      </w:r>
      <w:r w:rsidR="00EC0D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C0D6F">
        <w:rPr>
          <w:rFonts w:ascii="Times New Roman" w:hAnsi="Times New Roman" w:cs="Times New Roman"/>
          <w:sz w:val="24"/>
          <w:szCs w:val="24"/>
        </w:rPr>
        <w:t>Nakasone</w:t>
      </w:r>
      <w:proofErr w:type="spellEnd"/>
      <w:r w:rsidR="00DE37A6">
        <w:rPr>
          <w:rFonts w:ascii="Times New Roman" w:hAnsi="Times New Roman" w:cs="Times New Roman"/>
          <w:sz w:val="24"/>
          <w:szCs w:val="24"/>
        </w:rPr>
        <w:t xml:space="preserve"> </w:t>
      </w:r>
      <w:r w:rsidR="00DE37A6">
        <w:rPr>
          <w:rFonts w:ascii="Times New Roman" w:hAnsi="Times New Roman" w:cs="Times New Roman"/>
          <w:i/>
          <w:sz w:val="24"/>
          <w:szCs w:val="24"/>
        </w:rPr>
        <w:t>et al.</w:t>
      </w:r>
      <w:r w:rsidR="006D5447">
        <w:rPr>
          <w:rFonts w:ascii="Times New Roman" w:hAnsi="Times New Roman" w:cs="Times New Roman"/>
          <w:i/>
          <w:sz w:val="24"/>
          <w:szCs w:val="24"/>
        </w:rPr>
        <w:t>,</w:t>
      </w:r>
      <w:r w:rsidR="00DE37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0D6F">
        <w:rPr>
          <w:rFonts w:ascii="Times New Roman" w:hAnsi="Times New Roman" w:cs="Times New Roman"/>
          <w:sz w:val="24"/>
          <w:szCs w:val="24"/>
        </w:rPr>
        <w:t>2004)</w:t>
      </w:r>
      <w:r w:rsidR="00EC0D6F" w:rsidRPr="00B2368D">
        <w:rPr>
          <w:rFonts w:ascii="Times New Roman" w:hAnsi="Times New Roman" w:cs="Times New Roman"/>
          <w:sz w:val="24"/>
          <w:szCs w:val="24"/>
        </w:rPr>
        <w:t>, sin embargo</w:t>
      </w:r>
      <w:r w:rsidR="00F37475">
        <w:rPr>
          <w:rFonts w:ascii="Times New Roman" w:hAnsi="Times New Roman" w:cs="Times New Roman"/>
          <w:sz w:val="24"/>
          <w:szCs w:val="24"/>
        </w:rPr>
        <w:t>,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 en este estudio se probó con </w:t>
      </w:r>
      <w:proofErr w:type="spellStart"/>
      <w:r w:rsidR="00EC0D6F" w:rsidRPr="00B2368D">
        <w:rPr>
          <w:rFonts w:ascii="Times New Roman" w:hAnsi="Times New Roman" w:cs="Times New Roman"/>
          <w:sz w:val="24"/>
          <w:szCs w:val="24"/>
        </w:rPr>
        <w:t>actinobacterias</w:t>
      </w:r>
      <w:proofErr w:type="spellEnd"/>
      <w:r w:rsidR="00EC0D6F" w:rsidRPr="00B2368D">
        <w:rPr>
          <w:rFonts w:ascii="Times New Roman" w:hAnsi="Times New Roman" w:cs="Times New Roman"/>
          <w:sz w:val="24"/>
          <w:szCs w:val="24"/>
        </w:rPr>
        <w:t xml:space="preserve">, para ello se tomaron 10 g de arena que se depositaron en viales con capacidad de 50 </w:t>
      </w:r>
      <w:proofErr w:type="spellStart"/>
      <w:r w:rsidR="00EC0D6F" w:rsidRPr="00B2368D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EC0D6F" w:rsidRPr="00B2368D">
        <w:rPr>
          <w:rFonts w:ascii="Times New Roman" w:hAnsi="Times New Roman" w:cs="Times New Roman"/>
          <w:sz w:val="24"/>
          <w:szCs w:val="24"/>
        </w:rPr>
        <w:t xml:space="preserve"> y se esterilizaron a 120°C durante 15 minutos. Por otra parte se realizó un recuento en cámara </w:t>
      </w:r>
      <w:r w:rsidR="00EC0D6F">
        <w:rPr>
          <w:rFonts w:ascii="Times New Roman" w:hAnsi="Times New Roman" w:cs="Times New Roman"/>
          <w:sz w:val="24"/>
          <w:szCs w:val="24"/>
        </w:rPr>
        <w:t>ajustando el inóculo como se reportó anteriormente.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 Se tomó 1 </w:t>
      </w:r>
      <w:proofErr w:type="spellStart"/>
      <w:r w:rsidR="00EC0D6F" w:rsidRPr="00B2368D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EC0D6F" w:rsidRPr="00B2368D">
        <w:rPr>
          <w:rFonts w:ascii="Times New Roman" w:hAnsi="Times New Roman" w:cs="Times New Roman"/>
          <w:sz w:val="24"/>
          <w:szCs w:val="24"/>
        </w:rPr>
        <w:t xml:space="preserve"> del inóculo y se agregó a 10 g de arena estéril para almacenarlos a una temperatura de 4°C (García</w:t>
      </w:r>
      <w:r w:rsidR="0094427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94427E">
        <w:rPr>
          <w:rFonts w:ascii="Times New Roman" w:hAnsi="Times New Roman" w:cs="Times New Roman"/>
          <w:sz w:val="24"/>
          <w:szCs w:val="24"/>
        </w:rPr>
        <w:t>Uruburu</w:t>
      </w:r>
      <w:proofErr w:type="spellEnd"/>
      <w:r w:rsidR="00837167">
        <w:rPr>
          <w:rFonts w:ascii="Times New Roman" w:hAnsi="Times New Roman" w:cs="Times New Roman"/>
          <w:sz w:val="24"/>
          <w:szCs w:val="24"/>
        </w:rPr>
        <w:t>,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 2001). Para su reactivación se</w:t>
      </w:r>
      <w:r w:rsidR="008102E8">
        <w:rPr>
          <w:rFonts w:ascii="Times New Roman" w:hAnsi="Times New Roman" w:cs="Times New Roman"/>
          <w:sz w:val="24"/>
          <w:szCs w:val="24"/>
        </w:rPr>
        <w:t xml:space="preserve"> </w:t>
      </w:r>
      <w:r w:rsidR="00EC0D6F" w:rsidRPr="00B2368D">
        <w:rPr>
          <w:rFonts w:ascii="Times New Roman" w:hAnsi="Times New Roman" w:cs="Times New Roman"/>
          <w:sz w:val="24"/>
          <w:szCs w:val="24"/>
        </w:rPr>
        <w:t xml:space="preserve">tomó 1 g de la muestra y se agregó a 9 </w:t>
      </w:r>
      <w:proofErr w:type="spellStart"/>
      <w:r w:rsidR="00EC0D6F" w:rsidRPr="00B2368D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EC0D6F" w:rsidRPr="00B2368D">
        <w:rPr>
          <w:rFonts w:ascii="Times New Roman" w:hAnsi="Times New Roman" w:cs="Times New Roman"/>
          <w:sz w:val="24"/>
          <w:szCs w:val="24"/>
        </w:rPr>
        <w:t xml:space="preserve"> de solución salina, se</w:t>
      </w:r>
      <w:r w:rsidR="008102E8">
        <w:rPr>
          <w:rFonts w:ascii="Times New Roman" w:hAnsi="Times New Roman" w:cs="Times New Roman"/>
          <w:sz w:val="24"/>
          <w:szCs w:val="24"/>
        </w:rPr>
        <w:t xml:space="preserve"> </w:t>
      </w:r>
      <w:r w:rsidR="00EC0D6F" w:rsidRPr="00B2368D">
        <w:rPr>
          <w:rFonts w:ascii="Times New Roman" w:hAnsi="Times New Roman" w:cs="Times New Roman"/>
          <w:sz w:val="24"/>
          <w:szCs w:val="24"/>
        </w:rPr>
        <w:t>realizó un recuento directo en cámara</w:t>
      </w:r>
      <w:r w:rsidR="00EC0D6F">
        <w:rPr>
          <w:rFonts w:ascii="Times New Roman" w:hAnsi="Times New Roman" w:cs="Times New Roman"/>
          <w:sz w:val="24"/>
          <w:szCs w:val="24"/>
        </w:rPr>
        <w:t>.</w:t>
      </w:r>
    </w:p>
    <w:p w:rsidR="00EC0D6F" w:rsidRPr="00B2368D" w:rsidRDefault="00EC0D6F" w:rsidP="00EC0D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368D">
        <w:rPr>
          <w:rFonts w:ascii="Times New Roman" w:hAnsi="Times New Roman" w:cs="Times New Roman"/>
          <w:b/>
          <w:sz w:val="24"/>
          <w:szCs w:val="24"/>
        </w:rPr>
        <w:t>Sílica</w:t>
      </w:r>
      <w:proofErr w:type="spellEnd"/>
      <w:r w:rsidRPr="00B2368D">
        <w:rPr>
          <w:rFonts w:ascii="Times New Roman" w:hAnsi="Times New Roman" w:cs="Times New Roman"/>
          <w:b/>
          <w:sz w:val="24"/>
          <w:szCs w:val="24"/>
        </w:rPr>
        <w:t xml:space="preserve"> gel </w:t>
      </w:r>
    </w:p>
    <w:p w:rsidR="00EC0D6F" w:rsidRDefault="00EC0D6F" w:rsidP="00556A64">
      <w:pPr>
        <w:jc w:val="both"/>
        <w:rPr>
          <w:rFonts w:ascii="Times New Roman" w:hAnsi="Times New Roman" w:cs="Times New Roman"/>
          <w:sz w:val="24"/>
          <w:szCs w:val="24"/>
        </w:rPr>
      </w:pPr>
      <w:r w:rsidRPr="00B2368D">
        <w:rPr>
          <w:rFonts w:ascii="Times New Roman" w:hAnsi="Times New Roman" w:cs="Times New Roman"/>
          <w:sz w:val="24"/>
          <w:szCs w:val="24"/>
        </w:rPr>
        <w:lastRenderedPageBreak/>
        <w:t xml:space="preserve">Se tomaron 5 g de </w:t>
      </w:r>
      <w:proofErr w:type="spellStart"/>
      <w:r w:rsidRPr="00B2368D">
        <w:rPr>
          <w:rFonts w:ascii="Times New Roman" w:hAnsi="Times New Roman" w:cs="Times New Roman"/>
          <w:sz w:val="24"/>
          <w:szCs w:val="24"/>
        </w:rPr>
        <w:t>Sílica</w:t>
      </w:r>
      <w:proofErr w:type="spellEnd"/>
      <w:r w:rsidR="00084986">
        <w:rPr>
          <w:rFonts w:ascii="Times New Roman" w:hAnsi="Times New Roman" w:cs="Times New Roman"/>
          <w:sz w:val="24"/>
          <w:szCs w:val="24"/>
        </w:rPr>
        <w:t xml:space="preserve"> </w:t>
      </w:r>
      <w:r w:rsidRPr="00B2368D">
        <w:rPr>
          <w:rFonts w:ascii="Times New Roman" w:hAnsi="Times New Roman" w:cs="Times New Roman"/>
          <w:sz w:val="24"/>
          <w:szCs w:val="24"/>
        </w:rPr>
        <w:t xml:space="preserve">y se introdujeron en viales con capacidad de 50 </w:t>
      </w:r>
      <w:proofErr w:type="spellStart"/>
      <w:r w:rsidRPr="00B2368D">
        <w:rPr>
          <w:rFonts w:ascii="Times New Roman" w:hAnsi="Times New Roman" w:cs="Times New Roman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r w:rsidRPr="00B2368D">
        <w:rPr>
          <w:rFonts w:ascii="Times New Roman" w:hAnsi="Times New Roman" w:cs="Times New Roman"/>
          <w:sz w:val="24"/>
          <w:szCs w:val="24"/>
        </w:rPr>
        <w:t xml:space="preserve"> esterilizaron a 180°C durante 90 min</w:t>
      </w:r>
      <w:r>
        <w:rPr>
          <w:rFonts w:ascii="Times New Roman" w:hAnsi="Times New Roman" w:cs="Times New Roman"/>
          <w:sz w:val="24"/>
          <w:szCs w:val="24"/>
        </w:rPr>
        <w:t>, finalmente</w:t>
      </w:r>
      <w:r w:rsidRPr="00B2368D">
        <w:rPr>
          <w:rFonts w:ascii="Times New Roman" w:hAnsi="Times New Roman" w:cs="Times New Roman"/>
          <w:sz w:val="24"/>
          <w:szCs w:val="24"/>
        </w:rPr>
        <w:t xml:space="preserve"> se dejaron enfriar y se colocaron en una bandeja con hielo durante 24 horas</w:t>
      </w:r>
      <w:r w:rsidR="006631F6">
        <w:rPr>
          <w:rFonts w:ascii="Times New Roman" w:hAnsi="Times New Roman" w:cs="Times New Roman"/>
          <w:sz w:val="24"/>
          <w:szCs w:val="24"/>
        </w:rPr>
        <w:t xml:space="preserve"> </w:t>
      </w:r>
      <w:r w:rsidRPr="00B2368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2368D">
        <w:rPr>
          <w:rFonts w:ascii="Times New Roman" w:hAnsi="Times New Roman" w:cs="Times New Roman"/>
          <w:sz w:val="24"/>
          <w:szCs w:val="24"/>
        </w:rPr>
        <w:t>Perkins</w:t>
      </w:r>
      <w:proofErr w:type="spellEnd"/>
      <w:r w:rsidR="00837167">
        <w:rPr>
          <w:rFonts w:ascii="Times New Roman" w:hAnsi="Times New Roman" w:cs="Times New Roman"/>
          <w:sz w:val="24"/>
          <w:szCs w:val="24"/>
        </w:rPr>
        <w:t>,</w:t>
      </w:r>
      <w:r w:rsidRPr="00B2368D">
        <w:rPr>
          <w:rFonts w:ascii="Times New Roman" w:hAnsi="Times New Roman" w:cs="Times New Roman"/>
          <w:sz w:val="24"/>
          <w:szCs w:val="24"/>
        </w:rPr>
        <w:t xml:space="preserve"> 1962</w:t>
      </w:r>
      <w:r w:rsidR="00251376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B2368D">
        <w:rPr>
          <w:rFonts w:ascii="Times New Roman" w:hAnsi="Times New Roman" w:cs="Times New Roman"/>
          <w:sz w:val="24"/>
          <w:szCs w:val="24"/>
        </w:rPr>
        <w:t>Nakasone</w:t>
      </w:r>
      <w:proofErr w:type="spellEnd"/>
      <w:r w:rsidR="00556A64">
        <w:rPr>
          <w:rFonts w:ascii="Times New Roman" w:hAnsi="Times New Roman" w:cs="Times New Roman"/>
          <w:sz w:val="24"/>
          <w:szCs w:val="24"/>
        </w:rPr>
        <w:t xml:space="preserve"> </w:t>
      </w:r>
      <w:r w:rsidR="00251376">
        <w:rPr>
          <w:rFonts w:ascii="Times New Roman" w:hAnsi="Times New Roman" w:cs="Times New Roman"/>
          <w:i/>
          <w:sz w:val="24"/>
          <w:szCs w:val="24"/>
        </w:rPr>
        <w:t>et al.</w:t>
      </w:r>
      <w:r w:rsidR="006D5447">
        <w:rPr>
          <w:rFonts w:ascii="Times New Roman" w:hAnsi="Times New Roman" w:cs="Times New Roman"/>
          <w:i/>
          <w:sz w:val="24"/>
          <w:szCs w:val="24"/>
        </w:rPr>
        <w:t>,</w:t>
      </w:r>
      <w:r w:rsidRPr="00B2368D">
        <w:rPr>
          <w:rFonts w:ascii="Times New Roman" w:hAnsi="Times New Roman" w:cs="Times New Roman"/>
          <w:sz w:val="24"/>
          <w:szCs w:val="24"/>
        </w:rPr>
        <w:t xml:space="preserve"> 2004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B2368D">
        <w:rPr>
          <w:rFonts w:ascii="Times New Roman" w:hAnsi="Times New Roman" w:cs="Times New Roman"/>
          <w:sz w:val="24"/>
          <w:szCs w:val="24"/>
        </w:rPr>
        <w:t xml:space="preserve"> posteriormente se realizó el recuento en cámara de </w:t>
      </w:r>
      <w:proofErr w:type="spellStart"/>
      <w:r w:rsidRPr="00B2368D">
        <w:rPr>
          <w:rFonts w:ascii="Times New Roman" w:hAnsi="Times New Roman" w:cs="Times New Roman"/>
          <w:sz w:val="24"/>
          <w:szCs w:val="24"/>
        </w:rPr>
        <w:t>Neubauer</w:t>
      </w:r>
      <w:proofErr w:type="spellEnd"/>
      <w:r w:rsidRPr="00B2368D">
        <w:rPr>
          <w:rFonts w:ascii="Times New Roman" w:hAnsi="Times New Roman" w:cs="Times New Roman"/>
          <w:sz w:val="24"/>
          <w:szCs w:val="24"/>
        </w:rPr>
        <w:t xml:space="preserve"> para ajustar la concentración del inóculo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31F6">
        <w:rPr>
          <w:rFonts w:ascii="Times New Roman" w:hAnsi="Times New Roman" w:cs="Times New Roman"/>
          <w:sz w:val="24"/>
          <w:szCs w:val="24"/>
        </w:rPr>
        <w:t xml:space="preserve"> </w:t>
      </w:r>
      <w:r w:rsidRPr="00B2368D">
        <w:rPr>
          <w:rFonts w:ascii="Times New Roman" w:hAnsi="Times New Roman" w:cs="Times New Roman"/>
          <w:sz w:val="24"/>
          <w:szCs w:val="24"/>
        </w:rPr>
        <w:t xml:space="preserve">Se agregaron 0,7 </w:t>
      </w:r>
      <w:proofErr w:type="spellStart"/>
      <w:r w:rsidRPr="00B2368D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B2368D">
        <w:rPr>
          <w:rFonts w:ascii="Times New Roman" w:hAnsi="Times New Roman" w:cs="Times New Roman"/>
          <w:sz w:val="24"/>
          <w:szCs w:val="24"/>
        </w:rPr>
        <w:t xml:space="preserve"> del inóculo a 5 g de </w:t>
      </w:r>
      <w:proofErr w:type="spellStart"/>
      <w:r w:rsidRPr="00B2368D">
        <w:rPr>
          <w:rFonts w:ascii="Times New Roman" w:hAnsi="Times New Roman" w:cs="Times New Roman"/>
          <w:sz w:val="24"/>
          <w:szCs w:val="24"/>
        </w:rPr>
        <w:t>Sílica</w:t>
      </w:r>
      <w:proofErr w:type="spellEnd"/>
      <w:r w:rsidRPr="00B2368D">
        <w:rPr>
          <w:rFonts w:ascii="Times New Roman" w:hAnsi="Times New Roman" w:cs="Times New Roman"/>
          <w:sz w:val="24"/>
          <w:szCs w:val="24"/>
        </w:rPr>
        <w:t xml:space="preserve"> y se almacenaron a 4°C (García</w:t>
      </w:r>
      <w:r w:rsidR="00556A6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556A64">
        <w:rPr>
          <w:rFonts w:ascii="Times New Roman" w:hAnsi="Times New Roman" w:cs="Times New Roman"/>
          <w:sz w:val="24"/>
          <w:szCs w:val="24"/>
        </w:rPr>
        <w:t>Uruburu</w:t>
      </w:r>
      <w:proofErr w:type="spellEnd"/>
      <w:r w:rsidR="00837167">
        <w:rPr>
          <w:rFonts w:ascii="Times New Roman" w:hAnsi="Times New Roman" w:cs="Times New Roman"/>
          <w:sz w:val="24"/>
          <w:szCs w:val="24"/>
        </w:rPr>
        <w:t>,</w:t>
      </w:r>
      <w:r w:rsidRPr="00B2368D">
        <w:rPr>
          <w:rFonts w:ascii="Times New Roman" w:hAnsi="Times New Roman" w:cs="Times New Roman"/>
          <w:sz w:val="24"/>
          <w:szCs w:val="24"/>
        </w:rPr>
        <w:t xml:space="preserve"> 2001). Para la reactivación se tomó 1 g de </w:t>
      </w:r>
      <w:proofErr w:type="spellStart"/>
      <w:r w:rsidRPr="00B2368D">
        <w:rPr>
          <w:rFonts w:ascii="Times New Roman" w:hAnsi="Times New Roman" w:cs="Times New Roman"/>
          <w:sz w:val="24"/>
          <w:szCs w:val="24"/>
        </w:rPr>
        <w:t>Sílica</w:t>
      </w:r>
      <w:proofErr w:type="spellEnd"/>
      <w:r w:rsidRPr="00B2368D">
        <w:rPr>
          <w:rFonts w:ascii="Times New Roman" w:hAnsi="Times New Roman" w:cs="Times New Roman"/>
          <w:sz w:val="24"/>
          <w:szCs w:val="24"/>
        </w:rPr>
        <w:t xml:space="preserve"> y se</w:t>
      </w:r>
      <w:r w:rsidR="006631F6">
        <w:rPr>
          <w:rFonts w:ascii="Times New Roman" w:hAnsi="Times New Roman" w:cs="Times New Roman"/>
          <w:sz w:val="24"/>
          <w:szCs w:val="24"/>
        </w:rPr>
        <w:t xml:space="preserve"> </w:t>
      </w:r>
      <w:r w:rsidRPr="00B2368D">
        <w:rPr>
          <w:rFonts w:ascii="Times New Roman" w:hAnsi="Times New Roman" w:cs="Times New Roman"/>
          <w:sz w:val="24"/>
          <w:szCs w:val="24"/>
        </w:rPr>
        <w:t xml:space="preserve">realizó un recuento directo en </w:t>
      </w:r>
      <w:r>
        <w:rPr>
          <w:rFonts w:ascii="Times New Roman" w:hAnsi="Times New Roman" w:cs="Times New Roman"/>
          <w:sz w:val="24"/>
          <w:szCs w:val="24"/>
        </w:rPr>
        <w:t>cámara.</w:t>
      </w:r>
    </w:p>
    <w:p w:rsidR="00EC0D6F" w:rsidRPr="00B2368D" w:rsidRDefault="00EC0D6F" w:rsidP="00EC0D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68D">
        <w:rPr>
          <w:rFonts w:ascii="Times New Roman" w:hAnsi="Times New Roman" w:cs="Times New Roman"/>
          <w:b/>
          <w:sz w:val="24"/>
          <w:szCs w:val="24"/>
        </w:rPr>
        <w:t>Arcilla</w:t>
      </w:r>
    </w:p>
    <w:p w:rsidR="00EC0D6F" w:rsidRPr="00B2368D" w:rsidRDefault="00EC0D6F" w:rsidP="00556A64">
      <w:pPr>
        <w:jc w:val="both"/>
        <w:rPr>
          <w:rFonts w:ascii="Times New Roman" w:hAnsi="Times New Roman" w:cs="Times New Roman"/>
          <w:sz w:val="24"/>
          <w:szCs w:val="24"/>
        </w:rPr>
      </w:pPr>
      <w:r w:rsidRPr="00B2368D">
        <w:rPr>
          <w:rFonts w:ascii="Times New Roman" w:hAnsi="Times New Roman" w:cs="Times New Roman"/>
          <w:sz w:val="24"/>
          <w:szCs w:val="24"/>
        </w:rPr>
        <w:t>Se tomaron</w:t>
      </w:r>
      <w:r w:rsidR="00410A27">
        <w:rPr>
          <w:rFonts w:ascii="Times New Roman" w:hAnsi="Times New Roman" w:cs="Times New Roman"/>
          <w:sz w:val="24"/>
          <w:szCs w:val="24"/>
        </w:rPr>
        <w:t xml:space="preserve"> </w:t>
      </w:r>
      <w:r w:rsidRPr="00B2368D">
        <w:rPr>
          <w:rFonts w:ascii="Times New Roman" w:hAnsi="Times New Roman" w:cs="Times New Roman"/>
          <w:sz w:val="24"/>
          <w:szCs w:val="24"/>
        </w:rPr>
        <w:t xml:space="preserve">3 g de </w:t>
      </w:r>
      <w:proofErr w:type="spellStart"/>
      <w:r w:rsidRPr="00B2368D">
        <w:rPr>
          <w:rFonts w:ascii="Times New Roman" w:hAnsi="Times New Roman" w:cs="Times New Roman"/>
          <w:sz w:val="24"/>
          <w:szCs w:val="24"/>
        </w:rPr>
        <w:t>Sílica</w:t>
      </w:r>
      <w:proofErr w:type="spellEnd"/>
      <w:r w:rsidR="00084986">
        <w:rPr>
          <w:rFonts w:ascii="Times New Roman" w:hAnsi="Times New Roman" w:cs="Times New Roman"/>
          <w:sz w:val="24"/>
          <w:szCs w:val="24"/>
        </w:rPr>
        <w:t xml:space="preserve"> </w:t>
      </w:r>
      <w:r w:rsidRPr="00B2368D">
        <w:rPr>
          <w:rFonts w:ascii="Times New Roman" w:hAnsi="Times New Roman" w:cs="Times New Roman"/>
          <w:sz w:val="24"/>
          <w:szCs w:val="24"/>
        </w:rPr>
        <w:t xml:space="preserve">y se colocaron en un vial de 50 </w:t>
      </w:r>
      <w:proofErr w:type="spellStart"/>
      <w:r w:rsidRPr="00B2368D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B2368D">
        <w:rPr>
          <w:rFonts w:ascii="Times New Roman" w:hAnsi="Times New Roman" w:cs="Times New Roman"/>
          <w:sz w:val="24"/>
          <w:szCs w:val="24"/>
        </w:rPr>
        <w:t xml:space="preserve">, seguido a ello se colocó algodón sobre la </w:t>
      </w:r>
      <w:proofErr w:type="spellStart"/>
      <w:r w:rsidRPr="00B2368D">
        <w:rPr>
          <w:rFonts w:ascii="Times New Roman" w:hAnsi="Times New Roman" w:cs="Times New Roman"/>
          <w:sz w:val="24"/>
          <w:szCs w:val="24"/>
        </w:rPr>
        <w:t>Sílica</w:t>
      </w:r>
      <w:proofErr w:type="spellEnd"/>
      <w:r w:rsidRPr="00B2368D">
        <w:rPr>
          <w:rFonts w:ascii="Times New Roman" w:hAnsi="Times New Roman" w:cs="Times New Roman"/>
          <w:sz w:val="24"/>
          <w:szCs w:val="24"/>
        </w:rPr>
        <w:t xml:space="preserve">. En otro vial se colocaron 10 perlas de arcilla y se mandaron a esterilizar con calor seco a 180°C durante 2 horas. Por otra parte se realizó el recuento en cámara de </w:t>
      </w:r>
      <w:proofErr w:type="spellStart"/>
      <w:r w:rsidRPr="00B2368D">
        <w:rPr>
          <w:rFonts w:ascii="Times New Roman" w:hAnsi="Times New Roman" w:cs="Times New Roman"/>
          <w:sz w:val="24"/>
          <w:szCs w:val="24"/>
        </w:rPr>
        <w:t>Neubauer</w:t>
      </w:r>
      <w:proofErr w:type="spellEnd"/>
      <w:r w:rsidRPr="00B2368D">
        <w:rPr>
          <w:rFonts w:ascii="Times New Roman" w:hAnsi="Times New Roman" w:cs="Times New Roman"/>
          <w:sz w:val="24"/>
          <w:szCs w:val="24"/>
        </w:rPr>
        <w:t xml:space="preserve"> para ajustar la concentración del inóculo</w:t>
      </w:r>
      <w:r>
        <w:rPr>
          <w:rFonts w:ascii="Times New Roman" w:hAnsi="Times New Roman" w:cs="Times New Roman"/>
          <w:sz w:val="24"/>
          <w:szCs w:val="24"/>
        </w:rPr>
        <w:t>, posteriormente</w:t>
      </w:r>
      <w:r w:rsidRPr="00B2368D">
        <w:rPr>
          <w:rFonts w:ascii="Times New Roman" w:hAnsi="Times New Roman" w:cs="Times New Roman"/>
          <w:sz w:val="24"/>
          <w:szCs w:val="24"/>
        </w:rPr>
        <w:t xml:space="preserve"> se colocaron las perlas de arcilla en el inóculo durante 5 minutos en condiciones de esterilidad,</w:t>
      </w:r>
      <w:r>
        <w:rPr>
          <w:rFonts w:ascii="Times New Roman" w:hAnsi="Times New Roman" w:cs="Times New Roman"/>
          <w:sz w:val="24"/>
          <w:szCs w:val="24"/>
        </w:rPr>
        <w:t xml:space="preserve"> luego se colocaron las perlas de arcilla previamente inoculadas en el vial</w:t>
      </w:r>
      <w:r w:rsidRPr="00B2368D">
        <w:rPr>
          <w:rFonts w:ascii="Times New Roman" w:hAnsi="Times New Roman" w:cs="Times New Roman"/>
          <w:sz w:val="24"/>
          <w:szCs w:val="24"/>
        </w:rPr>
        <w:t xml:space="preserve"> que contiene la </w:t>
      </w:r>
      <w:proofErr w:type="spellStart"/>
      <w:r w:rsidRPr="00B2368D">
        <w:rPr>
          <w:rFonts w:ascii="Times New Roman" w:hAnsi="Times New Roman" w:cs="Times New Roman"/>
          <w:sz w:val="24"/>
          <w:szCs w:val="24"/>
        </w:rPr>
        <w:t>Sílica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2368D">
        <w:rPr>
          <w:rFonts w:ascii="Times New Roman" w:hAnsi="Times New Roman" w:cs="Times New Roman"/>
          <w:sz w:val="24"/>
          <w:szCs w:val="24"/>
        </w:rPr>
        <w:t xml:space="preserve"> se sellaron y se almacenaron a 4°C (García</w:t>
      </w:r>
      <w:r w:rsidR="00556A6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556A64">
        <w:rPr>
          <w:rFonts w:ascii="Times New Roman" w:hAnsi="Times New Roman" w:cs="Times New Roman"/>
          <w:sz w:val="24"/>
          <w:szCs w:val="24"/>
        </w:rPr>
        <w:t>Uruburu</w:t>
      </w:r>
      <w:proofErr w:type="spellEnd"/>
      <w:r w:rsidR="00837167">
        <w:rPr>
          <w:rFonts w:ascii="Times New Roman" w:hAnsi="Times New Roman" w:cs="Times New Roman"/>
          <w:sz w:val="24"/>
          <w:szCs w:val="24"/>
        </w:rPr>
        <w:t>,</w:t>
      </w:r>
      <w:r w:rsidRPr="00B2368D">
        <w:rPr>
          <w:rFonts w:ascii="Times New Roman" w:hAnsi="Times New Roman" w:cs="Times New Roman"/>
          <w:sz w:val="24"/>
          <w:szCs w:val="24"/>
        </w:rPr>
        <w:t xml:space="preserve"> 2001). Para su reactivación se tomaron todas las perlas de cada vial y se realizó un recuento directo en cámara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29EA" w:rsidRPr="00556A64" w:rsidRDefault="00EC3794" w:rsidP="00EC0D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A64">
        <w:rPr>
          <w:rFonts w:ascii="Times New Roman" w:hAnsi="Times New Roman" w:cs="Times New Roman"/>
          <w:b/>
          <w:sz w:val="24"/>
          <w:szCs w:val="24"/>
        </w:rPr>
        <w:t>MÉTODO DE CORTO PLAZO</w:t>
      </w:r>
    </w:p>
    <w:p w:rsidR="00EC0D6F" w:rsidRPr="00B2368D" w:rsidRDefault="00EC0D6F" w:rsidP="00EC0D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68D">
        <w:rPr>
          <w:rFonts w:ascii="Times New Roman" w:hAnsi="Times New Roman" w:cs="Times New Roman"/>
          <w:b/>
          <w:sz w:val="24"/>
          <w:szCs w:val="24"/>
        </w:rPr>
        <w:t>Transferencia periódica</w:t>
      </w:r>
    </w:p>
    <w:p w:rsidR="00EC0D6F" w:rsidRPr="00B2368D" w:rsidRDefault="00EC0D6F" w:rsidP="00556A64">
      <w:pPr>
        <w:jc w:val="both"/>
        <w:rPr>
          <w:rFonts w:ascii="Times New Roman" w:hAnsi="Times New Roman" w:cs="Times New Roman"/>
          <w:sz w:val="24"/>
          <w:szCs w:val="24"/>
        </w:rPr>
      </w:pPr>
      <w:r w:rsidRPr="00B2368D">
        <w:rPr>
          <w:rFonts w:ascii="Times New Roman" w:hAnsi="Times New Roman" w:cs="Times New Roman"/>
          <w:sz w:val="24"/>
          <w:szCs w:val="24"/>
        </w:rPr>
        <w:t>Es el método más simple y más utilizado para la conservación a corto plazo de bacterias, consiste en la transferencia periódica del cultivo en un medio líquido o sólido y su incubación a temperatura adecuada hasta la obtención del crecimiento (Freire</w:t>
      </w:r>
      <w:r w:rsidR="00556A64">
        <w:rPr>
          <w:rFonts w:ascii="Times New Roman" w:hAnsi="Times New Roman" w:cs="Times New Roman"/>
          <w:sz w:val="24"/>
          <w:szCs w:val="24"/>
        </w:rPr>
        <w:t xml:space="preserve"> &amp; Sato</w:t>
      </w:r>
      <w:r w:rsidR="00837167">
        <w:rPr>
          <w:rFonts w:ascii="Times New Roman" w:hAnsi="Times New Roman" w:cs="Times New Roman"/>
          <w:sz w:val="24"/>
          <w:szCs w:val="24"/>
        </w:rPr>
        <w:t>,</w:t>
      </w:r>
      <w:r w:rsidRPr="00B2368D">
        <w:rPr>
          <w:rFonts w:ascii="Times New Roman" w:hAnsi="Times New Roman" w:cs="Times New Roman"/>
          <w:sz w:val="24"/>
          <w:szCs w:val="24"/>
        </w:rPr>
        <w:t xml:space="preserve"> 1999), para ello se sembraron en </w:t>
      </w:r>
      <w:proofErr w:type="spellStart"/>
      <w:r w:rsidRPr="00B2368D">
        <w:rPr>
          <w:rFonts w:ascii="Times New Roman" w:hAnsi="Times New Roman" w:cs="Times New Roman"/>
          <w:sz w:val="24"/>
          <w:szCs w:val="24"/>
        </w:rPr>
        <w:t>agar</w:t>
      </w:r>
      <w:proofErr w:type="spellEnd"/>
      <w:r w:rsidRPr="00B2368D">
        <w:rPr>
          <w:rFonts w:ascii="Times New Roman" w:hAnsi="Times New Roman" w:cs="Times New Roman"/>
          <w:sz w:val="24"/>
          <w:szCs w:val="24"/>
        </w:rPr>
        <w:t xml:space="preserve"> avena (Correa</w:t>
      </w:r>
      <w:r w:rsidR="00837167">
        <w:rPr>
          <w:rFonts w:ascii="Times New Roman" w:hAnsi="Times New Roman" w:cs="Times New Roman"/>
          <w:sz w:val="24"/>
          <w:szCs w:val="24"/>
        </w:rPr>
        <w:t>,</w:t>
      </w:r>
      <w:r w:rsidR="00476BB7">
        <w:rPr>
          <w:rFonts w:ascii="Times New Roman" w:hAnsi="Times New Roman" w:cs="Times New Roman"/>
          <w:sz w:val="24"/>
          <w:szCs w:val="24"/>
        </w:rPr>
        <w:t xml:space="preserve"> </w:t>
      </w:r>
      <w:r w:rsidRPr="00B2368D">
        <w:rPr>
          <w:rFonts w:ascii="Times New Roman" w:hAnsi="Times New Roman" w:cs="Times New Roman"/>
          <w:sz w:val="24"/>
          <w:szCs w:val="24"/>
        </w:rPr>
        <w:t xml:space="preserve">2008) los </w:t>
      </w:r>
      <w:r>
        <w:rPr>
          <w:rFonts w:ascii="Times New Roman" w:hAnsi="Times New Roman" w:cs="Times New Roman"/>
          <w:sz w:val="24"/>
          <w:szCs w:val="24"/>
        </w:rPr>
        <w:t xml:space="preserve">aislamientos </w:t>
      </w:r>
      <w:r w:rsidRPr="00B2368D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B2368D">
        <w:rPr>
          <w:rFonts w:ascii="Times New Roman" w:hAnsi="Times New Roman" w:cs="Times New Roman"/>
          <w:sz w:val="24"/>
          <w:szCs w:val="24"/>
        </w:rPr>
        <w:t>actinobacterias</w:t>
      </w:r>
      <w:proofErr w:type="spellEnd"/>
      <w:r w:rsidRPr="00B2368D">
        <w:rPr>
          <w:rFonts w:ascii="Times New Roman" w:hAnsi="Times New Roman" w:cs="Times New Roman"/>
          <w:sz w:val="24"/>
          <w:szCs w:val="24"/>
        </w:rPr>
        <w:t xml:space="preserve"> con actividad solubilizadora de fósforo incubándolas a 25 °C, a los 8 días se realizó caracterización macroscópica y microscópica de cada uno. Este procedimiento se repitió mensualmente durante 4 meses.</w:t>
      </w:r>
    </w:p>
    <w:p w:rsidR="00EC0D6F" w:rsidRPr="00B2368D" w:rsidRDefault="00EC0D6F" w:rsidP="00EC0D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68D">
        <w:rPr>
          <w:rFonts w:ascii="Times New Roman" w:hAnsi="Times New Roman" w:cs="Times New Roman"/>
          <w:b/>
          <w:sz w:val="24"/>
          <w:szCs w:val="24"/>
        </w:rPr>
        <w:t>Cuantificación de la actividad solubilizadora de fósforo</w:t>
      </w:r>
    </w:p>
    <w:p w:rsidR="00EC0D6F" w:rsidRPr="006637ED" w:rsidRDefault="00EC0D6F" w:rsidP="00556A64">
      <w:pPr>
        <w:jc w:val="both"/>
        <w:rPr>
          <w:rFonts w:ascii="Times New Roman" w:hAnsi="Times New Roman" w:cs="Times New Roman"/>
          <w:sz w:val="24"/>
          <w:szCs w:val="24"/>
        </w:rPr>
      </w:pPr>
      <w:r w:rsidRPr="00B2368D">
        <w:rPr>
          <w:rFonts w:ascii="Times New Roman" w:hAnsi="Times New Roman" w:cs="Times New Roman"/>
          <w:sz w:val="24"/>
          <w:szCs w:val="24"/>
        </w:rPr>
        <w:t xml:space="preserve">Se tomó un </w:t>
      </w:r>
      <w:proofErr w:type="spellStart"/>
      <w:r w:rsidRPr="00B2368D">
        <w:rPr>
          <w:rFonts w:ascii="Times New Roman" w:hAnsi="Times New Roman" w:cs="Times New Roman"/>
          <w:sz w:val="24"/>
          <w:szCs w:val="24"/>
        </w:rPr>
        <w:t>Erlenmeyer</w:t>
      </w:r>
      <w:proofErr w:type="spellEnd"/>
      <w:r w:rsidRPr="00B2368D">
        <w:rPr>
          <w:rFonts w:ascii="Times New Roman" w:hAnsi="Times New Roman" w:cs="Times New Roman"/>
          <w:sz w:val="24"/>
          <w:szCs w:val="24"/>
        </w:rPr>
        <w:t xml:space="preserve">  de 100</w:t>
      </w:r>
      <w:r w:rsidR="005C2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68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B2368D">
        <w:rPr>
          <w:rFonts w:ascii="Times New Roman" w:hAnsi="Times New Roman" w:cs="Times New Roman"/>
          <w:sz w:val="24"/>
          <w:szCs w:val="24"/>
        </w:rPr>
        <w:t xml:space="preserve"> al cual se le adicionaron 18 </w:t>
      </w:r>
      <w:proofErr w:type="spellStart"/>
      <w:r w:rsidRPr="00B2368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B2368D">
        <w:rPr>
          <w:rFonts w:ascii="Times New Roman" w:hAnsi="Times New Roman" w:cs="Times New Roman"/>
          <w:sz w:val="24"/>
          <w:szCs w:val="24"/>
        </w:rPr>
        <w:t xml:space="preserve"> de medio NBRIP </w:t>
      </w:r>
      <w:r w:rsidR="00F646D3">
        <w:rPr>
          <w:rFonts w:ascii="Times New Roman" w:hAnsi="Times New Roman" w:cs="Times New Roman"/>
          <w:sz w:val="24"/>
          <w:szCs w:val="24"/>
        </w:rPr>
        <w:t xml:space="preserve">con fosfato </w:t>
      </w:r>
      <w:proofErr w:type="spellStart"/>
      <w:r w:rsidR="00F646D3">
        <w:rPr>
          <w:rFonts w:ascii="Times New Roman" w:hAnsi="Times New Roman" w:cs="Times New Roman"/>
          <w:sz w:val="24"/>
          <w:szCs w:val="24"/>
        </w:rPr>
        <w:t>tricálcico</w:t>
      </w:r>
      <w:proofErr w:type="spellEnd"/>
      <w:r w:rsidR="00F646D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F646D3">
        <w:rPr>
          <w:rFonts w:ascii="Times New Roman" w:hAnsi="Times New Roman" w:cs="Times New Roman"/>
          <w:sz w:val="24"/>
          <w:szCs w:val="24"/>
        </w:rPr>
        <w:t>Ca</w:t>
      </w:r>
      <w:r w:rsidR="00F646D3" w:rsidRPr="004E4EE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646D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646D3">
        <w:rPr>
          <w:rFonts w:ascii="Times New Roman" w:hAnsi="Times New Roman" w:cs="Times New Roman"/>
          <w:sz w:val="24"/>
          <w:szCs w:val="24"/>
        </w:rPr>
        <w:t>PO</w:t>
      </w:r>
      <w:r w:rsidR="00F646D3" w:rsidRPr="004E4EE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646D3">
        <w:rPr>
          <w:rFonts w:ascii="Times New Roman" w:hAnsi="Times New Roman" w:cs="Times New Roman"/>
          <w:sz w:val="24"/>
          <w:szCs w:val="24"/>
        </w:rPr>
        <w:t>)</w:t>
      </w:r>
      <w:r w:rsidR="00F646D3" w:rsidRPr="004E4E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646D3">
        <w:rPr>
          <w:rFonts w:ascii="Times New Roman" w:hAnsi="Times New Roman" w:cs="Times New Roman"/>
          <w:sz w:val="24"/>
          <w:szCs w:val="24"/>
        </w:rPr>
        <w:t>)</w:t>
      </w:r>
      <w:r w:rsidR="00BF54EC">
        <w:rPr>
          <w:rFonts w:ascii="Times New Roman" w:hAnsi="Times New Roman" w:cs="Times New Roman"/>
          <w:sz w:val="24"/>
          <w:szCs w:val="24"/>
        </w:rPr>
        <w:t xml:space="preserve"> en una concentración de</w:t>
      </w:r>
      <w:r w:rsidR="006637ED">
        <w:rPr>
          <w:rFonts w:ascii="Times New Roman" w:hAnsi="Times New Roman" w:cs="Times New Roman"/>
          <w:sz w:val="24"/>
          <w:szCs w:val="24"/>
        </w:rPr>
        <w:t xml:space="preserve"> 5g/L</w:t>
      </w:r>
      <w:r w:rsidR="00F646D3">
        <w:rPr>
          <w:rFonts w:ascii="Times New Roman" w:hAnsi="Times New Roman" w:cs="Times New Roman"/>
          <w:sz w:val="24"/>
          <w:szCs w:val="24"/>
        </w:rPr>
        <w:t xml:space="preserve"> como fuente de fosforo insoluble </w:t>
      </w:r>
      <w:r w:rsidRPr="00B2368D">
        <w:rPr>
          <w:rFonts w:ascii="Times New Roman" w:hAnsi="Times New Roman" w:cs="Times New Roman"/>
          <w:sz w:val="24"/>
          <w:szCs w:val="24"/>
        </w:rPr>
        <w:t xml:space="preserve">y 2 </w:t>
      </w:r>
      <w:proofErr w:type="spellStart"/>
      <w:r w:rsidRPr="00B2368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B2368D">
        <w:rPr>
          <w:rFonts w:ascii="Times New Roman" w:hAnsi="Times New Roman" w:cs="Times New Roman"/>
          <w:sz w:val="24"/>
          <w:szCs w:val="24"/>
        </w:rPr>
        <w:t xml:space="preserve"> de inóculo ajustado a una concentración de (10</w:t>
      </w:r>
      <w:r w:rsidRPr="00B2368D">
        <w:rPr>
          <w:rFonts w:ascii="Times New Roman" w:hAnsi="Times New Roman" w:cs="Times New Roman"/>
          <w:sz w:val="24"/>
          <w:szCs w:val="24"/>
          <w:vertAlign w:val="superscript"/>
        </w:rPr>
        <w:t xml:space="preserve">8 </w:t>
      </w:r>
      <w:proofErr w:type="spellStart"/>
      <w:r w:rsidR="008102E8" w:rsidRPr="00B2368D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B2368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2368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B2368D">
        <w:rPr>
          <w:rFonts w:ascii="Times New Roman" w:hAnsi="Times New Roman" w:cs="Times New Roman"/>
          <w:sz w:val="24"/>
          <w:szCs w:val="24"/>
        </w:rPr>
        <w:t xml:space="preserve">), seguido a ello se incubaron a 23°C y 120 rpm durante 5 días. Luego del tiempo de incubación, cada una de las muestras se llevó a centrifugar por 15 minutos a 5000 rpm, posteriormente se tomó el sobrenadante y se realizó la cuantificación de la actividad solubilizadora de fósforo de los aislamientos que presentan mayor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2368D">
        <w:rPr>
          <w:rFonts w:ascii="Times New Roman" w:hAnsi="Times New Roman" w:cs="Times New Roman"/>
          <w:sz w:val="24"/>
          <w:szCs w:val="24"/>
        </w:rPr>
        <w:t xml:space="preserve">olubilización según lo </w:t>
      </w:r>
      <w:r w:rsidR="006637ED">
        <w:rPr>
          <w:rFonts w:ascii="Times New Roman" w:hAnsi="Times New Roman" w:cs="Times New Roman"/>
          <w:sz w:val="24"/>
          <w:szCs w:val="24"/>
        </w:rPr>
        <w:t>establecido</w:t>
      </w:r>
      <w:r w:rsidRPr="00B2368D">
        <w:rPr>
          <w:rFonts w:ascii="Times New Roman" w:hAnsi="Times New Roman" w:cs="Times New Roman"/>
          <w:sz w:val="24"/>
          <w:szCs w:val="24"/>
        </w:rPr>
        <w:t xml:space="preserve"> por Prada</w:t>
      </w:r>
      <w:r w:rsidR="00DE37A6">
        <w:rPr>
          <w:rFonts w:ascii="Times New Roman" w:hAnsi="Times New Roman" w:cs="Times New Roman"/>
          <w:sz w:val="24"/>
          <w:szCs w:val="24"/>
        </w:rPr>
        <w:t xml:space="preserve">, Prieto </w:t>
      </w:r>
      <w:r w:rsidR="006D5447">
        <w:rPr>
          <w:rFonts w:ascii="Times New Roman" w:hAnsi="Times New Roman" w:cs="Times New Roman"/>
          <w:sz w:val="24"/>
          <w:szCs w:val="24"/>
        </w:rPr>
        <w:t>&amp;</w:t>
      </w:r>
      <w:r w:rsidR="00DE37A6">
        <w:rPr>
          <w:rFonts w:ascii="Times New Roman" w:hAnsi="Times New Roman" w:cs="Times New Roman"/>
          <w:sz w:val="24"/>
          <w:szCs w:val="24"/>
        </w:rPr>
        <w:t xml:space="preserve"> Franco</w:t>
      </w:r>
      <w:r w:rsidRPr="00B2368D">
        <w:rPr>
          <w:rFonts w:ascii="Times New Roman" w:hAnsi="Times New Roman" w:cs="Times New Roman"/>
          <w:sz w:val="24"/>
          <w:szCs w:val="24"/>
        </w:rPr>
        <w:t xml:space="preserve"> (201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2368D">
        <w:rPr>
          <w:rFonts w:ascii="Times New Roman" w:hAnsi="Times New Roman" w:cs="Times New Roman"/>
          <w:sz w:val="24"/>
          <w:szCs w:val="24"/>
        </w:rPr>
        <w:t xml:space="preserve">) las cuales son </w:t>
      </w:r>
      <w:proofErr w:type="spellStart"/>
      <w:r w:rsidR="00EC3794" w:rsidRPr="00EC3794">
        <w:rPr>
          <w:rFonts w:ascii="Times New Roman" w:hAnsi="Times New Roman" w:cs="Times New Roman"/>
          <w:i/>
          <w:sz w:val="24"/>
          <w:szCs w:val="24"/>
        </w:rPr>
        <w:t>Streptomyces</w:t>
      </w:r>
      <w:proofErr w:type="spellEnd"/>
      <w:r w:rsidR="00EC3794" w:rsidRPr="00EC37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368D">
        <w:rPr>
          <w:rFonts w:ascii="Times New Roman" w:hAnsi="Times New Roman" w:cs="Times New Roman"/>
          <w:sz w:val="24"/>
          <w:szCs w:val="24"/>
        </w:rPr>
        <w:t xml:space="preserve">MCR24, </w:t>
      </w:r>
      <w:proofErr w:type="spellStart"/>
      <w:r w:rsidR="00EC3794" w:rsidRPr="00190255">
        <w:rPr>
          <w:rFonts w:ascii="Times New Roman" w:hAnsi="Times New Roman" w:cs="Times New Roman"/>
          <w:i/>
          <w:sz w:val="24"/>
          <w:szCs w:val="24"/>
        </w:rPr>
        <w:t>Streptomyces</w:t>
      </w:r>
      <w:proofErr w:type="spellEnd"/>
      <w:r w:rsidR="00EC3794" w:rsidRPr="001902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368D">
        <w:rPr>
          <w:rFonts w:ascii="Times New Roman" w:hAnsi="Times New Roman" w:cs="Times New Roman"/>
          <w:sz w:val="24"/>
          <w:szCs w:val="24"/>
        </w:rPr>
        <w:t xml:space="preserve">T3A y </w:t>
      </w:r>
      <w:proofErr w:type="spellStart"/>
      <w:r w:rsidR="00EC3794" w:rsidRPr="00190255">
        <w:rPr>
          <w:rFonts w:ascii="Times New Roman" w:hAnsi="Times New Roman" w:cs="Times New Roman"/>
          <w:i/>
          <w:sz w:val="24"/>
          <w:szCs w:val="24"/>
        </w:rPr>
        <w:t>Streptomyces</w:t>
      </w:r>
      <w:proofErr w:type="spellEnd"/>
      <w:r w:rsidR="00EC3794" w:rsidRPr="001902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368D">
        <w:rPr>
          <w:rFonts w:ascii="Times New Roman" w:hAnsi="Times New Roman" w:cs="Times New Roman"/>
          <w:sz w:val="24"/>
          <w:szCs w:val="24"/>
        </w:rPr>
        <w:t xml:space="preserve">T3C; este proceso se realizó por triplicado; la cuantificación se realizó con el test SPECTROQUANT de Merck® (Murphy </w:t>
      </w:r>
      <w:r w:rsidR="00EC3794">
        <w:rPr>
          <w:rFonts w:ascii="Times New Roman" w:hAnsi="Times New Roman" w:cs="Times New Roman"/>
          <w:sz w:val="24"/>
          <w:szCs w:val="24"/>
        </w:rPr>
        <w:t>&amp;</w:t>
      </w:r>
      <w:r w:rsidRPr="00B23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68D">
        <w:rPr>
          <w:rFonts w:ascii="Times New Roman" w:hAnsi="Times New Roman" w:cs="Times New Roman"/>
          <w:sz w:val="24"/>
          <w:szCs w:val="24"/>
        </w:rPr>
        <w:t>Riley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2368D">
        <w:rPr>
          <w:rFonts w:ascii="Times New Roman" w:hAnsi="Times New Roman" w:cs="Times New Roman"/>
          <w:sz w:val="24"/>
          <w:szCs w:val="24"/>
        </w:rPr>
        <w:t xml:space="preserve"> 1962)</w:t>
      </w:r>
      <w:r>
        <w:rPr>
          <w:rFonts w:ascii="Times New Roman" w:hAnsi="Times New Roman" w:cs="Times New Roman"/>
          <w:sz w:val="24"/>
          <w:szCs w:val="24"/>
        </w:rPr>
        <w:t xml:space="preserve"> efectuando lo propuesto por el protocolo 365.2 de la EPA</w:t>
      </w:r>
      <w:r w:rsidR="00663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7ED">
        <w:rPr>
          <w:rFonts w:ascii="Times New Roman" w:hAnsi="Times New Roman" w:cs="Times New Roman"/>
          <w:sz w:val="24"/>
          <w:szCs w:val="24"/>
        </w:rPr>
        <w:t>Phosphorous</w:t>
      </w:r>
      <w:proofErr w:type="spellEnd"/>
      <w:r w:rsidR="006637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37ED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663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7ED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="006637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637ED">
        <w:rPr>
          <w:rFonts w:ascii="Times New Roman" w:hAnsi="Times New Roman" w:cs="Times New Roman"/>
          <w:sz w:val="24"/>
          <w:szCs w:val="24"/>
        </w:rPr>
        <w:t>colorimetric</w:t>
      </w:r>
      <w:proofErr w:type="spellEnd"/>
      <w:r w:rsidR="006637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37ED">
        <w:rPr>
          <w:rFonts w:ascii="Times New Roman" w:hAnsi="Times New Roman" w:cs="Times New Roman"/>
          <w:sz w:val="24"/>
          <w:szCs w:val="24"/>
        </w:rPr>
        <w:t>ascorbic</w:t>
      </w:r>
      <w:proofErr w:type="spellEnd"/>
      <w:r w:rsidR="00663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7ED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="006637ED">
        <w:rPr>
          <w:rFonts w:ascii="Times New Roman" w:hAnsi="Times New Roman" w:cs="Times New Roman"/>
          <w:sz w:val="24"/>
          <w:szCs w:val="24"/>
        </w:rPr>
        <w:t xml:space="preserve"> and single </w:t>
      </w:r>
      <w:proofErr w:type="spellStart"/>
      <w:r w:rsidR="006637ED">
        <w:rPr>
          <w:rFonts w:ascii="Times New Roman" w:hAnsi="Times New Roman" w:cs="Times New Roman"/>
          <w:sz w:val="24"/>
          <w:szCs w:val="24"/>
        </w:rPr>
        <w:t>reagent</w:t>
      </w:r>
      <w:proofErr w:type="spellEnd"/>
      <w:r w:rsidR="006637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midiendo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absorbancia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una longitud de onda de 880 </w:t>
      </w:r>
      <w:proofErr w:type="spellStart"/>
      <w:r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B2368D">
        <w:rPr>
          <w:rFonts w:ascii="Times New Roman" w:hAnsi="Times New Roman" w:cs="Times New Roman"/>
          <w:sz w:val="24"/>
          <w:szCs w:val="24"/>
        </w:rPr>
        <w:t xml:space="preserve">. </w:t>
      </w:r>
      <w:r w:rsidR="006637ED">
        <w:rPr>
          <w:rFonts w:ascii="Times New Roman" w:hAnsi="Times New Roman" w:cs="Times New Roman"/>
          <w:sz w:val="24"/>
          <w:szCs w:val="24"/>
        </w:rPr>
        <w:t>Para el desarrollo de esta prueba se preparó una curva patrón cuya solución estándar fue 0.01 mg de P (KH</w:t>
      </w:r>
      <w:r w:rsidR="006637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637ED">
        <w:rPr>
          <w:rFonts w:ascii="Times New Roman" w:hAnsi="Times New Roman" w:cs="Times New Roman"/>
          <w:sz w:val="24"/>
          <w:szCs w:val="24"/>
        </w:rPr>
        <w:t>PO</w:t>
      </w:r>
      <w:r w:rsidR="006637E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637ED">
        <w:rPr>
          <w:rFonts w:ascii="Times New Roman" w:hAnsi="Times New Roman" w:cs="Times New Roman"/>
          <w:sz w:val="24"/>
          <w:szCs w:val="24"/>
        </w:rPr>
        <w:t>)/</w:t>
      </w:r>
      <w:proofErr w:type="spellStart"/>
      <w:r w:rsidR="006637ED">
        <w:rPr>
          <w:rFonts w:ascii="Times New Roman" w:hAnsi="Times New Roman" w:cs="Times New Roman"/>
          <w:sz w:val="24"/>
          <w:szCs w:val="24"/>
        </w:rPr>
        <w:t>mL.</w:t>
      </w:r>
      <w:proofErr w:type="spellEnd"/>
    </w:p>
    <w:p w:rsidR="00E674C7" w:rsidRDefault="00E674C7" w:rsidP="00EC0D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Análisis estadístico</w:t>
      </w:r>
    </w:p>
    <w:p w:rsidR="00E674C7" w:rsidRDefault="00173C39" w:rsidP="00EC3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Los resultados se analizaron mediante una prueba de varianza simple (ANOVA)</w:t>
      </w:r>
      <w:r w:rsidR="00084986">
        <w:rPr>
          <w:rFonts w:ascii="Times New Roman" w:hAnsi="Times New Roman" w:cs="Times New Roman"/>
          <w:sz w:val="24"/>
          <w:szCs w:val="24"/>
        </w:rPr>
        <w:t xml:space="preserve"> y una prueba de Tukey para comparación de medias con un α de 0,05. Se realizaron tres réplicas por ensayo. Como herramienta informática se utilizó el programa SPS 11,0 para software de Windows®. </w:t>
      </w:r>
    </w:p>
    <w:p w:rsidR="009B732C" w:rsidRDefault="009B732C" w:rsidP="00EC0D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Análisis de costos</w:t>
      </w:r>
    </w:p>
    <w:p w:rsidR="009B732C" w:rsidRDefault="009B732C" w:rsidP="00EC3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estimación de los costos de la investigación se realizó </w:t>
      </w:r>
      <w:r w:rsidR="0034734E">
        <w:rPr>
          <w:rFonts w:ascii="Times New Roman" w:hAnsi="Times New Roman" w:cs="Times New Roman"/>
          <w:sz w:val="24"/>
          <w:szCs w:val="24"/>
        </w:rPr>
        <w:t>mediante la sumatoria de todos los insumos</w:t>
      </w:r>
      <w:r w:rsidR="005C29EA">
        <w:rPr>
          <w:rFonts w:ascii="Times New Roman" w:hAnsi="Times New Roman" w:cs="Times New Roman"/>
          <w:sz w:val="24"/>
          <w:szCs w:val="24"/>
        </w:rPr>
        <w:t xml:space="preserve"> y materiales usados</w:t>
      </w:r>
      <w:r w:rsidR="0034734E">
        <w:rPr>
          <w:rFonts w:ascii="Times New Roman" w:hAnsi="Times New Roman" w:cs="Times New Roman"/>
          <w:sz w:val="24"/>
          <w:szCs w:val="24"/>
        </w:rPr>
        <w:t xml:space="preserve"> por cada tratamiento evaluado</w:t>
      </w:r>
      <w:r w:rsidR="005C29EA">
        <w:rPr>
          <w:rFonts w:ascii="Times New Roman" w:hAnsi="Times New Roman" w:cs="Times New Roman"/>
          <w:sz w:val="24"/>
          <w:szCs w:val="24"/>
        </w:rPr>
        <w:t xml:space="preserve">, a su </w:t>
      </w:r>
      <w:r w:rsidR="00884136">
        <w:rPr>
          <w:rFonts w:ascii="Times New Roman" w:hAnsi="Times New Roman" w:cs="Times New Roman"/>
          <w:sz w:val="24"/>
          <w:szCs w:val="24"/>
        </w:rPr>
        <w:t>vez</w:t>
      </w:r>
      <w:r w:rsidR="005C29EA">
        <w:rPr>
          <w:rFonts w:ascii="Times New Roman" w:hAnsi="Times New Roman" w:cs="Times New Roman"/>
          <w:sz w:val="24"/>
          <w:szCs w:val="24"/>
        </w:rPr>
        <w:t xml:space="preserve"> se </w:t>
      </w:r>
      <w:r w:rsidR="00884136">
        <w:rPr>
          <w:rFonts w:ascii="Times New Roman" w:hAnsi="Times New Roman" w:cs="Times New Roman"/>
          <w:sz w:val="24"/>
          <w:szCs w:val="24"/>
        </w:rPr>
        <w:t>incluyó</w:t>
      </w:r>
      <w:r w:rsidR="0034734E">
        <w:rPr>
          <w:rFonts w:ascii="Times New Roman" w:hAnsi="Times New Roman" w:cs="Times New Roman"/>
          <w:sz w:val="24"/>
          <w:szCs w:val="24"/>
        </w:rPr>
        <w:t xml:space="preserve"> </w:t>
      </w:r>
      <w:r w:rsidR="005C29EA">
        <w:rPr>
          <w:rFonts w:ascii="Times New Roman" w:hAnsi="Times New Roman" w:cs="Times New Roman"/>
          <w:sz w:val="24"/>
          <w:szCs w:val="24"/>
        </w:rPr>
        <w:t>el costo de un operario</w:t>
      </w:r>
      <w:r w:rsidR="0034734E">
        <w:rPr>
          <w:rFonts w:ascii="Times New Roman" w:hAnsi="Times New Roman" w:cs="Times New Roman"/>
          <w:sz w:val="24"/>
          <w:szCs w:val="24"/>
        </w:rPr>
        <w:t>.</w:t>
      </w:r>
      <w:r w:rsidR="003537B7">
        <w:rPr>
          <w:rFonts w:ascii="Times New Roman" w:hAnsi="Times New Roman" w:cs="Times New Roman"/>
          <w:sz w:val="24"/>
          <w:szCs w:val="24"/>
        </w:rPr>
        <w:t xml:space="preserve"> Cada uno de los valores presentados en la </w:t>
      </w:r>
      <w:r w:rsidR="006D5447">
        <w:rPr>
          <w:rFonts w:ascii="Times New Roman" w:hAnsi="Times New Roman" w:cs="Times New Roman"/>
          <w:sz w:val="24"/>
          <w:szCs w:val="24"/>
        </w:rPr>
        <w:t>t</w:t>
      </w:r>
      <w:r w:rsidR="003537B7" w:rsidRPr="006D5447">
        <w:rPr>
          <w:rFonts w:ascii="Times New Roman" w:hAnsi="Times New Roman" w:cs="Times New Roman"/>
          <w:sz w:val="24"/>
          <w:szCs w:val="24"/>
        </w:rPr>
        <w:t>abla 4</w:t>
      </w:r>
      <w:r w:rsidR="003537B7">
        <w:rPr>
          <w:rFonts w:ascii="Times New Roman" w:hAnsi="Times New Roman" w:cs="Times New Roman"/>
          <w:sz w:val="24"/>
          <w:szCs w:val="24"/>
        </w:rPr>
        <w:t xml:space="preserve"> implica un banco de conservación </w:t>
      </w:r>
      <w:r w:rsidR="002D68D0">
        <w:rPr>
          <w:rFonts w:ascii="Times New Roman" w:hAnsi="Times New Roman" w:cs="Times New Roman"/>
          <w:sz w:val="24"/>
          <w:szCs w:val="24"/>
        </w:rPr>
        <w:t>equivalente a 100 unidades por cada método.</w:t>
      </w:r>
    </w:p>
    <w:p w:rsidR="007C045E" w:rsidRPr="009B732C" w:rsidRDefault="007C045E" w:rsidP="00EC37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D6F" w:rsidRPr="008E4CE8" w:rsidRDefault="006E5E6B" w:rsidP="00EC0D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RESULTADOS</w:t>
      </w:r>
    </w:p>
    <w:p w:rsidR="00EC0D6F" w:rsidRPr="008E4CE8" w:rsidRDefault="00EC0D6F" w:rsidP="00EC3794">
      <w:pPr>
        <w:jc w:val="both"/>
        <w:rPr>
          <w:rFonts w:ascii="Times New Roman" w:hAnsi="Times New Roman" w:cs="Times New Roman"/>
          <w:sz w:val="24"/>
          <w:szCs w:val="24"/>
        </w:rPr>
      </w:pPr>
      <w:r w:rsidRPr="008E4CE8">
        <w:rPr>
          <w:rFonts w:ascii="Times New Roman" w:hAnsi="Times New Roman" w:cs="Times New Roman"/>
          <w:sz w:val="24"/>
          <w:szCs w:val="24"/>
        </w:rPr>
        <w:t>Se seleccionaron los mejores aislamientos con actividad solubilizadora de fósforo de la Unidad de Investigaciones Agropecuarias de la Pontificia Universidad Javeriana</w:t>
      </w:r>
      <w:r w:rsidR="00B9728F">
        <w:rPr>
          <w:rFonts w:ascii="Times New Roman" w:hAnsi="Times New Roman" w:cs="Times New Roman"/>
          <w:sz w:val="24"/>
          <w:szCs w:val="24"/>
        </w:rPr>
        <w:t>,</w:t>
      </w:r>
      <w:r w:rsidRPr="008E4CE8">
        <w:rPr>
          <w:rFonts w:ascii="Times New Roman" w:hAnsi="Times New Roman" w:cs="Times New Roman"/>
          <w:sz w:val="24"/>
          <w:szCs w:val="24"/>
        </w:rPr>
        <w:t xml:space="preserve"> según los resultados obtenidos por Franco (2008) y Prada</w:t>
      </w:r>
      <w:r w:rsidR="00DE37A6">
        <w:rPr>
          <w:rFonts w:ascii="Times New Roman" w:hAnsi="Times New Roman" w:cs="Times New Roman"/>
          <w:sz w:val="24"/>
          <w:szCs w:val="24"/>
        </w:rPr>
        <w:t xml:space="preserve">, Prieto </w:t>
      </w:r>
      <w:r w:rsidR="008B350A">
        <w:rPr>
          <w:rFonts w:ascii="Times New Roman" w:hAnsi="Times New Roman" w:cs="Times New Roman"/>
          <w:sz w:val="24"/>
          <w:szCs w:val="24"/>
        </w:rPr>
        <w:t>&amp;</w:t>
      </w:r>
      <w:r w:rsidR="00DE37A6">
        <w:rPr>
          <w:rFonts w:ascii="Times New Roman" w:hAnsi="Times New Roman" w:cs="Times New Roman"/>
          <w:sz w:val="24"/>
          <w:szCs w:val="24"/>
        </w:rPr>
        <w:t xml:space="preserve"> Franco </w:t>
      </w:r>
      <w:r w:rsidRPr="008E4CE8">
        <w:rPr>
          <w:rFonts w:ascii="Times New Roman" w:hAnsi="Times New Roman" w:cs="Times New Roman"/>
          <w:sz w:val="24"/>
          <w:szCs w:val="24"/>
        </w:rPr>
        <w:t>(201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E4C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E4CE8">
        <w:rPr>
          <w:rFonts w:ascii="Times New Roman" w:hAnsi="Times New Roman" w:cs="Times New Roman"/>
          <w:sz w:val="24"/>
          <w:szCs w:val="24"/>
        </w:rPr>
        <w:t xml:space="preserve"> dichos aislamientos se sometieron a siete diferentes tratamientos de conservación divididos en largo, mediano y corto plazo. </w:t>
      </w:r>
    </w:p>
    <w:p w:rsidR="00476BB7" w:rsidRDefault="00EC0D6F" w:rsidP="00EC37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CE8">
        <w:rPr>
          <w:rFonts w:ascii="Times New Roman" w:hAnsi="Times New Roman" w:cs="Times New Roman"/>
          <w:sz w:val="24"/>
          <w:szCs w:val="24"/>
        </w:rPr>
        <w:t xml:space="preserve">Para evaluar la viabilidad de cada uno de los aislamientos en los diferentes métodos de conservación se llevó a cabo un recuento directo en cámara de </w:t>
      </w:r>
      <w:proofErr w:type="spellStart"/>
      <w:r w:rsidRPr="008E4CE8">
        <w:rPr>
          <w:rFonts w:ascii="Times New Roman" w:hAnsi="Times New Roman" w:cs="Times New Roman"/>
          <w:sz w:val="24"/>
          <w:szCs w:val="24"/>
        </w:rPr>
        <w:t>Neubauer</w:t>
      </w:r>
      <w:proofErr w:type="spellEnd"/>
      <w:r w:rsidR="000B1B4C">
        <w:rPr>
          <w:rFonts w:ascii="Times New Roman" w:hAnsi="Times New Roman" w:cs="Times New Roman"/>
          <w:sz w:val="24"/>
          <w:szCs w:val="24"/>
        </w:rPr>
        <w:t xml:space="preserve"> </w:t>
      </w:r>
      <w:r w:rsidRPr="008E4CE8">
        <w:rPr>
          <w:rFonts w:ascii="Times New Roman" w:hAnsi="Times New Roman" w:cs="Times New Roman"/>
          <w:sz w:val="24"/>
          <w:szCs w:val="24"/>
        </w:rPr>
        <w:t>(Cardona</w:t>
      </w:r>
      <w:r w:rsidR="00EC3794">
        <w:rPr>
          <w:rFonts w:ascii="Times New Roman" w:hAnsi="Times New Roman" w:cs="Times New Roman"/>
          <w:sz w:val="24"/>
          <w:szCs w:val="24"/>
        </w:rPr>
        <w:t xml:space="preserve"> </w:t>
      </w:r>
      <w:r w:rsidR="00EC3794" w:rsidRPr="00DE37A6">
        <w:rPr>
          <w:rFonts w:ascii="Times New Roman" w:hAnsi="Times New Roman" w:cs="Times New Roman"/>
          <w:i/>
          <w:sz w:val="24"/>
          <w:szCs w:val="24"/>
        </w:rPr>
        <w:t>et al</w:t>
      </w:r>
      <w:r w:rsidR="00EC3794">
        <w:rPr>
          <w:rFonts w:ascii="Times New Roman" w:hAnsi="Times New Roman" w:cs="Times New Roman"/>
          <w:sz w:val="24"/>
          <w:szCs w:val="24"/>
        </w:rPr>
        <w:t>.</w:t>
      </w:r>
      <w:r w:rsidR="007D0E3E">
        <w:rPr>
          <w:rFonts w:ascii="Times New Roman" w:hAnsi="Times New Roman" w:cs="Times New Roman"/>
          <w:sz w:val="24"/>
          <w:szCs w:val="24"/>
        </w:rPr>
        <w:t>,</w:t>
      </w:r>
      <w:r w:rsidRPr="008E4CE8">
        <w:rPr>
          <w:rFonts w:ascii="Times New Roman" w:hAnsi="Times New Roman" w:cs="Times New Roman"/>
          <w:sz w:val="24"/>
          <w:szCs w:val="24"/>
        </w:rPr>
        <w:t xml:space="preserve"> 2005) y se realizó un análisis de varianza (ANOVA) de un factor con un α del 0,05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4CE8">
        <w:rPr>
          <w:rFonts w:ascii="Times New Roman" w:hAnsi="Times New Roman" w:cs="Times New Roman"/>
          <w:sz w:val="24"/>
          <w:szCs w:val="24"/>
        </w:rPr>
        <w:t xml:space="preserve"> posteriormente </w:t>
      </w:r>
      <w:r>
        <w:rPr>
          <w:rFonts w:ascii="Times New Roman" w:hAnsi="Times New Roman" w:cs="Times New Roman"/>
          <w:sz w:val="24"/>
          <w:szCs w:val="24"/>
        </w:rPr>
        <w:t xml:space="preserve">se hizo </w:t>
      </w:r>
      <w:r w:rsidRPr="008E4CE8">
        <w:rPr>
          <w:rFonts w:ascii="Times New Roman" w:hAnsi="Times New Roman" w:cs="Times New Roman"/>
          <w:sz w:val="24"/>
          <w:szCs w:val="24"/>
        </w:rPr>
        <w:t>una prueba de comparación de medias de Tukey para determinar el mejor método a largo y mediano plazo de cada uno de los aisla</w:t>
      </w:r>
      <w:r w:rsidR="00EE108F">
        <w:rPr>
          <w:rFonts w:ascii="Times New Roman" w:hAnsi="Times New Roman" w:cs="Times New Roman"/>
          <w:sz w:val="24"/>
          <w:szCs w:val="24"/>
        </w:rPr>
        <w:t xml:space="preserve">mientos como se observa en las </w:t>
      </w:r>
      <w:r w:rsidR="007D0E3E">
        <w:rPr>
          <w:rFonts w:ascii="Times New Roman" w:hAnsi="Times New Roman" w:cs="Times New Roman"/>
          <w:sz w:val="24"/>
          <w:szCs w:val="24"/>
        </w:rPr>
        <w:t>t</w:t>
      </w:r>
      <w:r w:rsidRPr="007D0E3E">
        <w:rPr>
          <w:rFonts w:ascii="Times New Roman" w:hAnsi="Times New Roman" w:cs="Times New Roman"/>
          <w:sz w:val="24"/>
          <w:szCs w:val="24"/>
        </w:rPr>
        <w:t>ablas 1 y 2</w:t>
      </w:r>
      <w:r w:rsidRPr="008E4CE8">
        <w:rPr>
          <w:rFonts w:ascii="Times New Roman" w:hAnsi="Times New Roman" w:cs="Times New Roman"/>
          <w:sz w:val="24"/>
          <w:szCs w:val="24"/>
        </w:rPr>
        <w:t>.</w:t>
      </w:r>
      <w:r w:rsidR="000531B4">
        <w:rPr>
          <w:rFonts w:ascii="Times New Roman" w:hAnsi="Times New Roman" w:cs="Times New Roman"/>
          <w:sz w:val="24"/>
          <w:szCs w:val="24"/>
        </w:rPr>
        <w:t xml:space="preserve"> La comparación de medias se realizó entre cada uno de los aislamientos.</w:t>
      </w:r>
    </w:p>
    <w:p w:rsidR="00837167" w:rsidRDefault="00837167" w:rsidP="008371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4CE8">
        <w:rPr>
          <w:rFonts w:ascii="Times New Roman" w:hAnsi="Times New Roman" w:cs="Times New Roman"/>
          <w:b/>
          <w:sz w:val="24"/>
          <w:szCs w:val="24"/>
        </w:rPr>
        <w:t>Tabla 1.</w:t>
      </w:r>
      <w:r w:rsidRPr="008E4CE8">
        <w:rPr>
          <w:rFonts w:ascii="Times New Roman" w:hAnsi="Times New Roman" w:cs="Times New Roman"/>
          <w:sz w:val="24"/>
          <w:szCs w:val="24"/>
        </w:rPr>
        <w:t xml:space="preserve"> Viabilidad obtenida a partir de los métodos de conservación a largo plazo para los aislamientos de </w:t>
      </w:r>
      <w:proofErr w:type="spellStart"/>
      <w:r w:rsidRPr="008E4CE8">
        <w:rPr>
          <w:rFonts w:ascii="Times New Roman" w:hAnsi="Times New Roman" w:cs="Times New Roman"/>
          <w:sz w:val="24"/>
          <w:szCs w:val="24"/>
        </w:rPr>
        <w:t>actinobacterias</w:t>
      </w:r>
      <w:proofErr w:type="spellEnd"/>
      <w:r w:rsidRPr="008E4CE8">
        <w:rPr>
          <w:rFonts w:ascii="Times New Roman" w:hAnsi="Times New Roman" w:cs="Times New Roman"/>
          <w:sz w:val="24"/>
          <w:szCs w:val="24"/>
        </w:rPr>
        <w:t xml:space="preserve">  al inicio y al final de la evaluación*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198"/>
        <w:gridCol w:w="849"/>
        <w:gridCol w:w="992"/>
        <w:gridCol w:w="808"/>
        <w:gridCol w:w="900"/>
        <w:gridCol w:w="989"/>
        <w:gridCol w:w="799"/>
        <w:gridCol w:w="901"/>
        <w:gridCol w:w="991"/>
        <w:gridCol w:w="793"/>
      </w:tblGrid>
      <w:tr w:rsidR="00EC3794" w:rsidRPr="00F4579B" w:rsidTr="007B3341">
        <w:trPr>
          <w:trHeight w:val="1187"/>
        </w:trPr>
        <w:tc>
          <w:tcPr>
            <w:tcW w:w="10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Aislamientos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Promedios de 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Rcto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Inicial (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mL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Promedios de 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Rcto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Liofilización (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mL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 Viabilidad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Promedios de 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Rcto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Inicial (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mL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Promedios de 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Rcto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Glicerol 20% (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mL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 Viabilidad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Promedios de 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Rcto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Inicial (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mL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Promedios de 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Rcto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Glicerol 30% (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mL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 Viabilidad</w:t>
            </w:r>
          </w:p>
        </w:tc>
      </w:tr>
      <w:tr w:rsidR="00EC3794" w:rsidRPr="00F4579B" w:rsidTr="007B3341">
        <w:trPr>
          <w:trHeight w:val="315"/>
        </w:trPr>
        <w:tc>
          <w:tcPr>
            <w:tcW w:w="10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7B3341" w:rsidRDefault="00EC3794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3341">
              <w:rPr>
                <w:rFonts w:ascii="Times New Roman" w:eastAsia="Times New Roman" w:hAnsi="Times New Roman" w:cs="Times New Roman"/>
                <w:i/>
                <w:color w:val="000000"/>
              </w:rPr>
              <w:t>Streptomyces</w:t>
            </w:r>
            <w:proofErr w:type="spellEnd"/>
            <w:r w:rsidRPr="007B33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4579B" w:rsidRPr="007B3341">
              <w:rPr>
                <w:rFonts w:ascii="Times New Roman" w:eastAsia="Times New Roman" w:hAnsi="Times New Roman" w:cs="Times New Roman"/>
                <w:color w:val="000000"/>
              </w:rPr>
              <w:t>MCR1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7,799a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7,633a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8,204b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EC3794" w:rsidRPr="00F4579B" w:rsidTr="007B3341">
        <w:trPr>
          <w:trHeight w:val="315"/>
        </w:trPr>
        <w:tc>
          <w:tcPr>
            <w:tcW w:w="10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7B3341" w:rsidRDefault="00EC3794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3341">
              <w:rPr>
                <w:rFonts w:ascii="Times New Roman" w:eastAsia="Times New Roman" w:hAnsi="Times New Roman" w:cs="Times New Roman"/>
                <w:i/>
                <w:color w:val="000000"/>
              </w:rPr>
              <w:t>Streptomyces</w:t>
            </w:r>
            <w:proofErr w:type="spellEnd"/>
            <w:r w:rsidRPr="007B33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4579B" w:rsidRPr="007B3341">
              <w:rPr>
                <w:rFonts w:ascii="Times New Roman" w:eastAsia="Times New Roman" w:hAnsi="Times New Roman" w:cs="Times New Roman"/>
                <w:color w:val="000000"/>
              </w:rPr>
              <w:t>MCR9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8,602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8,114b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8,477c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8,602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7,146a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EC3794" w:rsidRPr="00F4579B" w:rsidTr="007B3341">
        <w:trPr>
          <w:trHeight w:val="315"/>
        </w:trPr>
        <w:tc>
          <w:tcPr>
            <w:tcW w:w="10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7B3341" w:rsidRDefault="00EC3794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3341">
              <w:rPr>
                <w:rFonts w:ascii="Times New Roman" w:eastAsia="Times New Roman" w:hAnsi="Times New Roman" w:cs="Times New Roman"/>
                <w:i/>
                <w:color w:val="000000"/>
              </w:rPr>
              <w:t>Streptomyces</w:t>
            </w:r>
            <w:proofErr w:type="spellEnd"/>
            <w:r w:rsidRPr="007B33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4579B" w:rsidRPr="007B3341">
              <w:rPr>
                <w:rFonts w:ascii="Times New Roman" w:eastAsia="Times New Roman" w:hAnsi="Times New Roman" w:cs="Times New Roman"/>
                <w:color w:val="000000"/>
              </w:rPr>
              <w:t>MCR24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8,477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8,000a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8,845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8,114a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8,477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7,845a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EC3794" w:rsidRPr="00F4579B" w:rsidTr="007B3341">
        <w:trPr>
          <w:trHeight w:val="315"/>
        </w:trPr>
        <w:tc>
          <w:tcPr>
            <w:tcW w:w="10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7B3341" w:rsidRDefault="00EC3794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025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Streptomyces</w:t>
            </w:r>
            <w:proofErr w:type="spellEnd"/>
            <w:r w:rsidRPr="00EC37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4579B" w:rsidRPr="007B3341">
              <w:rPr>
                <w:rFonts w:ascii="Times New Roman" w:eastAsia="Times New Roman" w:hAnsi="Times New Roman" w:cs="Times New Roman"/>
                <w:color w:val="000000"/>
              </w:rPr>
              <w:t>MCR26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8,301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7,954a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8,778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7,968a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8,301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8,964b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EC3794" w:rsidRPr="00F4579B" w:rsidTr="007B3341">
        <w:trPr>
          <w:trHeight w:val="315"/>
        </w:trPr>
        <w:tc>
          <w:tcPr>
            <w:tcW w:w="10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7B3341" w:rsidRDefault="00EC3794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Kitasatospora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="00F4579B" w:rsidRPr="007B3341">
              <w:rPr>
                <w:rFonts w:ascii="Times New Roman" w:eastAsia="Times New Roman" w:hAnsi="Times New Roman" w:cs="Times New Roman"/>
                <w:color w:val="000000"/>
              </w:rPr>
              <w:t xml:space="preserve">L3A 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8,903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7,982b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8,301c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8,903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6,863a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EC3794" w:rsidRPr="00F4579B" w:rsidTr="007B3341">
        <w:trPr>
          <w:trHeight w:val="315"/>
        </w:trPr>
        <w:tc>
          <w:tcPr>
            <w:tcW w:w="10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7B3341" w:rsidRDefault="00EC3794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025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Streptomyces</w:t>
            </w:r>
            <w:proofErr w:type="spellEnd"/>
            <w:r w:rsidRPr="00EC37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4579B" w:rsidRPr="007B3341">
              <w:rPr>
                <w:rFonts w:ascii="Times New Roman" w:eastAsia="Times New Roman" w:hAnsi="Times New Roman" w:cs="Times New Roman"/>
                <w:color w:val="000000"/>
              </w:rPr>
              <w:t>L4B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8,301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7,968b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8,954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8,000b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8,301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6,820a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EC3794" w:rsidRPr="00F4579B" w:rsidTr="007B3341">
        <w:trPr>
          <w:trHeight w:val="315"/>
        </w:trPr>
        <w:tc>
          <w:tcPr>
            <w:tcW w:w="10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7B3341" w:rsidRDefault="00EC3794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025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Streptomyces</w:t>
            </w:r>
            <w:proofErr w:type="spellEnd"/>
            <w:r w:rsidRPr="00EC37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4579B" w:rsidRPr="007B3341">
              <w:rPr>
                <w:rFonts w:ascii="Times New Roman" w:eastAsia="Times New Roman" w:hAnsi="Times New Roman" w:cs="Times New Roman"/>
                <w:color w:val="000000"/>
              </w:rPr>
              <w:t>L4C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8,000a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8,699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7,982a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8,477b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EC3794" w:rsidRPr="00F4579B" w:rsidTr="007B3341">
        <w:trPr>
          <w:trHeight w:val="315"/>
        </w:trPr>
        <w:tc>
          <w:tcPr>
            <w:tcW w:w="10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7B3341" w:rsidRDefault="00EC3794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3341">
              <w:rPr>
                <w:rFonts w:ascii="Times New Roman" w:eastAsia="Times New Roman" w:hAnsi="Times New Roman" w:cs="Times New Roman"/>
                <w:i/>
                <w:color w:val="000000"/>
              </w:rPr>
              <w:t>Streptacidiphilus</w:t>
            </w:r>
            <w:proofErr w:type="spellEnd"/>
            <w:r w:rsidRPr="00EC37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4579B" w:rsidRPr="007B3341">
              <w:rPr>
                <w:rFonts w:ascii="Times New Roman" w:eastAsia="Times New Roman" w:hAnsi="Times New Roman" w:cs="Times New Roman"/>
                <w:color w:val="000000"/>
              </w:rPr>
              <w:t>M2A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7,602b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7,724b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6,833a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C3794" w:rsidRPr="00F4579B" w:rsidTr="007B3341">
        <w:trPr>
          <w:trHeight w:val="315"/>
        </w:trPr>
        <w:tc>
          <w:tcPr>
            <w:tcW w:w="10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7B3341" w:rsidRDefault="00EC3794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025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Streptomyces</w:t>
            </w:r>
            <w:proofErr w:type="spellEnd"/>
            <w:r w:rsidRPr="00EC37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4579B" w:rsidRPr="007B3341">
              <w:rPr>
                <w:rFonts w:ascii="Times New Roman" w:eastAsia="Times New Roman" w:hAnsi="Times New Roman" w:cs="Times New Roman"/>
                <w:color w:val="000000"/>
              </w:rPr>
              <w:t>T1B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7,968a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8,000a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7,881a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EC3794" w:rsidRPr="00F4579B" w:rsidTr="007B3341">
        <w:trPr>
          <w:trHeight w:val="315"/>
        </w:trPr>
        <w:tc>
          <w:tcPr>
            <w:tcW w:w="10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7B3341" w:rsidRDefault="00EC3794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025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Streptomyces</w:t>
            </w:r>
            <w:proofErr w:type="spellEnd"/>
            <w:r w:rsidRPr="00EC37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4579B" w:rsidRPr="007B3341">
              <w:rPr>
                <w:rFonts w:ascii="Times New Roman" w:eastAsia="Times New Roman" w:hAnsi="Times New Roman" w:cs="Times New Roman"/>
                <w:color w:val="000000"/>
              </w:rPr>
              <w:t>T1C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8,000a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8,000a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7,863a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EC3794" w:rsidRPr="00F4579B" w:rsidTr="007B3341">
        <w:trPr>
          <w:trHeight w:val="315"/>
        </w:trPr>
        <w:tc>
          <w:tcPr>
            <w:tcW w:w="10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7B3341" w:rsidRDefault="00EC3794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025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Streptomyces</w:t>
            </w:r>
            <w:proofErr w:type="spellEnd"/>
            <w:r w:rsidRPr="00EC37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4579B" w:rsidRPr="007B3341">
              <w:rPr>
                <w:rFonts w:ascii="Times New Roman" w:eastAsia="Times New Roman" w:hAnsi="Times New Roman" w:cs="Times New Roman"/>
                <w:color w:val="000000"/>
              </w:rPr>
              <w:t>T1J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8,301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8,301c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7,863b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8,301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6,763a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EC3794" w:rsidRPr="00F4579B" w:rsidTr="007B3341">
        <w:trPr>
          <w:trHeight w:val="315"/>
        </w:trPr>
        <w:tc>
          <w:tcPr>
            <w:tcW w:w="10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7B3341" w:rsidRDefault="00EC3794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025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Streptomyces</w:t>
            </w:r>
            <w:proofErr w:type="spellEnd"/>
            <w:r w:rsidRPr="00EC37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4579B" w:rsidRPr="007B3341">
              <w:rPr>
                <w:rFonts w:ascii="Times New Roman" w:eastAsia="Times New Roman" w:hAnsi="Times New Roman" w:cs="Times New Roman"/>
                <w:color w:val="000000"/>
              </w:rPr>
              <w:t>T3A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9,301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8,204b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8,000ab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9,301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7,813a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EC3794" w:rsidRPr="00F4579B" w:rsidTr="007B3341">
        <w:trPr>
          <w:trHeight w:val="315"/>
        </w:trPr>
        <w:tc>
          <w:tcPr>
            <w:tcW w:w="10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7B3341" w:rsidRDefault="00EC3794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025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Streptomyces</w:t>
            </w:r>
            <w:proofErr w:type="spellEnd"/>
            <w:r w:rsidRPr="00EC37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4579B" w:rsidRPr="007B3341">
              <w:rPr>
                <w:rFonts w:ascii="Times New Roman" w:eastAsia="Times New Roman" w:hAnsi="Times New Roman" w:cs="Times New Roman"/>
                <w:color w:val="000000"/>
              </w:rPr>
              <w:t>T3B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8,204b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7,903a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8,176b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EC3794" w:rsidRPr="00F4579B" w:rsidTr="007B3341">
        <w:trPr>
          <w:trHeight w:val="315"/>
        </w:trPr>
        <w:tc>
          <w:tcPr>
            <w:tcW w:w="10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7B3341" w:rsidRDefault="00EC3794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025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Streptomyces</w:t>
            </w:r>
            <w:proofErr w:type="spellEnd"/>
            <w:r w:rsidRPr="00EC37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4579B" w:rsidRPr="007B3341">
              <w:rPr>
                <w:rFonts w:ascii="Times New Roman" w:eastAsia="Times New Roman" w:hAnsi="Times New Roman" w:cs="Times New Roman"/>
                <w:color w:val="000000"/>
              </w:rPr>
              <w:t>T3C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8,000a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7,968a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7,892a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EC3794" w:rsidRPr="00F4579B" w:rsidTr="007B3341">
        <w:trPr>
          <w:trHeight w:val="330"/>
        </w:trPr>
        <w:tc>
          <w:tcPr>
            <w:tcW w:w="10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7B3341" w:rsidRDefault="00EC3794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025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Streptomyces</w:t>
            </w:r>
            <w:proofErr w:type="spellEnd"/>
            <w:r w:rsidRPr="00EC37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4579B" w:rsidRPr="007B3341">
              <w:rPr>
                <w:rFonts w:ascii="Times New Roman" w:eastAsia="Times New Roman" w:hAnsi="Times New Roman" w:cs="Times New Roman"/>
                <w:color w:val="000000"/>
              </w:rPr>
              <w:t>T3D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8,000b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8,778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7,982b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7,820a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</w:tbl>
    <w:p w:rsidR="007B3341" w:rsidRPr="007B3341" w:rsidRDefault="0060624E" w:rsidP="007B3341">
      <w:pPr>
        <w:pStyle w:val="Prrafodelista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Comparación entre aislamientos para el mismo tratamiento, l</w:t>
      </w:r>
      <w:r w:rsidR="00837167" w:rsidRPr="0052695A">
        <w:rPr>
          <w:sz w:val="18"/>
          <w:szCs w:val="18"/>
        </w:rPr>
        <w:t>os métodos de conservación más efectivos para cada aislamiento se presentan en rojo</w:t>
      </w:r>
      <w:r w:rsidR="00E05B75">
        <w:rPr>
          <w:sz w:val="18"/>
          <w:szCs w:val="18"/>
        </w:rPr>
        <w:t>.</w:t>
      </w:r>
      <w:r w:rsidR="00837167" w:rsidRPr="0052695A">
        <w:rPr>
          <w:sz w:val="18"/>
          <w:szCs w:val="18"/>
        </w:rPr>
        <w:t xml:space="preserve"> </w:t>
      </w:r>
      <w:r w:rsidR="00E05B75">
        <w:rPr>
          <w:sz w:val="18"/>
          <w:szCs w:val="18"/>
        </w:rPr>
        <w:t>S</w:t>
      </w:r>
      <w:r w:rsidR="00837167" w:rsidRPr="0052695A">
        <w:rPr>
          <w:sz w:val="18"/>
          <w:szCs w:val="18"/>
        </w:rPr>
        <w:t>egún la agrupación de medias de Tukey</w:t>
      </w:r>
      <w:r w:rsidR="00E05B75">
        <w:rPr>
          <w:sz w:val="18"/>
          <w:szCs w:val="18"/>
        </w:rPr>
        <w:t>,</w:t>
      </w:r>
      <w:r w:rsidR="00837167" w:rsidRPr="0052695A">
        <w:rPr>
          <w:sz w:val="18"/>
          <w:szCs w:val="18"/>
        </w:rPr>
        <w:t xml:space="preserve"> </w:t>
      </w:r>
      <w:r w:rsidR="00E05B75">
        <w:rPr>
          <w:sz w:val="18"/>
          <w:szCs w:val="18"/>
        </w:rPr>
        <w:t>cada</w:t>
      </w:r>
      <w:r w:rsidR="00E05B75" w:rsidRPr="0052695A">
        <w:rPr>
          <w:sz w:val="18"/>
          <w:szCs w:val="18"/>
        </w:rPr>
        <w:t xml:space="preserve"> </w:t>
      </w:r>
      <w:r w:rsidR="00837167" w:rsidRPr="0052695A">
        <w:rPr>
          <w:sz w:val="18"/>
          <w:szCs w:val="18"/>
        </w:rPr>
        <w:t xml:space="preserve">letra (a, b ó c) correspondiente a los grupos formados por la </w:t>
      </w:r>
      <w:r w:rsidR="000B1B4C">
        <w:rPr>
          <w:sz w:val="18"/>
          <w:szCs w:val="18"/>
        </w:rPr>
        <w:t xml:space="preserve">prueba de comparación de medias con un </w:t>
      </w:r>
      <w:r w:rsidR="000B1B4C">
        <w:rPr>
          <w:rFonts w:cstheme="minorHAnsi"/>
          <w:sz w:val="18"/>
          <w:szCs w:val="18"/>
        </w:rPr>
        <w:t>α</w:t>
      </w:r>
      <w:r w:rsidR="000B1B4C">
        <w:rPr>
          <w:sz w:val="18"/>
          <w:szCs w:val="18"/>
        </w:rPr>
        <w:t xml:space="preserve"> de 0,05</w:t>
      </w:r>
    </w:p>
    <w:p w:rsidR="007B3341" w:rsidRDefault="007B3341" w:rsidP="008371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7167" w:rsidRDefault="00837167" w:rsidP="008371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4CE8">
        <w:rPr>
          <w:rFonts w:ascii="Times New Roman" w:hAnsi="Times New Roman" w:cs="Times New Roman"/>
          <w:b/>
          <w:sz w:val="24"/>
          <w:szCs w:val="24"/>
        </w:rPr>
        <w:t>Tabla 2.</w:t>
      </w:r>
      <w:r w:rsidRPr="008E4CE8">
        <w:rPr>
          <w:rFonts w:ascii="Times New Roman" w:hAnsi="Times New Roman" w:cs="Times New Roman"/>
          <w:sz w:val="24"/>
          <w:szCs w:val="24"/>
        </w:rPr>
        <w:t xml:space="preserve"> Viabilidad obtenida a partir de los métodos de conservación a mediano plazo para los aislamientos de </w:t>
      </w:r>
      <w:proofErr w:type="spellStart"/>
      <w:r w:rsidRPr="008E4CE8">
        <w:rPr>
          <w:rFonts w:ascii="Times New Roman" w:hAnsi="Times New Roman" w:cs="Times New Roman"/>
          <w:sz w:val="24"/>
          <w:szCs w:val="24"/>
        </w:rPr>
        <w:t>actinobacterias</w:t>
      </w:r>
      <w:proofErr w:type="spellEnd"/>
      <w:r w:rsidRPr="008E4CE8">
        <w:rPr>
          <w:rFonts w:ascii="Times New Roman" w:hAnsi="Times New Roman" w:cs="Times New Roman"/>
          <w:sz w:val="24"/>
          <w:szCs w:val="24"/>
        </w:rPr>
        <w:t xml:space="preserve"> al inicio y al final de la evaluación*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053"/>
        <w:gridCol w:w="994"/>
        <w:gridCol w:w="992"/>
        <w:gridCol w:w="709"/>
        <w:gridCol w:w="993"/>
        <w:gridCol w:w="993"/>
        <w:gridCol w:w="717"/>
        <w:gridCol w:w="983"/>
        <w:gridCol w:w="993"/>
        <w:gridCol w:w="793"/>
      </w:tblGrid>
      <w:tr w:rsidR="007B3341" w:rsidRPr="00F4579B" w:rsidTr="007B3341">
        <w:trPr>
          <w:trHeight w:val="1147"/>
        </w:trPr>
        <w:tc>
          <w:tcPr>
            <w:tcW w:w="10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Aislamientos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Promedios de 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Rcto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Inicial (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mL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Promedios de 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Rcto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Arcilla (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mL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 Viabilidad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Promedios de 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Rcto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Inicial (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mL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Promedios de 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Rcto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Arena (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mL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 Viabilidad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Promedios de 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Rcto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Inicial (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mL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Promedios de 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Rcto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Sílica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mL</w:t>
            </w:r>
            <w:proofErr w:type="spellEnd"/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9B" w:rsidRPr="00F4579B" w:rsidRDefault="00F4579B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 Viabilidad</w:t>
            </w:r>
          </w:p>
        </w:tc>
      </w:tr>
      <w:tr w:rsidR="007B3341" w:rsidRPr="00F4579B" w:rsidTr="007B3341">
        <w:trPr>
          <w:trHeight w:val="315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341" w:rsidRPr="007B3341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33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Streptomyces</w:t>
            </w:r>
            <w:proofErr w:type="spellEnd"/>
            <w:r w:rsidRPr="007B3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MCR1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8,477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7,903ab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8,000b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7,778a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7B3341" w:rsidRPr="00F4579B" w:rsidTr="007B3341">
        <w:trPr>
          <w:trHeight w:val="315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341" w:rsidRPr="007B3341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33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Streptomyces</w:t>
            </w:r>
            <w:proofErr w:type="spellEnd"/>
            <w:r w:rsidRPr="007B3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MCR9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8,301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7,699a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8,000b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7,699a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7B3341" w:rsidRPr="00F4579B" w:rsidTr="007B3341">
        <w:trPr>
          <w:trHeight w:val="315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341" w:rsidRPr="007B3341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33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Streptomyces</w:t>
            </w:r>
            <w:proofErr w:type="spellEnd"/>
            <w:r w:rsidRPr="007B3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MCR24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8,000a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7,477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7,954a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7,477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7,845a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7B3341" w:rsidRPr="00F4579B" w:rsidTr="007B3341">
        <w:trPr>
          <w:trHeight w:val="315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341" w:rsidRPr="007B3341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33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Streptomyces</w:t>
            </w:r>
            <w:proofErr w:type="spellEnd"/>
            <w:r w:rsidRPr="007B3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MCR26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8,602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7,903a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8,602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8,000a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8,602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7,903a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7B3341" w:rsidRPr="00F4579B" w:rsidTr="007B3341">
        <w:trPr>
          <w:trHeight w:val="315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341" w:rsidRPr="007B3341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33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Kitasatospora</w:t>
            </w:r>
            <w:proofErr w:type="spellEnd"/>
            <w:r w:rsidRPr="007B33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7B3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L3A 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8,301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7,845a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8,477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7,954a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8,477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7,845a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7B3341" w:rsidRPr="00F4579B" w:rsidTr="007B3341">
        <w:trPr>
          <w:trHeight w:val="315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341" w:rsidRPr="007B3341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33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Streptomyces</w:t>
            </w:r>
            <w:proofErr w:type="spellEnd"/>
            <w:r w:rsidRPr="007B3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L4B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7,477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8,000b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7,477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7,954ab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7,477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4,602a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7B3341" w:rsidRPr="00F4579B" w:rsidTr="007B3341">
        <w:trPr>
          <w:trHeight w:val="315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341" w:rsidRPr="007B3341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33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Streptomyces</w:t>
            </w:r>
            <w:proofErr w:type="spellEnd"/>
            <w:r w:rsidRPr="007B3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L4C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8,301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7,699a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7,301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7,778a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7,301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7,602a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7B3341" w:rsidRPr="00F4579B" w:rsidTr="007B3341">
        <w:trPr>
          <w:trHeight w:val="315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341" w:rsidRPr="007B3341" w:rsidRDefault="007B3341" w:rsidP="007B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33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Streptacidiphilus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7B3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M2A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8,477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8,000b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8,602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8,000b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8,602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7,602a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7B3341" w:rsidRPr="00F4579B" w:rsidTr="007B3341">
        <w:trPr>
          <w:trHeight w:val="315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341" w:rsidRPr="007B3341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33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Streptomyces</w:t>
            </w:r>
            <w:proofErr w:type="spellEnd"/>
            <w:r w:rsidRPr="007B3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T1B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7,903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8,477b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8,301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8,699c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8,301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7,778a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7B3341" w:rsidRPr="00F4579B" w:rsidTr="007B3341">
        <w:trPr>
          <w:trHeight w:val="315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341" w:rsidRPr="007B3341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33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Streptomyces</w:t>
            </w:r>
            <w:proofErr w:type="spellEnd"/>
            <w:r w:rsidRPr="007B3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T1C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8,602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7,845a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7,301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8,699b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7,301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7,903a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7B3341" w:rsidRPr="00F4579B" w:rsidTr="007B3341">
        <w:trPr>
          <w:trHeight w:val="315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341" w:rsidRPr="007B3341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33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Streptomyces</w:t>
            </w:r>
            <w:proofErr w:type="spellEnd"/>
            <w:r w:rsidRPr="007B3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T1J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8,477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7,477a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7,301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7,903a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7,301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7,778a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7B3341" w:rsidRPr="00F4579B" w:rsidTr="007B3341">
        <w:trPr>
          <w:trHeight w:val="315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341" w:rsidRPr="007B3341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33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Streptomyces</w:t>
            </w:r>
            <w:proofErr w:type="spellEnd"/>
            <w:r w:rsidRPr="007B3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T3A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8,000b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8,602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8,301c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8,602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7,778a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7B3341" w:rsidRPr="00F4579B" w:rsidTr="007B3341">
        <w:trPr>
          <w:trHeight w:val="315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341" w:rsidRPr="007B3341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33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Streptomyces</w:t>
            </w:r>
            <w:proofErr w:type="spellEnd"/>
            <w:r w:rsidRPr="007B3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T3B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8,301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7,845a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7,301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8,301b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7,301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7,954a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7B3341" w:rsidRPr="00F4579B" w:rsidTr="007B3341">
        <w:trPr>
          <w:trHeight w:val="315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341" w:rsidRPr="007B3341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33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Streptomyces</w:t>
            </w:r>
            <w:proofErr w:type="spellEnd"/>
            <w:r w:rsidRPr="007B3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T3C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7,845a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8,602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8,301b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8,602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7,845a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7B3341" w:rsidRPr="00F4579B" w:rsidTr="007B3341">
        <w:trPr>
          <w:trHeight w:val="330"/>
        </w:trPr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341" w:rsidRPr="007B3341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33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Streptomyces</w:t>
            </w:r>
            <w:proofErr w:type="spellEnd"/>
            <w:r w:rsidRPr="007B3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T3D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7,477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7,602a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</w:rPr>
              <w:t>7,903b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579B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7,699ab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41" w:rsidRPr="00F4579B" w:rsidRDefault="007B3341" w:rsidP="00F4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</w:tbl>
    <w:p w:rsidR="00F4579B" w:rsidRPr="0052695A" w:rsidRDefault="0060624E" w:rsidP="00F4579B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Comparación entre aislamientos para el mismo tratamiento, l</w:t>
      </w:r>
      <w:r w:rsidR="00F4579B" w:rsidRPr="0052695A">
        <w:rPr>
          <w:sz w:val="18"/>
          <w:szCs w:val="18"/>
        </w:rPr>
        <w:t>os métodos de conservación más efectivos para cada aislamiento se presentan en rojo</w:t>
      </w:r>
      <w:r w:rsidR="002B5773">
        <w:rPr>
          <w:sz w:val="18"/>
          <w:szCs w:val="18"/>
        </w:rPr>
        <w:t>.</w:t>
      </w:r>
      <w:r w:rsidR="00F4579B" w:rsidRPr="0052695A">
        <w:rPr>
          <w:sz w:val="18"/>
          <w:szCs w:val="18"/>
        </w:rPr>
        <w:t xml:space="preserve"> </w:t>
      </w:r>
      <w:r w:rsidR="002B5773">
        <w:rPr>
          <w:sz w:val="18"/>
          <w:szCs w:val="18"/>
        </w:rPr>
        <w:t>S</w:t>
      </w:r>
      <w:r w:rsidR="00F4579B" w:rsidRPr="0052695A">
        <w:rPr>
          <w:sz w:val="18"/>
          <w:szCs w:val="18"/>
        </w:rPr>
        <w:t>egún la agrupación de medias de Tukey</w:t>
      </w:r>
      <w:r w:rsidR="002B5773">
        <w:rPr>
          <w:sz w:val="18"/>
          <w:szCs w:val="18"/>
        </w:rPr>
        <w:t>,</w:t>
      </w:r>
      <w:r w:rsidR="00F4579B" w:rsidRPr="0052695A">
        <w:rPr>
          <w:sz w:val="18"/>
          <w:szCs w:val="18"/>
        </w:rPr>
        <w:t xml:space="preserve"> </w:t>
      </w:r>
      <w:r w:rsidR="002B5773">
        <w:rPr>
          <w:sz w:val="18"/>
          <w:szCs w:val="18"/>
        </w:rPr>
        <w:t>cada</w:t>
      </w:r>
      <w:r w:rsidR="00F4579B" w:rsidRPr="0052695A">
        <w:rPr>
          <w:sz w:val="18"/>
          <w:szCs w:val="18"/>
        </w:rPr>
        <w:t xml:space="preserve"> letra (a, b ó c) correspondiente a los grupos formados por la </w:t>
      </w:r>
      <w:r w:rsidR="00F4579B">
        <w:rPr>
          <w:sz w:val="18"/>
          <w:szCs w:val="18"/>
        </w:rPr>
        <w:t xml:space="preserve">prueba de comparación de medias con un </w:t>
      </w:r>
      <w:r w:rsidR="00F4579B">
        <w:rPr>
          <w:rFonts w:cstheme="minorHAnsi"/>
          <w:sz w:val="18"/>
          <w:szCs w:val="18"/>
        </w:rPr>
        <w:t>α</w:t>
      </w:r>
      <w:r w:rsidR="00F4579B">
        <w:rPr>
          <w:sz w:val="18"/>
          <w:szCs w:val="18"/>
        </w:rPr>
        <w:t xml:space="preserve"> de 0,05</w:t>
      </w:r>
    </w:p>
    <w:p w:rsidR="00F646D3" w:rsidRDefault="00837167" w:rsidP="007B3341">
      <w:pPr>
        <w:jc w:val="both"/>
        <w:rPr>
          <w:rFonts w:ascii="Times New Roman" w:hAnsi="Times New Roman" w:cs="Times New Roman"/>
          <w:sz w:val="24"/>
          <w:szCs w:val="24"/>
        </w:rPr>
      </w:pPr>
      <w:r w:rsidRPr="008E4CE8">
        <w:rPr>
          <w:rFonts w:ascii="Times New Roman" w:hAnsi="Times New Roman" w:cs="Times New Roman"/>
          <w:sz w:val="24"/>
          <w:szCs w:val="24"/>
        </w:rPr>
        <w:t>En cuanto al método de corto plazo, transferencia periódica, se realizaron caracterizaciones morfológicas en las cuales se evidenció que ninguno de los aislamientos presentaron cambio alguno durante el tra</w:t>
      </w:r>
      <w:r w:rsidR="007B3341">
        <w:rPr>
          <w:rFonts w:ascii="Times New Roman" w:hAnsi="Times New Roman" w:cs="Times New Roman"/>
          <w:sz w:val="24"/>
          <w:szCs w:val="24"/>
        </w:rPr>
        <w:t>n</w:t>
      </w:r>
      <w:r w:rsidRPr="008E4CE8">
        <w:rPr>
          <w:rFonts w:ascii="Times New Roman" w:hAnsi="Times New Roman" w:cs="Times New Roman"/>
          <w:sz w:val="24"/>
          <w:szCs w:val="24"/>
        </w:rPr>
        <w:t>scurso de</w:t>
      </w:r>
      <w:r w:rsidR="007B3341">
        <w:rPr>
          <w:rFonts w:ascii="Times New Roman" w:hAnsi="Times New Roman" w:cs="Times New Roman"/>
          <w:sz w:val="24"/>
          <w:szCs w:val="24"/>
        </w:rPr>
        <w:t>l</w:t>
      </w:r>
      <w:r w:rsidRPr="008E4CE8">
        <w:rPr>
          <w:rFonts w:ascii="Times New Roman" w:hAnsi="Times New Roman" w:cs="Times New Roman"/>
          <w:sz w:val="24"/>
          <w:szCs w:val="24"/>
        </w:rPr>
        <w:t xml:space="preserve"> tiempo, sin embargo la actividad solubilizadora de fósforo fue baja</w:t>
      </w:r>
      <w:r>
        <w:rPr>
          <w:rFonts w:ascii="Times New Roman" w:hAnsi="Times New Roman" w:cs="Times New Roman"/>
          <w:sz w:val="24"/>
          <w:szCs w:val="24"/>
        </w:rPr>
        <w:t xml:space="preserve"> obteniendo resultados de 9,05 a 20,84 ppm para los aislamientos seleccionados en comparación con los valores obtenidos por Prada</w:t>
      </w:r>
      <w:r w:rsidR="00DE37A6">
        <w:rPr>
          <w:rFonts w:ascii="Times New Roman" w:hAnsi="Times New Roman" w:cs="Times New Roman"/>
          <w:sz w:val="24"/>
          <w:szCs w:val="24"/>
        </w:rPr>
        <w:t xml:space="preserve">, Prieto </w:t>
      </w:r>
      <w:r w:rsidR="007D0E3E">
        <w:rPr>
          <w:rFonts w:ascii="Times New Roman" w:hAnsi="Times New Roman" w:cs="Times New Roman"/>
          <w:sz w:val="24"/>
          <w:szCs w:val="24"/>
        </w:rPr>
        <w:t>&amp;</w:t>
      </w:r>
      <w:r w:rsidR="00DE37A6">
        <w:rPr>
          <w:rFonts w:ascii="Times New Roman" w:hAnsi="Times New Roman" w:cs="Times New Roman"/>
          <w:sz w:val="24"/>
          <w:szCs w:val="24"/>
        </w:rPr>
        <w:t xml:space="preserve"> Franco</w:t>
      </w:r>
      <w:r w:rsidR="007B3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(2014</w:t>
      </w:r>
      <w:r w:rsidR="00F646D3">
        <w:rPr>
          <w:rFonts w:ascii="Times New Roman" w:hAnsi="Times New Roman" w:cs="Times New Roman"/>
          <w:sz w:val="24"/>
          <w:szCs w:val="24"/>
        </w:rPr>
        <w:t>).</w:t>
      </w:r>
    </w:p>
    <w:p w:rsidR="00837167" w:rsidRPr="0052666B" w:rsidRDefault="00837167" w:rsidP="007B3341">
      <w:pPr>
        <w:jc w:val="both"/>
        <w:rPr>
          <w:rFonts w:ascii="Times New Roman" w:hAnsi="Times New Roman" w:cs="Times New Roman"/>
          <w:sz w:val="24"/>
          <w:szCs w:val="24"/>
        </w:rPr>
      </w:pPr>
      <w:r w:rsidRPr="007B3341">
        <w:rPr>
          <w:rFonts w:ascii="Times New Roman" w:hAnsi="Times New Roman" w:cs="Times New Roman"/>
          <w:sz w:val="24"/>
          <w:szCs w:val="24"/>
        </w:rPr>
        <w:t xml:space="preserve">Para evaluar la actividad solubilizadora de fósforo se tomaron 3 aislamientos de </w:t>
      </w:r>
      <w:proofErr w:type="spellStart"/>
      <w:r w:rsidRPr="007B3341">
        <w:rPr>
          <w:rFonts w:ascii="Times New Roman" w:hAnsi="Times New Roman" w:cs="Times New Roman"/>
          <w:sz w:val="24"/>
          <w:szCs w:val="24"/>
        </w:rPr>
        <w:t>actinobacterias</w:t>
      </w:r>
      <w:proofErr w:type="spellEnd"/>
      <w:r w:rsidRPr="007B3341">
        <w:rPr>
          <w:rFonts w:ascii="Times New Roman" w:hAnsi="Times New Roman" w:cs="Times New Roman"/>
          <w:sz w:val="24"/>
          <w:szCs w:val="24"/>
        </w:rPr>
        <w:t xml:space="preserve"> que presentaron la mayor actividad solubilizadora</w:t>
      </w:r>
      <w:r w:rsidR="006637ED">
        <w:rPr>
          <w:rFonts w:ascii="Times New Roman" w:hAnsi="Times New Roman" w:cs="Times New Roman"/>
          <w:sz w:val="24"/>
          <w:szCs w:val="24"/>
        </w:rPr>
        <w:t xml:space="preserve"> (396 y 526 ppm)</w:t>
      </w:r>
      <w:r w:rsidRPr="007B3341">
        <w:rPr>
          <w:rFonts w:ascii="Times New Roman" w:hAnsi="Times New Roman" w:cs="Times New Roman"/>
          <w:sz w:val="24"/>
          <w:szCs w:val="24"/>
        </w:rPr>
        <w:t xml:space="preserve"> en estudios previamente realizados </w:t>
      </w:r>
      <w:r w:rsidRPr="007B3341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="00FA4F1D">
        <w:rPr>
          <w:rFonts w:ascii="Times New Roman" w:hAnsi="Times New Roman" w:cs="Times New Roman"/>
          <w:i/>
          <w:sz w:val="24"/>
          <w:szCs w:val="24"/>
        </w:rPr>
        <w:t>Streptomyces</w:t>
      </w:r>
      <w:proofErr w:type="spellEnd"/>
      <w:r w:rsidR="00FA4F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341">
        <w:rPr>
          <w:rFonts w:ascii="Times New Roman" w:hAnsi="Times New Roman" w:cs="Times New Roman"/>
          <w:sz w:val="24"/>
          <w:szCs w:val="24"/>
        </w:rPr>
        <w:t xml:space="preserve">MCR24, </w:t>
      </w:r>
      <w:proofErr w:type="spellStart"/>
      <w:r w:rsidR="00FA4F1D" w:rsidRPr="00383200">
        <w:rPr>
          <w:rFonts w:ascii="Times New Roman" w:hAnsi="Times New Roman" w:cs="Times New Roman"/>
          <w:i/>
          <w:sz w:val="24"/>
          <w:szCs w:val="24"/>
        </w:rPr>
        <w:t>Streptomyces</w:t>
      </w:r>
      <w:proofErr w:type="spellEnd"/>
      <w:r w:rsidR="00FA4F1D">
        <w:rPr>
          <w:rFonts w:ascii="Times New Roman" w:hAnsi="Times New Roman" w:cs="Times New Roman"/>
          <w:sz w:val="24"/>
          <w:szCs w:val="24"/>
        </w:rPr>
        <w:t xml:space="preserve"> </w:t>
      </w:r>
      <w:r w:rsidRPr="007B3341">
        <w:rPr>
          <w:rFonts w:ascii="Times New Roman" w:hAnsi="Times New Roman" w:cs="Times New Roman"/>
          <w:sz w:val="24"/>
          <w:szCs w:val="24"/>
        </w:rPr>
        <w:t xml:space="preserve">T3A y </w:t>
      </w:r>
      <w:proofErr w:type="spellStart"/>
      <w:r w:rsidR="00FA4F1D" w:rsidRPr="00383200">
        <w:rPr>
          <w:rFonts w:ascii="Times New Roman" w:hAnsi="Times New Roman" w:cs="Times New Roman"/>
          <w:i/>
          <w:sz w:val="24"/>
          <w:szCs w:val="24"/>
        </w:rPr>
        <w:t>Streptomyces</w:t>
      </w:r>
      <w:proofErr w:type="spellEnd"/>
      <w:r w:rsidR="00FA4F1D">
        <w:rPr>
          <w:rFonts w:ascii="Times New Roman" w:hAnsi="Times New Roman" w:cs="Times New Roman"/>
          <w:sz w:val="24"/>
          <w:szCs w:val="24"/>
        </w:rPr>
        <w:t xml:space="preserve"> </w:t>
      </w:r>
      <w:r w:rsidRPr="007B3341">
        <w:rPr>
          <w:rFonts w:ascii="Times New Roman" w:hAnsi="Times New Roman" w:cs="Times New Roman"/>
          <w:sz w:val="24"/>
          <w:szCs w:val="24"/>
        </w:rPr>
        <w:t>T3C)</w:t>
      </w:r>
      <w:r w:rsidR="00FA4F1D">
        <w:rPr>
          <w:rFonts w:ascii="Times New Roman" w:hAnsi="Times New Roman" w:cs="Times New Roman"/>
          <w:sz w:val="24"/>
          <w:szCs w:val="24"/>
        </w:rPr>
        <w:t xml:space="preserve"> (Prada </w:t>
      </w:r>
      <w:r w:rsidR="00DE37A6">
        <w:rPr>
          <w:rFonts w:ascii="Times New Roman" w:hAnsi="Times New Roman" w:cs="Times New Roman"/>
          <w:i/>
          <w:sz w:val="24"/>
          <w:szCs w:val="24"/>
        </w:rPr>
        <w:t>et al.</w:t>
      </w:r>
      <w:r w:rsidR="007D0E3E">
        <w:rPr>
          <w:rFonts w:ascii="Times New Roman" w:hAnsi="Times New Roman" w:cs="Times New Roman"/>
          <w:i/>
          <w:sz w:val="24"/>
          <w:szCs w:val="24"/>
        </w:rPr>
        <w:t>,</w:t>
      </w:r>
      <w:r w:rsidR="00DE37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4F1D">
        <w:rPr>
          <w:rFonts w:ascii="Times New Roman" w:hAnsi="Times New Roman" w:cs="Times New Roman"/>
          <w:sz w:val="24"/>
          <w:szCs w:val="24"/>
        </w:rPr>
        <w:t>2014)</w:t>
      </w:r>
      <w:r w:rsidRPr="007B3341">
        <w:rPr>
          <w:rFonts w:ascii="Times New Roman" w:hAnsi="Times New Roman" w:cs="Times New Roman"/>
          <w:sz w:val="24"/>
          <w:szCs w:val="24"/>
        </w:rPr>
        <w:t>.</w:t>
      </w:r>
      <w:r w:rsidRPr="008E4CE8">
        <w:rPr>
          <w:rFonts w:ascii="Times New Roman" w:hAnsi="Times New Roman" w:cs="Times New Roman"/>
          <w:sz w:val="24"/>
          <w:szCs w:val="24"/>
        </w:rPr>
        <w:t xml:space="preserve"> Mediante un análisis de varianza ANOVA de un factor</w:t>
      </w:r>
      <w:r w:rsidR="002B5773">
        <w:rPr>
          <w:rFonts w:ascii="Times New Roman" w:hAnsi="Times New Roman" w:cs="Times New Roman"/>
          <w:sz w:val="24"/>
          <w:szCs w:val="24"/>
        </w:rPr>
        <w:t>,</w:t>
      </w:r>
      <w:r w:rsidRPr="008E4CE8">
        <w:rPr>
          <w:rFonts w:ascii="Times New Roman" w:hAnsi="Times New Roman" w:cs="Times New Roman"/>
          <w:sz w:val="24"/>
          <w:szCs w:val="24"/>
        </w:rPr>
        <w:t xml:space="preserve"> con un α de 0,05 y posteriormente una prueba de Tukey se determinó el mejor método de conservación relacionado con la preservación de la actividad para cada uno de los aislamientos</w:t>
      </w:r>
      <w:r w:rsidR="002B5773">
        <w:rPr>
          <w:rFonts w:ascii="Times New Roman" w:hAnsi="Times New Roman" w:cs="Times New Roman"/>
          <w:sz w:val="24"/>
          <w:szCs w:val="24"/>
        </w:rPr>
        <w:t>.</w:t>
      </w:r>
      <w:r w:rsidRPr="008E4CE8">
        <w:rPr>
          <w:rFonts w:ascii="Times New Roman" w:hAnsi="Times New Roman" w:cs="Times New Roman"/>
          <w:sz w:val="24"/>
          <w:szCs w:val="24"/>
        </w:rPr>
        <w:t xml:space="preserve"> </w:t>
      </w:r>
      <w:r w:rsidR="002B5773">
        <w:rPr>
          <w:rFonts w:ascii="Times New Roman" w:hAnsi="Times New Roman" w:cs="Times New Roman"/>
          <w:sz w:val="24"/>
          <w:szCs w:val="24"/>
        </w:rPr>
        <w:t>E</w:t>
      </w:r>
      <w:r w:rsidRPr="008E4CE8">
        <w:rPr>
          <w:rFonts w:ascii="Times New Roman" w:hAnsi="Times New Roman" w:cs="Times New Roman"/>
          <w:sz w:val="24"/>
          <w:szCs w:val="24"/>
        </w:rPr>
        <w:t xml:space="preserve">n la </w:t>
      </w:r>
      <w:r w:rsidR="007D0E3E">
        <w:rPr>
          <w:rFonts w:ascii="Times New Roman" w:hAnsi="Times New Roman" w:cs="Times New Roman"/>
          <w:sz w:val="24"/>
          <w:szCs w:val="24"/>
        </w:rPr>
        <w:t>t</w:t>
      </w:r>
      <w:r w:rsidR="00EE108F" w:rsidRPr="007D0E3E">
        <w:rPr>
          <w:rFonts w:ascii="Times New Roman" w:hAnsi="Times New Roman" w:cs="Times New Roman"/>
          <w:sz w:val="24"/>
          <w:szCs w:val="24"/>
        </w:rPr>
        <w:t>abla 3</w:t>
      </w:r>
      <w:r w:rsidR="00BD2F91">
        <w:rPr>
          <w:rFonts w:ascii="Times New Roman" w:hAnsi="Times New Roman" w:cs="Times New Roman"/>
          <w:sz w:val="24"/>
          <w:szCs w:val="24"/>
        </w:rPr>
        <w:t>,</w:t>
      </w:r>
      <w:r w:rsidRPr="008E4CE8">
        <w:rPr>
          <w:rFonts w:ascii="Times New Roman" w:hAnsi="Times New Roman" w:cs="Times New Roman"/>
          <w:sz w:val="24"/>
          <w:szCs w:val="24"/>
        </w:rPr>
        <w:t xml:space="preserve"> se observan los diferentes tratamientos evaluados y la concentración de f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8E4CE8">
        <w:rPr>
          <w:rFonts w:ascii="Times New Roman" w:hAnsi="Times New Roman" w:cs="Times New Roman"/>
          <w:sz w:val="24"/>
          <w:szCs w:val="24"/>
        </w:rPr>
        <w:t>sforo soluble en ppm de cada aislamiento. Los r</w:t>
      </w:r>
      <w:r w:rsidR="00BF54EC">
        <w:rPr>
          <w:rFonts w:ascii="Times New Roman" w:hAnsi="Times New Roman" w:cs="Times New Roman"/>
          <w:sz w:val="24"/>
          <w:szCs w:val="24"/>
        </w:rPr>
        <w:t>esultados demostraron</w:t>
      </w:r>
      <w:r w:rsidRPr="008E4CE8">
        <w:rPr>
          <w:rFonts w:ascii="Times New Roman" w:hAnsi="Times New Roman" w:cs="Times New Roman"/>
          <w:sz w:val="24"/>
          <w:szCs w:val="24"/>
        </w:rPr>
        <w:t xml:space="preserve"> que </w:t>
      </w:r>
      <w:r w:rsidR="00FA4F1D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="00FA4F1D">
        <w:rPr>
          <w:rFonts w:ascii="Times New Roman" w:hAnsi="Times New Roman" w:cs="Times New Roman"/>
          <w:i/>
          <w:sz w:val="24"/>
          <w:szCs w:val="24"/>
        </w:rPr>
        <w:t>Streptomyces</w:t>
      </w:r>
      <w:proofErr w:type="spellEnd"/>
      <w:r w:rsidRPr="008E4CE8">
        <w:rPr>
          <w:rFonts w:ascii="Times New Roman" w:hAnsi="Times New Roman" w:cs="Times New Roman"/>
          <w:sz w:val="24"/>
          <w:szCs w:val="24"/>
        </w:rPr>
        <w:t xml:space="preserve"> MCR24 existen diferencias estadísticamente significativas en cuanto a los métodos de conservación evaluados siendo glicerol 30% (p/v) el mejor tratami</w:t>
      </w:r>
      <w:r w:rsidR="00DE04F5">
        <w:rPr>
          <w:rFonts w:ascii="Times New Roman" w:hAnsi="Times New Roman" w:cs="Times New Roman"/>
          <w:sz w:val="24"/>
          <w:szCs w:val="24"/>
        </w:rPr>
        <w:t>ento</w:t>
      </w:r>
      <w:r w:rsidR="00BF54EC">
        <w:rPr>
          <w:rFonts w:ascii="Times New Roman" w:hAnsi="Times New Roman" w:cs="Times New Roman"/>
          <w:sz w:val="24"/>
          <w:szCs w:val="24"/>
        </w:rPr>
        <w:t>,</w:t>
      </w:r>
      <w:r w:rsidR="00DE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1D" w:rsidRPr="00FA4F1D">
        <w:rPr>
          <w:rFonts w:ascii="Times New Roman" w:hAnsi="Times New Roman" w:cs="Times New Roman"/>
          <w:i/>
          <w:sz w:val="24"/>
          <w:szCs w:val="24"/>
        </w:rPr>
        <w:t>Streptomyces</w:t>
      </w:r>
      <w:proofErr w:type="spellEnd"/>
      <w:r w:rsidR="00FA4F1D">
        <w:rPr>
          <w:rFonts w:ascii="Times New Roman" w:hAnsi="Times New Roman" w:cs="Times New Roman"/>
          <w:sz w:val="24"/>
          <w:szCs w:val="24"/>
        </w:rPr>
        <w:t xml:space="preserve"> </w:t>
      </w:r>
      <w:r w:rsidRPr="008E4CE8">
        <w:rPr>
          <w:rFonts w:ascii="Times New Roman" w:hAnsi="Times New Roman" w:cs="Times New Roman"/>
          <w:sz w:val="24"/>
          <w:szCs w:val="24"/>
        </w:rPr>
        <w:t>T3A no presenta diferencias significativas ya que los datos presentaron un comportamiento similar, sin embargo</w:t>
      </w:r>
      <w:r w:rsidR="00BD2F91">
        <w:rPr>
          <w:rFonts w:ascii="Times New Roman" w:hAnsi="Times New Roman" w:cs="Times New Roman"/>
          <w:sz w:val="24"/>
          <w:szCs w:val="24"/>
        </w:rPr>
        <w:t>,</w:t>
      </w:r>
      <w:r w:rsidRPr="008E4CE8">
        <w:rPr>
          <w:rFonts w:ascii="Times New Roman" w:hAnsi="Times New Roman" w:cs="Times New Roman"/>
          <w:sz w:val="24"/>
          <w:szCs w:val="24"/>
        </w:rPr>
        <w:t xml:space="preserve"> se eligió la media más alta la cual corresponde al</w:t>
      </w:r>
      <w:r w:rsidR="00DE04F5">
        <w:rPr>
          <w:rFonts w:ascii="Times New Roman" w:hAnsi="Times New Roman" w:cs="Times New Roman"/>
          <w:sz w:val="24"/>
          <w:szCs w:val="24"/>
        </w:rPr>
        <w:t xml:space="preserve"> tratamiento de liofilización. </w:t>
      </w:r>
      <w:proofErr w:type="spellStart"/>
      <w:r w:rsidR="00FA4F1D">
        <w:rPr>
          <w:rFonts w:ascii="Times New Roman" w:hAnsi="Times New Roman" w:cs="Times New Roman"/>
          <w:i/>
          <w:sz w:val="24"/>
          <w:szCs w:val="24"/>
        </w:rPr>
        <w:t>Streptomyces</w:t>
      </w:r>
      <w:proofErr w:type="spellEnd"/>
      <w:r w:rsidR="00FA4F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4CE8">
        <w:rPr>
          <w:rFonts w:ascii="Times New Roman" w:hAnsi="Times New Roman" w:cs="Times New Roman"/>
          <w:sz w:val="24"/>
          <w:szCs w:val="24"/>
        </w:rPr>
        <w:t xml:space="preserve">T3C muestra que hay diferencias significativas entre los métodos, dónde liofilización y glicerol (30%) </w:t>
      </w:r>
      <w:r w:rsidR="00BF54EC">
        <w:rPr>
          <w:rFonts w:ascii="Times New Roman" w:hAnsi="Times New Roman" w:cs="Times New Roman"/>
          <w:sz w:val="24"/>
          <w:szCs w:val="24"/>
        </w:rPr>
        <w:t xml:space="preserve">fueron los métodos que tuvieron </w:t>
      </w:r>
      <w:r w:rsidRPr="008E4CE8">
        <w:rPr>
          <w:rFonts w:ascii="Times New Roman" w:hAnsi="Times New Roman" w:cs="Times New Roman"/>
          <w:sz w:val="24"/>
          <w:szCs w:val="24"/>
        </w:rPr>
        <w:t xml:space="preserve">mejor efecto en </w:t>
      </w:r>
      <w:r>
        <w:rPr>
          <w:rFonts w:ascii="Times New Roman" w:hAnsi="Times New Roman" w:cs="Times New Roman"/>
          <w:sz w:val="24"/>
          <w:szCs w:val="24"/>
        </w:rPr>
        <w:t>el mantenimiento de la actividad fisiológica</w:t>
      </w:r>
      <w:r w:rsidR="0052666B">
        <w:rPr>
          <w:rFonts w:ascii="Times New Roman" w:hAnsi="Times New Roman" w:cs="Times New Roman"/>
          <w:sz w:val="24"/>
          <w:szCs w:val="24"/>
        </w:rPr>
        <w:t xml:space="preserve"> de interés que fue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66B">
        <w:rPr>
          <w:rFonts w:ascii="Times New Roman" w:hAnsi="Times New Roman" w:cs="Times New Roman"/>
          <w:sz w:val="24"/>
          <w:szCs w:val="24"/>
        </w:rPr>
        <w:t>la solubilización de fósforo (</w:t>
      </w:r>
      <w:r w:rsidR="00B515A1">
        <w:rPr>
          <w:rFonts w:ascii="Times New Roman" w:hAnsi="Times New Roman" w:cs="Times New Roman"/>
          <w:sz w:val="24"/>
          <w:szCs w:val="24"/>
        </w:rPr>
        <w:t>t</w:t>
      </w:r>
      <w:r w:rsidR="0052666B" w:rsidRPr="00DE37A6">
        <w:rPr>
          <w:rFonts w:ascii="Times New Roman" w:hAnsi="Times New Roman" w:cs="Times New Roman"/>
          <w:sz w:val="24"/>
          <w:szCs w:val="24"/>
        </w:rPr>
        <w:t>abla 3</w:t>
      </w:r>
      <w:r w:rsidR="0052666B">
        <w:rPr>
          <w:rFonts w:ascii="Times New Roman" w:hAnsi="Times New Roman" w:cs="Times New Roman"/>
          <w:sz w:val="24"/>
          <w:szCs w:val="24"/>
        </w:rPr>
        <w:t>)</w:t>
      </w:r>
      <w:r w:rsidR="002407D2">
        <w:rPr>
          <w:rFonts w:ascii="Times New Roman" w:hAnsi="Times New Roman" w:cs="Times New Roman"/>
          <w:sz w:val="24"/>
          <w:szCs w:val="24"/>
        </w:rPr>
        <w:t>.</w:t>
      </w:r>
    </w:p>
    <w:p w:rsidR="00837167" w:rsidRPr="008E4CE8" w:rsidRDefault="00837167" w:rsidP="00837167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4CE8">
        <w:rPr>
          <w:rFonts w:ascii="Times New Roman" w:hAnsi="Times New Roman" w:cs="Times New Roman"/>
          <w:b/>
          <w:noProof/>
          <w:sz w:val="24"/>
          <w:szCs w:val="24"/>
        </w:rPr>
        <w:t xml:space="preserve">Tabla 3. </w:t>
      </w:r>
      <w:r w:rsidRPr="008E4CE8">
        <w:rPr>
          <w:rFonts w:ascii="Times New Roman" w:hAnsi="Times New Roman" w:cs="Times New Roman"/>
          <w:noProof/>
          <w:sz w:val="24"/>
          <w:szCs w:val="24"/>
        </w:rPr>
        <w:t>Evaluación de la solubilización de fósforo a partir de los tratamientos*</w:t>
      </w:r>
      <w:r w:rsidR="002407D2">
        <w:rPr>
          <w:rFonts w:ascii="Times New Roman" w:hAnsi="Times New Roman" w:cs="Times New Roman"/>
          <w:noProof/>
          <w:sz w:val="24"/>
          <w:szCs w:val="24"/>
        </w:rPr>
        <w:t>.</w:t>
      </w:r>
    </w:p>
    <w:tbl>
      <w:tblPr>
        <w:tblW w:w="91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80"/>
        <w:gridCol w:w="2276"/>
        <w:gridCol w:w="2101"/>
        <w:gridCol w:w="2083"/>
      </w:tblGrid>
      <w:tr w:rsidR="00837167" w:rsidRPr="008E4CE8" w:rsidTr="00C3075D">
        <w:trPr>
          <w:trHeight w:val="300"/>
        </w:trPr>
        <w:tc>
          <w:tcPr>
            <w:tcW w:w="26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Tratamiento 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Concentración de P soluble (ppm)</w:t>
            </w:r>
          </w:p>
        </w:tc>
      </w:tr>
      <w:tr w:rsidR="00837167" w:rsidRPr="008E4CE8" w:rsidTr="00C3075D">
        <w:trPr>
          <w:trHeight w:val="300"/>
        </w:trPr>
        <w:tc>
          <w:tcPr>
            <w:tcW w:w="26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37167" w:rsidRPr="008E4CE8" w:rsidRDefault="00837167" w:rsidP="00C30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MCR24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T3A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T3C</w:t>
            </w:r>
          </w:p>
        </w:tc>
      </w:tr>
      <w:tr w:rsidR="00837167" w:rsidRPr="008E4CE8" w:rsidTr="00C3075D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Liofilización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22,54 ± 1,826 a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51,36 ± 0,024 a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13,51 ± 0,414 c</w:t>
            </w:r>
          </w:p>
        </w:tc>
      </w:tr>
      <w:tr w:rsidR="00837167" w:rsidRPr="008E4CE8" w:rsidTr="00C3075D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Glicerol 20%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20,04 ± 2,056 a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45,26 ± 2,251 a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0,44 ± 0,270 a</w:t>
            </w:r>
          </w:p>
        </w:tc>
      </w:tr>
      <w:tr w:rsidR="00837167" w:rsidRPr="008E4CE8" w:rsidTr="00FA4F1D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Glicerol 30%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43,18 ± 4,742 b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39,02 ± 4,129 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15,05 ± 0,8 c</w:t>
            </w:r>
          </w:p>
        </w:tc>
      </w:tr>
      <w:tr w:rsidR="00837167" w:rsidRPr="008E4CE8" w:rsidTr="00FA4F1D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Arcilla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26,65 ± 4,612 ab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45,26 ± 2,857 a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6,87 ± 1,438 b</w:t>
            </w:r>
          </w:p>
        </w:tc>
      </w:tr>
      <w:tr w:rsidR="00837167" w:rsidRPr="008E4CE8" w:rsidTr="00C3075D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25A" w:rsidRPr="008E4CE8" w:rsidRDefault="00837167" w:rsidP="006E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Arena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27,86 ± 5,492 ab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44,63 ± 5,628 a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6,34 ± 1,218 b</w:t>
            </w:r>
          </w:p>
        </w:tc>
      </w:tr>
      <w:tr w:rsidR="00837167" w:rsidRPr="008E4CE8" w:rsidTr="00C3075D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Sílica</w:t>
            </w:r>
            <w:proofErr w:type="spellEnd"/>
            <w:r w:rsidRPr="008E4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30,52 ± 2,120 ab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47,29 ± 0,698 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167" w:rsidRPr="008E4CE8" w:rsidRDefault="00837167" w:rsidP="00C3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2,47 ± 0,571 a</w:t>
            </w:r>
          </w:p>
        </w:tc>
      </w:tr>
    </w:tbl>
    <w:p w:rsidR="00837167" w:rsidRPr="00FA4F1D" w:rsidRDefault="00837167" w:rsidP="00FA4F1D">
      <w:pPr>
        <w:pStyle w:val="Prrafodelista"/>
        <w:numPr>
          <w:ilvl w:val="0"/>
          <w:numId w:val="2"/>
        </w:numPr>
        <w:jc w:val="both"/>
        <w:rPr>
          <w:sz w:val="18"/>
          <w:szCs w:val="18"/>
        </w:rPr>
      </w:pPr>
      <w:r w:rsidRPr="005911E9">
        <w:rPr>
          <w:sz w:val="18"/>
          <w:szCs w:val="18"/>
        </w:rPr>
        <w:t>Los métodos de conservación más efectivos para cada aislamiento se presentan en rojo</w:t>
      </w:r>
      <w:r w:rsidR="005911E9" w:rsidRPr="005911E9">
        <w:rPr>
          <w:sz w:val="18"/>
          <w:szCs w:val="18"/>
        </w:rPr>
        <w:t>.</w:t>
      </w:r>
      <w:r w:rsidRPr="005911E9">
        <w:rPr>
          <w:sz w:val="18"/>
          <w:szCs w:val="18"/>
        </w:rPr>
        <w:t xml:space="preserve"> </w:t>
      </w:r>
      <w:r w:rsidR="005911E9" w:rsidRPr="005911E9">
        <w:rPr>
          <w:sz w:val="18"/>
          <w:szCs w:val="18"/>
        </w:rPr>
        <w:t>S</w:t>
      </w:r>
      <w:r w:rsidRPr="00432FE5">
        <w:rPr>
          <w:sz w:val="18"/>
          <w:szCs w:val="18"/>
        </w:rPr>
        <w:t>egún la agrupación de medias de Tukey</w:t>
      </w:r>
      <w:r w:rsidR="005911E9" w:rsidRPr="00432FE5">
        <w:rPr>
          <w:sz w:val="18"/>
          <w:szCs w:val="18"/>
        </w:rPr>
        <w:t>,</w:t>
      </w:r>
      <w:r w:rsidR="00FA4F1D">
        <w:rPr>
          <w:sz w:val="18"/>
          <w:szCs w:val="18"/>
        </w:rPr>
        <w:t xml:space="preserve"> </w:t>
      </w:r>
      <w:r w:rsidR="005911E9" w:rsidRPr="00B9728F">
        <w:rPr>
          <w:sz w:val="18"/>
          <w:szCs w:val="18"/>
        </w:rPr>
        <w:t xml:space="preserve">cada </w:t>
      </w:r>
      <w:r w:rsidRPr="00B9728F">
        <w:rPr>
          <w:sz w:val="18"/>
          <w:szCs w:val="18"/>
        </w:rPr>
        <w:t xml:space="preserve">letra (a, b ó c) correspondiente a los grupos formados por la </w:t>
      </w:r>
      <w:r w:rsidR="000B1B4C" w:rsidRPr="00B9728F">
        <w:rPr>
          <w:sz w:val="18"/>
          <w:szCs w:val="18"/>
        </w:rPr>
        <w:t xml:space="preserve">prueba de comparación de medias con un </w:t>
      </w:r>
      <w:r w:rsidR="000B1B4C" w:rsidRPr="006A7007">
        <w:rPr>
          <w:rFonts w:cstheme="minorHAnsi"/>
          <w:sz w:val="18"/>
          <w:szCs w:val="18"/>
        </w:rPr>
        <w:t>α</w:t>
      </w:r>
      <w:r w:rsidR="000B1B4C" w:rsidRPr="006A7007">
        <w:rPr>
          <w:sz w:val="18"/>
          <w:szCs w:val="18"/>
        </w:rPr>
        <w:t xml:space="preserve"> de 0,05.</w:t>
      </w:r>
      <w:r w:rsidR="00FA4F1D">
        <w:rPr>
          <w:sz w:val="18"/>
          <w:szCs w:val="18"/>
        </w:rPr>
        <w:t xml:space="preserve"> </w:t>
      </w:r>
      <w:r w:rsidRPr="00FA4F1D">
        <w:rPr>
          <w:sz w:val="18"/>
          <w:szCs w:val="18"/>
        </w:rPr>
        <w:t>Promedio de la concentración ± Error estándar</w:t>
      </w:r>
      <w:r w:rsidR="002407D2">
        <w:rPr>
          <w:sz w:val="18"/>
          <w:szCs w:val="18"/>
        </w:rPr>
        <w:t>.</w:t>
      </w:r>
      <w:r w:rsidRPr="00FA4F1D">
        <w:rPr>
          <w:sz w:val="18"/>
          <w:szCs w:val="18"/>
        </w:rPr>
        <w:t xml:space="preserve"> </w:t>
      </w:r>
    </w:p>
    <w:p w:rsidR="00837167" w:rsidRDefault="00837167" w:rsidP="00837167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37167" w:rsidSect="00F27A57">
          <w:footerReference w:type="default" r:id="rId8"/>
          <w:type w:val="continuous"/>
          <w:pgSz w:w="12240" w:h="15840"/>
          <w:pgMar w:top="1440" w:right="1080" w:bottom="1440" w:left="1080" w:header="709" w:footer="709" w:gutter="0"/>
          <w:cols w:space="708"/>
          <w:docGrid w:linePitch="360"/>
        </w:sectPr>
      </w:pPr>
    </w:p>
    <w:p w:rsidR="00D942F5" w:rsidRPr="00D942F5" w:rsidRDefault="00D942F5" w:rsidP="00D942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En la </w:t>
      </w:r>
      <w:r w:rsidR="00B515A1">
        <w:rPr>
          <w:rFonts w:ascii="Times New Roman" w:hAnsi="Times New Roman" w:cs="Times New Roman"/>
          <w:sz w:val="24"/>
          <w:szCs w:val="24"/>
        </w:rPr>
        <w:t>t</w:t>
      </w:r>
      <w:r w:rsidRPr="00B515A1">
        <w:rPr>
          <w:rFonts w:ascii="Times New Roman" w:hAnsi="Times New Roman" w:cs="Times New Roman"/>
          <w:sz w:val="24"/>
          <w:szCs w:val="24"/>
        </w:rPr>
        <w:t>abla 4</w:t>
      </w:r>
      <w:r>
        <w:rPr>
          <w:rFonts w:ascii="Times New Roman" w:hAnsi="Times New Roman" w:cs="Times New Roman"/>
          <w:sz w:val="24"/>
          <w:szCs w:val="24"/>
        </w:rPr>
        <w:t xml:space="preserve"> se observan algunos valores resaltados en rojo, los cuales</w:t>
      </w:r>
      <w:r w:rsidR="00C338D9">
        <w:rPr>
          <w:rFonts w:ascii="Times New Roman" w:hAnsi="Times New Roman" w:cs="Times New Roman"/>
          <w:sz w:val="24"/>
          <w:szCs w:val="24"/>
        </w:rPr>
        <w:t xml:space="preserve"> indican </w:t>
      </w:r>
      <w:r w:rsidR="008A08A7">
        <w:rPr>
          <w:rFonts w:ascii="Times New Roman" w:hAnsi="Times New Roman" w:cs="Times New Roman"/>
          <w:sz w:val="24"/>
          <w:szCs w:val="24"/>
        </w:rPr>
        <w:t xml:space="preserve">en </w:t>
      </w:r>
      <w:r w:rsidR="00C338D9">
        <w:rPr>
          <w:rFonts w:ascii="Times New Roman" w:hAnsi="Times New Roman" w:cs="Times New Roman"/>
          <w:sz w:val="24"/>
          <w:szCs w:val="24"/>
        </w:rPr>
        <w:t xml:space="preserve">la viabilidad y </w:t>
      </w:r>
      <w:r>
        <w:rPr>
          <w:rFonts w:ascii="Times New Roman" w:hAnsi="Times New Roman" w:cs="Times New Roman"/>
          <w:sz w:val="24"/>
          <w:szCs w:val="24"/>
        </w:rPr>
        <w:t>actividad solubilizadora de fósforo</w:t>
      </w:r>
      <w:r w:rsidR="00C338D9">
        <w:rPr>
          <w:rFonts w:ascii="Times New Roman" w:hAnsi="Times New Roman" w:cs="Times New Roman"/>
          <w:sz w:val="24"/>
          <w:szCs w:val="24"/>
        </w:rPr>
        <w:t xml:space="preserve"> los valores</w:t>
      </w:r>
      <w:r>
        <w:rPr>
          <w:rFonts w:ascii="Times New Roman" w:hAnsi="Times New Roman" w:cs="Times New Roman"/>
          <w:sz w:val="24"/>
          <w:szCs w:val="24"/>
        </w:rPr>
        <w:t xml:space="preserve"> más altos</w:t>
      </w:r>
      <w:r w:rsidR="008A08A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y en costos, los</w:t>
      </w:r>
      <w:r w:rsidR="00C338D9">
        <w:rPr>
          <w:rFonts w:ascii="Times New Roman" w:hAnsi="Times New Roman" w:cs="Times New Roman"/>
          <w:sz w:val="24"/>
          <w:szCs w:val="24"/>
        </w:rPr>
        <w:t xml:space="preserve"> valores</w:t>
      </w:r>
      <w:r>
        <w:rPr>
          <w:rFonts w:ascii="Times New Roman" w:hAnsi="Times New Roman" w:cs="Times New Roman"/>
          <w:sz w:val="24"/>
          <w:szCs w:val="24"/>
        </w:rPr>
        <w:t xml:space="preserve"> más bajos</w:t>
      </w:r>
      <w:r w:rsidR="00C338D9">
        <w:rPr>
          <w:rFonts w:ascii="Times New Roman" w:hAnsi="Times New Roman" w:cs="Times New Roman"/>
          <w:sz w:val="24"/>
          <w:szCs w:val="24"/>
        </w:rPr>
        <w:t xml:space="preserve"> o más económicos por cada tratamiento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42F5" w:rsidRDefault="00D942F5" w:rsidP="00D942F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Tabla 4. </w:t>
      </w:r>
      <w:r>
        <w:rPr>
          <w:rFonts w:ascii="Times New Roman" w:hAnsi="Times New Roman" w:cs="Times New Roman"/>
        </w:rPr>
        <w:t>Viabilidad, concentración de fósforo soluble y costos de los tratamientos evaluados*</w:t>
      </w:r>
      <w:r w:rsidR="002407D2">
        <w:rPr>
          <w:rFonts w:ascii="Times New Roman" w:hAnsi="Times New Roman" w:cs="Times New Roman"/>
        </w:rPr>
        <w:t>.</w:t>
      </w:r>
    </w:p>
    <w:tbl>
      <w:tblPr>
        <w:tblW w:w="921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00"/>
        <w:gridCol w:w="1434"/>
        <w:gridCol w:w="1900"/>
        <w:gridCol w:w="3460"/>
        <w:gridCol w:w="1474"/>
      </w:tblGrid>
      <w:tr w:rsidR="00D942F5" w:rsidTr="00FA4F1D">
        <w:trPr>
          <w:trHeight w:val="75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Plazos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Tratamiento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Viabilidad 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Actividad solubilizadora de P (ppm)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USD</w:t>
            </w:r>
            <w:r w:rsidR="00353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/Método </w:t>
            </w:r>
          </w:p>
        </w:tc>
      </w:tr>
      <w:tr w:rsidR="00D942F5" w:rsidTr="00FA4F1D">
        <w:trPr>
          <w:trHeight w:val="300"/>
        </w:trPr>
        <w:tc>
          <w:tcPr>
            <w:tcW w:w="120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Largo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Liofilización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7,954</w:t>
            </w:r>
          </w:p>
        </w:tc>
        <w:tc>
          <w:tcPr>
            <w:tcW w:w="346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29.13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19.970,499</w:t>
            </w:r>
          </w:p>
        </w:tc>
      </w:tr>
      <w:tr w:rsidR="00D942F5" w:rsidTr="00FA4F1D">
        <w:trPr>
          <w:trHeight w:val="300"/>
        </w:trPr>
        <w:tc>
          <w:tcPr>
            <w:tcW w:w="1200" w:type="dxa"/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34" w:type="dxa"/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Glicerol 20%</w:t>
            </w:r>
          </w:p>
        </w:tc>
        <w:tc>
          <w:tcPr>
            <w:tcW w:w="1900" w:type="dxa"/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8,000</w:t>
            </w:r>
          </w:p>
        </w:tc>
        <w:tc>
          <w:tcPr>
            <w:tcW w:w="3460" w:type="dxa"/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21.91</w:t>
            </w:r>
          </w:p>
        </w:tc>
        <w:tc>
          <w:tcPr>
            <w:tcW w:w="1220" w:type="dxa"/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13.114,340</w:t>
            </w:r>
          </w:p>
        </w:tc>
      </w:tr>
      <w:tr w:rsidR="00D942F5" w:rsidTr="00FA4F1D">
        <w:trPr>
          <w:trHeight w:val="300"/>
        </w:trPr>
        <w:tc>
          <w:tcPr>
            <w:tcW w:w="120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Glicerol 30%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7,903</w:t>
            </w:r>
          </w:p>
        </w:tc>
        <w:tc>
          <w:tcPr>
            <w:tcW w:w="346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32.42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15.459,506</w:t>
            </w:r>
          </w:p>
        </w:tc>
      </w:tr>
      <w:tr w:rsidR="00D942F5" w:rsidTr="00FA4F1D">
        <w:trPr>
          <w:trHeight w:val="300"/>
        </w:trPr>
        <w:tc>
          <w:tcPr>
            <w:tcW w:w="120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Mediano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Arena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8,000</w:t>
            </w:r>
          </w:p>
        </w:tc>
        <w:tc>
          <w:tcPr>
            <w:tcW w:w="346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26.28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10.791,428</w:t>
            </w:r>
          </w:p>
        </w:tc>
      </w:tr>
      <w:tr w:rsidR="00D942F5" w:rsidTr="00FA4F1D">
        <w:trPr>
          <w:trHeight w:val="300"/>
        </w:trPr>
        <w:tc>
          <w:tcPr>
            <w:tcW w:w="1200" w:type="dxa"/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34" w:type="dxa"/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Arcilla</w:t>
            </w:r>
          </w:p>
        </w:tc>
        <w:tc>
          <w:tcPr>
            <w:tcW w:w="1900" w:type="dxa"/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7,903</w:t>
            </w:r>
          </w:p>
        </w:tc>
        <w:tc>
          <w:tcPr>
            <w:tcW w:w="3460" w:type="dxa"/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26.26</w:t>
            </w:r>
          </w:p>
        </w:tc>
        <w:tc>
          <w:tcPr>
            <w:tcW w:w="1220" w:type="dxa"/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9.938,450</w:t>
            </w:r>
          </w:p>
        </w:tc>
      </w:tr>
      <w:tr w:rsidR="00D942F5" w:rsidTr="00FA4F1D">
        <w:trPr>
          <w:trHeight w:val="300"/>
        </w:trPr>
        <w:tc>
          <w:tcPr>
            <w:tcW w:w="120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Sílica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gel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7,699</w:t>
            </w:r>
          </w:p>
        </w:tc>
        <w:tc>
          <w:tcPr>
            <w:tcW w:w="346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26.76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10.823,213</w:t>
            </w:r>
          </w:p>
        </w:tc>
      </w:tr>
      <w:tr w:rsidR="00D942F5" w:rsidTr="00FA4F1D">
        <w:trPr>
          <w:trHeight w:val="283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Corto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T. Periódica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Cualitativo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23.23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942F5" w:rsidRDefault="00D942F5" w:rsidP="0060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10.767,253</w:t>
            </w:r>
          </w:p>
        </w:tc>
      </w:tr>
    </w:tbl>
    <w:p w:rsidR="00D942F5" w:rsidRDefault="00D942F5" w:rsidP="00D942F5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  <w:sz w:val="18"/>
          <w:szCs w:val="18"/>
        </w:rPr>
        <w:t xml:space="preserve">Los cuadros en rojo representan los tratamientos seleccionados en cuanto a la mejor viabilidad, concentración más alta de fósforo soluble y los cosos más bajos. </w:t>
      </w:r>
    </w:p>
    <w:p w:rsidR="00D942F5" w:rsidRDefault="00D942F5" w:rsidP="00D942F5">
      <w:pPr>
        <w:pStyle w:val="Default"/>
        <w:jc w:val="both"/>
        <w:rPr>
          <w:rFonts w:ascii="Times New Roman" w:hAnsi="Times New Roman" w:cs="Times New Roman"/>
        </w:rPr>
      </w:pPr>
    </w:p>
    <w:p w:rsidR="00D942F5" w:rsidRDefault="00D942F5" w:rsidP="00D942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8D9" w:rsidRDefault="00C338D9" w:rsidP="00D942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338D9" w:rsidSect="00F27A57">
          <w:type w:val="continuous"/>
          <w:pgSz w:w="12240" w:h="15840"/>
          <w:pgMar w:top="1440" w:right="1080" w:bottom="1440" w:left="1080" w:header="709" w:footer="709" w:gutter="0"/>
          <w:cols w:space="708"/>
          <w:docGrid w:linePitch="360"/>
        </w:sectPr>
      </w:pPr>
    </w:p>
    <w:p w:rsidR="00837167" w:rsidRDefault="00837167" w:rsidP="008371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DISCUSION DE RESULTADOS</w:t>
      </w:r>
    </w:p>
    <w:p w:rsidR="006A7007" w:rsidRDefault="00837167" w:rsidP="00343920">
      <w:pPr>
        <w:jc w:val="both"/>
        <w:rPr>
          <w:rFonts w:ascii="Times New Roman" w:hAnsi="Times New Roman" w:cs="Times New Roman"/>
          <w:sz w:val="24"/>
          <w:szCs w:val="24"/>
        </w:rPr>
      </w:pPr>
      <w:r w:rsidRPr="00975D66">
        <w:rPr>
          <w:rFonts w:ascii="Times New Roman" w:hAnsi="Times New Roman" w:cs="Times New Roman"/>
          <w:sz w:val="24"/>
          <w:szCs w:val="24"/>
        </w:rPr>
        <w:t>Debido a la gran variedad que presentan los microorganismos no se ha reportado un método óptimo de</w:t>
      </w:r>
      <w:r>
        <w:rPr>
          <w:rFonts w:ascii="Times New Roman" w:hAnsi="Times New Roman" w:cs="Times New Roman"/>
          <w:sz w:val="24"/>
          <w:szCs w:val="24"/>
        </w:rPr>
        <w:t xml:space="preserve"> conservación para éstos en general, incluso para un grupo particular de microorganismos como las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actinobacterias</w:t>
      </w:r>
      <w:proofErr w:type="spellEnd"/>
      <w:r w:rsidR="006A7007">
        <w:rPr>
          <w:rFonts w:ascii="Times New Roman" w:hAnsi="Times New Roman" w:cs="Times New Roman"/>
          <w:sz w:val="24"/>
          <w:szCs w:val="24"/>
        </w:rPr>
        <w:t xml:space="preserve">, </w:t>
      </w:r>
      <w:r w:rsidR="0052666B">
        <w:rPr>
          <w:rFonts w:ascii="Times New Roman" w:hAnsi="Times New Roman" w:cs="Times New Roman"/>
          <w:sz w:val="24"/>
          <w:szCs w:val="24"/>
        </w:rPr>
        <w:t>estas bacterias son conocidas</w:t>
      </w:r>
      <w:r w:rsidR="00CC624F">
        <w:rPr>
          <w:rFonts w:ascii="Times New Roman" w:hAnsi="Times New Roman" w:cs="Times New Roman"/>
          <w:sz w:val="24"/>
          <w:szCs w:val="24"/>
        </w:rPr>
        <w:t xml:space="preserve"> por su importancia biotecnológica y biológica en diversos campos, hecho relacionado con su alta diversidad metabólica y presencia en diversidad de nichos ecológicos (</w:t>
      </w:r>
      <w:r w:rsidR="00343920">
        <w:rPr>
          <w:rFonts w:ascii="Times New Roman" w:hAnsi="Times New Roman" w:cs="Times New Roman"/>
          <w:sz w:val="24"/>
          <w:szCs w:val="24"/>
        </w:rPr>
        <w:t xml:space="preserve">Franco &amp; </w:t>
      </w:r>
      <w:proofErr w:type="spellStart"/>
      <w:r w:rsidR="00343920">
        <w:rPr>
          <w:rFonts w:ascii="Times New Roman" w:hAnsi="Times New Roman" w:cs="Times New Roman"/>
          <w:sz w:val="24"/>
          <w:szCs w:val="24"/>
        </w:rPr>
        <w:t>Chavarro</w:t>
      </w:r>
      <w:proofErr w:type="spellEnd"/>
      <w:r w:rsidR="00343920">
        <w:rPr>
          <w:rFonts w:ascii="Times New Roman" w:hAnsi="Times New Roman" w:cs="Times New Roman"/>
          <w:sz w:val="24"/>
          <w:szCs w:val="24"/>
        </w:rPr>
        <w:t xml:space="preserve">, </w:t>
      </w:r>
      <w:r w:rsidR="00CC624F">
        <w:rPr>
          <w:rFonts w:ascii="Times New Roman" w:hAnsi="Times New Roman" w:cs="Times New Roman"/>
          <w:sz w:val="24"/>
          <w:szCs w:val="24"/>
        </w:rPr>
        <w:t>2016).  Aun así</w:t>
      </w:r>
      <w:r w:rsidR="00BD2F91">
        <w:rPr>
          <w:rFonts w:ascii="Times New Roman" w:hAnsi="Times New Roman" w:cs="Times New Roman"/>
          <w:sz w:val="24"/>
          <w:szCs w:val="24"/>
        </w:rPr>
        <w:t>,</w:t>
      </w:r>
      <w:r w:rsidR="00CC624F">
        <w:rPr>
          <w:rFonts w:ascii="Times New Roman" w:hAnsi="Times New Roman" w:cs="Times New Roman"/>
          <w:sz w:val="24"/>
          <w:szCs w:val="24"/>
        </w:rPr>
        <w:t xml:space="preserve"> son</w:t>
      </w:r>
      <w:r w:rsidR="006A7007">
        <w:rPr>
          <w:rFonts w:ascii="Times New Roman" w:hAnsi="Times New Roman" w:cs="Times New Roman"/>
          <w:sz w:val="24"/>
          <w:szCs w:val="24"/>
        </w:rPr>
        <w:t xml:space="preserve"> limitada</w:t>
      </w:r>
      <w:r w:rsidR="00CC624F">
        <w:rPr>
          <w:rFonts w:ascii="Times New Roman" w:hAnsi="Times New Roman" w:cs="Times New Roman"/>
          <w:sz w:val="24"/>
          <w:szCs w:val="24"/>
        </w:rPr>
        <w:t>s</w:t>
      </w:r>
      <w:r w:rsidR="006A7007">
        <w:rPr>
          <w:rFonts w:ascii="Times New Roman" w:hAnsi="Times New Roman" w:cs="Times New Roman"/>
          <w:sz w:val="24"/>
          <w:szCs w:val="24"/>
        </w:rPr>
        <w:t xml:space="preserve"> las investigaciones relacionada</w:t>
      </w:r>
      <w:r w:rsidR="00266895">
        <w:rPr>
          <w:rFonts w:ascii="Times New Roman" w:hAnsi="Times New Roman" w:cs="Times New Roman"/>
          <w:sz w:val="24"/>
          <w:szCs w:val="24"/>
        </w:rPr>
        <w:t>s</w:t>
      </w:r>
      <w:r w:rsidR="006A7007">
        <w:rPr>
          <w:rFonts w:ascii="Times New Roman" w:hAnsi="Times New Roman" w:cs="Times New Roman"/>
          <w:sz w:val="24"/>
          <w:szCs w:val="24"/>
        </w:rPr>
        <w:t xml:space="preserve"> con la forma de almacenamiento de l</w:t>
      </w:r>
      <w:r w:rsidR="00CC624F">
        <w:rPr>
          <w:rFonts w:ascii="Times New Roman" w:hAnsi="Times New Roman" w:cs="Times New Roman"/>
          <w:sz w:val="24"/>
          <w:szCs w:val="24"/>
        </w:rPr>
        <w:t>os miembros de este grupo, por lo cual</w:t>
      </w:r>
      <w:r w:rsidR="006A7007">
        <w:rPr>
          <w:rFonts w:ascii="Times New Roman" w:hAnsi="Times New Roman" w:cs="Times New Roman"/>
          <w:sz w:val="24"/>
          <w:szCs w:val="24"/>
        </w:rPr>
        <w:t xml:space="preserve"> de manera común se hace uso de los métodos</w:t>
      </w:r>
      <w:r w:rsidR="00CC624F">
        <w:rPr>
          <w:rFonts w:ascii="Times New Roman" w:hAnsi="Times New Roman" w:cs="Times New Roman"/>
          <w:sz w:val="24"/>
          <w:szCs w:val="24"/>
        </w:rPr>
        <w:t xml:space="preserve"> de conservación de </w:t>
      </w:r>
      <w:r w:rsidR="006A7007">
        <w:rPr>
          <w:rFonts w:ascii="Times New Roman" w:hAnsi="Times New Roman" w:cs="Times New Roman"/>
          <w:sz w:val="24"/>
          <w:szCs w:val="24"/>
        </w:rPr>
        <w:t>otro</w:t>
      </w:r>
      <w:r w:rsidR="00CC624F">
        <w:rPr>
          <w:rFonts w:ascii="Times New Roman" w:hAnsi="Times New Roman" w:cs="Times New Roman"/>
          <w:sz w:val="24"/>
          <w:szCs w:val="24"/>
        </w:rPr>
        <w:t>s</w:t>
      </w:r>
      <w:r w:rsidR="006A7007">
        <w:rPr>
          <w:rFonts w:ascii="Times New Roman" w:hAnsi="Times New Roman" w:cs="Times New Roman"/>
          <w:sz w:val="24"/>
          <w:szCs w:val="24"/>
        </w:rPr>
        <w:t xml:space="preserve"> grupos bacterianos para </w:t>
      </w:r>
      <w:r w:rsidR="0052666B">
        <w:rPr>
          <w:rFonts w:ascii="Times New Roman" w:hAnsi="Times New Roman" w:cs="Times New Roman"/>
          <w:sz w:val="24"/>
          <w:szCs w:val="24"/>
        </w:rPr>
        <w:t>conservarlos</w:t>
      </w:r>
      <w:r w:rsidR="006A7007">
        <w:rPr>
          <w:rFonts w:ascii="Times New Roman" w:hAnsi="Times New Roman" w:cs="Times New Roman"/>
          <w:sz w:val="24"/>
          <w:szCs w:val="24"/>
        </w:rPr>
        <w:t>. En muchas ocasiones esto puede funcionar</w:t>
      </w:r>
      <w:r w:rsidR="00CC624F">
        <w:rPr>
          <w:rFonts w:ascii="Times New Roman" w:hAnsi="Times New Roman" w:cs="Times New Roman"/>
          <w:sz w:val="24"/>
          <w:szCs w:val="24"/>
        </w:rPr>
        <w:t>,</w:t>
      </w:r>
      <w:r w:rsidR="006A7007">
        <w:rPr>
          <w:rFonts w:ascii="Times New Roman" w:hAnsi="Times New Roman" w:cs="Times New Roman"/>
          <w:sz w:val="24"/>
          <w:szCs w:val="24"/>
        </w:rPr>
        <w:t xml:space="preserve"> pero no es idóneo generalizar ni someter </w:t>
      </w:r>
      <w:r w:rsidR="00CC624F">
        <w:rPr>
          <w:rFonts w:ascii="Times New Roman" w:hAnsi="Times New Roman" w:cs="Times New Roman"/>
          <w:sz w:val="24"/>
          <w:szCs w:val="24"/>
        </w:rPr>
        <w:t>estos micr</w:t>
      </w:r>
      <w:r w:rsidR="009A652C">
        <w:rPr>
          <w:rFonts w:ascii="Times New Roman" w:hAnsi="Times New Roman" w:cs="Times New Roman"/>
          <w:sz w:val="24"/>
          <w:szCs w:val="24"/>
        </w:rPr>
        <w:t>o</w:t>
      </w:r>
      <w:r w:rsidR="00CC624F">
        <w:rPr>
          <w:rFonts w:ascii="Times New Roman" w:hAnsi="Times New Roman" w:cs="Times New Roman"/>
          <w:sz w:val="24"/>
          <w:szCs w:val="24"/>
        </w:rPr>
        <w:t xml:space="preserve">organismos </w:t>
      </w:r>
      <w:r w:rsidR="006A7007">
        <w:rPr>
          <w:rFonts w:ascii="Times New Roman" w:hAnsi="Times New Roman" w:cs="Times New Roman"/>
          <w:sz w:val="24"/>
          <w:szCs w:val="24"/>
        </w:rPr>
        <w:t xml:space="preserve">a las mismas condiciones de </w:t>
      </w:r>
      <w:r w:rsidR="002D0E14">
        <w:rPr>
          <w:rFonts w:ascii="Times New Roman" w:hAnsi="Times New Roman" w:cs="Times New Roman"/>
          <w:sz w:val="24"/>
          <w:szCs w:val="24"/>
        </w:rPr>
        <w:t xml:space="preserve">conservación </w:t>
      </w:r>
      <w:r w:rsidR="006A7007">
        <w:rPr>
          <w:rFonts w:ascii="Times New Roman" w:hAnsi="Times New Roman" w:cs="Times New Roman"/>
          <w:sz w:val="24"/>
          <w:szCs w:val="24"/>
        </w:rPr>
        <w:t xml:space="preserve"> que los otros </w:t>
      </w:r>
      <w:proofErr w:type="spellStart"/>
      <w:r w:rsidR="006A7007">
        <w:rPr>
          <w:rFonts w:ascii="Times New Roman" w:hAnsi="Times New Roman" w:cs="Times New Roman"/>
          <w:sz w:val="24"/>
          <w:szCs w:val="24"/>
        </w:rPr>
        <w:t>filum</w:t>
      </w:r>
      <w:proofErr w:type="spellEnd"/>
      <w:r w:rsidR="006A7007">
        <w:rPr>
          <w:rFonts w:ascii="Times New Roman" w:hAnsi="Times New Roman" w:cs="Times New Roman"/>
          <w:sz w:val="24"/>
          <w:szCs w:val="24"/>
        </w:rPr>
        <w:t xml:space="preserve">, debido a que este grupo presenta características fenotípicas, fisiológicas y genéticas propias que </w:t>
      </w:r>
      <w:r w:rsidR="00761E40">
        <w:rPr>
          <w:rFonts w:ascii="Times New Roman" w:hAnsi="Times New Roman" w:cs="Times New Roman"/>
          <w:sz w:val="24"/>
          <w:szCs w:val="24"/>
        </w:rPr>
        <w:t>hacen</w:t>
      </w:r>
      <w:r w:rsidR="00CC624F">
        <w:rPr>
          <w:rFonts w:ascii="Times New Roman" w:hAnsi="Times New Roman" w:cs="Times New Roman"/>
          <w:sz w:val="24"/>
          <w:szCs w:val="24"/>
        </w:rPr>
        <w:t xml:space="preserve"> </w:t>
      </w:r>
      <w:r w:rsidR="006A7007">
        <w:rPr>
          <w:rFonts w:ascii="Times New Roman" w:hAnsi="Times New Roman" w:cs="Times New Roman"/>
          <w:sz w:val="24"/>
          <w:szCs w:val="24"/>
        </w:rPr>
        <w:t xml:space="preserve">posible </w:t>
      </w:r>
      <w:r w:rsidR="007516D3">
        <w:rPr>
          <w:rFonts w:ascii="Times New Roman" w:hAnsi="Times New Roman" w:cs="Times New Roman"/>
          <w:sz w:val="24"/>
          <w:szCs w:val="24"/>
        </w:rPr>
        <w:t>determinar</w:t>
      </w:r>
      <w:r w:rsidR="006A7007">
        <w:rPr>
          <w:rFonts w:ascii="Times New Roman" w:hAnsi="Times New Roman" w:cs="Times New Roman"/>
          <w:sz w:val="24"/>
          <w:szCs w:val="24"/>
        </w:rPr>
        <w:t xml:space="preserve"> un adecuado método de conservación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3BA7">
        <w:rPr>
          <w:rFonts w:ascii="Times New Roman" w:hAnsi="Times New Roman" w:cs="Times New Roman"/>
          <w:sz w:val="24"/>
          <w:szCs w:val="24"/>
        </w:rPr>
        <w:t xml:space="preserve"> Además,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24F">
        <w:rPr>
          <w:rFonts w:ascii="Times New Roman" w:hAnsi="Times New Roman" w:cs="Times New Roman"/>
          <w:sz w:val="24"/>
          <w:szCs w:val="24"/>
        </w:rPr>
        <w:t xml:space="preserve">la  conservación de las </w:t>
      </w:r>
      <w:proofErr w:type="spellStart"/>
      <w:r w:rsidR="00975D66">
        <w:rPr>
          <w:rFonts w:ascii="Times New Roman" w:hAnsi="Times New Roman" w:cs="Times New Roman"/>
          <w:sz w:val="24"/>
          <w:szCs w:val="24"/>
        </w:rPr>
        <w:t>actinobacterias</w:t>
      </w:r>
      <w:proofErr w:type="spellEnd"/>
      <w:r w:rsidR="00975D66">
        <w:rPr>
          <w:rFonts w:ascii="Times New Roman" w:hAnsi="Times New Roman" w:cs="Times New Roman"/>
          <w:sz w:val="24"/>
          <w:szCs w:val="24"/>
        </w:rPr>
        <w:t xml:space="preserve"> </w:t>
      </w:r>
      <w:r w:rsidR="003E234A">
        <w:rPr>
          <w:rFonts w:ascii="Times New Roman" w:hAnsi="Times New Roman" w:cs="Times New Roman"/>
          <w:sz w:val="24"/>
          <w:szCs w:val="24"/>
        </w:rPr>
        <w:t>tiene como objetivo</w:t>
      </w:r>
      <w:r w:rsidR="00CC624F">
        <w:rPr>
          <w:rFonts w:ascii="Times New Roman" w:hAnsi="Times New Roman" w:cs="Times New Roman"/>
          <w:sz w:val="24"/>
          <w:szCs w:val="24"/>
        </w:rPr>
        <w:t xml:space="preserve"> mantener sus características originales por las cuales fueron seleccionadas,</w:t>
      </w:r>
      <w:r w:rsidR="00303BA7">
        <w:rPr>
          <w:rFonts w:ascii="Times New Roman" w:hAnsi="Times New Roman" w:cs="Times New Roman"/>
          <w:sz w:val="24"/>
          <w:szCs w:val="24"/>
        </w:rPr>
        <w:t xml:space="preserve"> lo </w:t>
      </w:r>
      <w:r w:rsidR="00761E40">
        <w:rPr>
          <w:rFonts w:ascii="Times New Roman" w:hAnsi="Times New Roman" w:cs="Times New Roman"/>
          <w:sz w:val="24"/>
          <w:szCs w:val="24"/>
        </w:rPr>
        <w:t>que</w:t>
      </w:r>
      <w:r w:rsidR="00303BA7">
        <w:rPr>
          <w:rFonts w:ascii="Times New Roman" w:hAnsi="Times New Roman" w:cs="Times New Roman"/>
          <w:sz w:val="24"/>
          <w:szCs w:val="24"/>
        </w:rPr>
        <w:t xml:space="preserve"> no siempre es posible pues </w:t>
      </w:r>
      <w:r w:rsidR="00CC624F">
        <w:rPr>
          <w:rFonts w:ascii="Times New Roman" w:hAnsi="Times New Roman" w:cs="Times New Roman"/>
          <w:sz w:val="24"/>
          <w:szCs w:val="24"/>
        </w:rPr>
        <w:t>se ha</w:t>
      </w:r>
      <w:r w:rsidR="003E234A">
        <w:rPr>
          <w:rFonts w:ascii="Times New Roman" w:hAnsi="Times New Roman" w:cs="Times New Roman"/>
          <w:sz w:val="24"/>
          <w:szCs w:val="24"/>
        </w:rPr>
        <w:t>n</w:t>
      </w:r>
      <w:r w:rsidR="00CC624F">
        <w:rPr>
          <w:rFonts w:ascii="Times New Roman" w:hAnsi="Times New Roman" w:cs="Times New Roman"/>
          <w:sz w:val="24"/>
          <w:szCs w:val="24"/>
        </w:rPr>
        <w:t xml:space="preserve"> reportado</w:t>
      </w:r>
      <w:r w:rsidR="00303BA7">
        <w:rPr>
          <w:rFonts w:ascii="Times New Roman" w:hAnsi="Times New Roman" w:cs="Times New Roman"/>
          <w:sz w:val="24"/>
          <w:szCs w:val="24"/>
        </w:rPr>
        <w:t xml:space="preserve"> frecuentemente re</w:t>
      </w:r>
      <w:r w:rsidR="00FD22FD">
        <w:rPr>
          <w:rFonts w:ascii="Times New Roman" w:hAnsi="Times New Roman" w:cs="Times New Roman"/>
          <w:sz w:val="24"/>
          <w:szCs w:val="24"/>
        </w:rPr>
        <w:t>-</w:t>
      </w:r>
      <w:r w:rsidR="00303BA7">
        <w:rPr>
          <w:rFonts w:ascii="Times New Roman" w:hAnsi="Times New Roman" w:cs="Times New Roman"/>
          <w:sz w:val="24"/>
          <w:szCs w:val="24"/>
        </w:rPr>
        <w:t>arreglo</w:t>
      </w:r>
      <w:r w:rsidR="00FD22FD">
        <w:rPr>
          <w:rFonts w:ascii="Times New Roman" w:hAnsi="Times New Roman" w:cs="Times New Roman"/>
          <w:sz w:val="24"/>
          <w:szCs w:val="24"/>
        </w:rPr>
        <w:t>s génicos</w:t>
      </w:r>
      <w:r w:rsidR="00303BA7">
        <w:rPr>
          <w:rFonts w:ascii="Times New Roman" w:hAnsi="Times New Roman" w:cs="Times New Roman"/>
          <w:sz w:val="24"/>
          <w:szCs w:val="24"/>
        </w:rPr>
        <w:t xml:space="preserve"> </w:t>
      </w:r>
      <w:r w:rsidR="00FD22FD">
        <w:rPr>
          <w:rFonts w:ascii="Times New Roman" w:hAnsi="Times New Roman" w:cs="Times New Roman"/>
          <w:sz w:val="24"/>
          <w:szCs w:val="24"/>
        </w:rPr>
        <w:t>así</w:t>
      </w:r>
      <w:r w:rsidR="00303BA7">
        <w:rPr>
          <w:rFonts w:ascii="Times New Roman" w:hAnsi="Times New Roman" w:cs="Times New Roman"/>
          <w:sz w:val="24"/>
          <w:szCs w:val="24"/>
        </w:rPr>
        <w:t xml:space="preserve"> como otros mecanismos genéticos (transferencia horizontal de genes)</w:t>
      </w:r>
      <w:r w:rsidR="00FD22FD">
        <w:rPr>
          <w:rFonts w:ascii="Times New Roman" w:hAnsi="Times New Roman" w:cs="Times New Roman"/>
          <w:sz w:val="24"/>
          <w:szCs w:val="24"/>
        </w:rPr>
        <w:t xml:space="preserve"> que pueden modificar </w:t>
      </w:r>
      <w:r w:rsidR="003E234A">
        <w:rPr>
          <w:rFonts w:ascii="Times New Roman" w:hAnsi="Times New Roman" w:cs="Times New Roman"/>
          <w:sz w:val="24"/>
          <w:szCs w:val="24"/>
        </w:rPr>
        <w:t xml:space="preserve">las </w:t>
      </w:r>
      <w:r w:rsidR="00FD22FD">
        <w:rPr>
          <w:rFonts w:ascii="Times New Roman" w:hAnsi="Times New Roman" w:cs="Times New Roman"/>
          <w:sz w:val="24"/>
          <w:szCs w:val="24"/>
        </w:rPr>
        <w:t>características deseables durante sus periodos de almacenamiento,</w:t>
      </w:r>
      <w:r w:rsidR="00761E40">
        <w:rPr>
          <w:rFonts w:ascii="Times New Roman" w:hAnsi="Times New Roman" w:cs="Times New Roman"/>
          <w:sz w:val="24"/>
          <w:szCs w:val="24"/>
        </w:rPr>
        <w:t xml:space="preserve"> hecho que </w:t>
      </w:r>
      <w:r w:rsidR="003E234A">
        <w:rPr>
          <w:rFonts w:ascii="Times New Roman" w:hAnsi="Times New Roman" w:cs="Times New Roman"/>
          <w:sz w:val="24"/>
          <w:szCs w:val="24"/>
        </w:rPr>
        <w:t>se aprecia</w:t>
      </w:r>
      <w:r w:rsidR="00FD22FD">
        <w:rPr>
          <w:rFonts w:ascii="Times New Roman" w:hAnsi="Times New Roman" w:cs="Times New Roman"/>
          <w:sz w:val="24"/>
          <w:szCs w:val="24"/>
        </w:rPr>
        <w:t xml:space="preserve"> en a</w:t>
      </w:r>
      <w:r w:rsidR="003E234A">
        <w:rPr>
          <w:rFonts w:ascii="Times New Roman" w:hAnsi="Times New Roman" w:cs="Times New Roman"/>
          <w:sz w:val="24"/>
          <w:szCs w:val="24"/>
        </w:rPr>
        <w:t>lgunas ocasiones fenotípicas</w:t>
      </w:r>
      <w:r w:rsidR="00FD22FD">
        <w:rPr>
          <w:rFonts w:ascii="Times New Roman" w:hAnsi="Times New Roman" w:cs="Times New Roman"/>
          <w:sz w:val="24"/>
          <w:szCs w:val="24"/>
        </w:rPr>
        <w:t xml:space="preserve"> y e</w:t>
      </w:r>
      <w:r w:rsidR="003E234A">
        <w:rPr>
          <w:rFonts w:ascii="Times New Roman" w:hAnsi="Times New Roman" w:cs="Times New Roman"/>
          <w:sz w:val="24"/>
          <w:szCs w:val="24"/>
        </w:rPr>
        <w:t xml:space="preserve">specialmente por cambios de </w:t>
      </w:r>
      <w:r w:rsidR="00FD22FD">
        <w:rPr>
          <w:rFonts w:ascii="Times New Roman" w:hAnsi="Times New Roman" w:cs="Times New Roman"/>
          <w:sz w:val="24"/>
          <w:szCs w:val="24"/>
        </w:rPr>
        <w:t>caracteres morfológicos (</w:t>
      </w:r>
      <w:proofErr w:type="spellStart"/>
      <w:r w:rsidR="00FD22FD">
        <w:rPr>
          <w:rFonts w:ascii="Times New Roman" w:hAnsi="Times New Roman" w:cs="Times New Roman"/>
          <w:sz w:val="24"/>
          <w:szCs w:val="24"/>
        </w:rPr>
        <w:t>Leblond</w:t>
      </w:r>
      <w:proofErr w:type="spellEnd"/>
      <w:r w:rsidR="00E23A3C">
        <w:rPr>
          <w:rFonts w:ascii="Times New Roman" w:hAnsi="Times New Roman" w:cs="Times New Roman"/>
          <w:sz w:val="24"/>
          <w:szCs w:val="24"/>
        </w:rPr>
        <w:t xml:space="preserve"> </w:t>
      </w:r>
      <w:r w:rsidR="00E23A3C">
        <w:rPr>
          <w:rFonts w:ascii="Times New Roman" w:hAnsi="Times New Roman" w:cs="Times New Roman"/>
          <w:i/>
          <w:sz w:val="24"/>
          <w:szCs w:val="24"/>
        </w:rPr>
        <w:t>et al.</w:t>
      </w:r>
      <w:r w:rsidR="00B515A1">
        <w:rPr>
          <w:rFonts w:ascii="Times New Roman" w:hAnsi="Times New Roman" w:cs="Times New Roman"/>
          <w:i/>
          <w:sz w:val="24"/>
          <w:szCs w:val="24"/>
        </w:rPr>
        <w:t>,</w:t>
      </w:r>
      <w:r w:rsidR="00E23A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22FD">
        <w:rPr>
          <w:rFonts w:ascii="Times New Roman" w:hAnsi="Times New Roman" w:cs="Times New Roman"/>
          <w:sz w:val="24"/>
          <w:szCs w:val="24"/>
        </w:rPr>
        <w:t>1990</w:t>
      </w:r>
      <w:r w:rsidR="00E23A3C">
        <w:rPr>
          <w:rFonts w:ascii="Times New Roman" w:hAnsi="Times New Roman" w:cs="Times New Roman"/>
          <w:sz w:val="24"/>
          <w:szCs w:val="24"/>
        </w:rPr>
        <w:t>)</w:t>
      </w:r>
      <w:r w:rsidR="00C812FA">
        <w:rPr>
          <w:rFonts w:ascii="Times New Roman" w:hAnsi="Times New Roman" w:cs="Times New Roman"/>
          <w:sz w:val="24"/>
          <w:szCs w:val="24"/>
        </w:rPr>
        <w:t>,</w:t>
      </w:r>
      <w:r w:rsidR="00E23A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D22FD">
        <w:rPr>
          <w:rFonts w:ascii="Times New Roman" w:hAnsi="Times New Roman" w:cs="Times New Roman"/>
          <w:sz w:val="24"/>
          <w:szCs w:val="24"/>
        </w:rPr>
        <w:t>B</w:t>
      </w:r>
      <w:r w:rsidR="00FD22FD" w:rsidRPr="00FD22FD">
        <w:rPr>
          <w:rFonts w:ascii="Times New Roman" w:hAnsi="Times New Roman" w:cs="Times New Roman"/>
          <w:sz w:val="24"/>
          <w:szCs w:val="24"/>
        </w:rPr>
        <w:t>irch</w:t>
      </w:r>
      <w:proofErr w:type="spellEnd"/>
      <w:r w:rsidR="00E23A3C">
        <w:rPr>
          <w:rFonts w:ascii="Times New Roman" w:hAnsi="Times New Roman" w:cs="Times New Roman"/>
          <w:sz w:val="24"/>
          <w:szCs w:val="24"/>
        </w:rPr>
        <w:t xml:space="preserve"> </w:t>
      </w:r>
      <w:r w:rsidR="00E23A3C">
        <w:rPr>
          <w:rFonts w:ascii="Times New Roman" w:hAnsi="Times New Roman" w:cs="Times New Roman"/>
          <w:i/>
          <w:sz w:val="24"/>
          <w:szCs w:val="24"/>
        </w:rPr>
        <w:t>et al.</w:t>
      </w:r>
      <w:r w:rsidR="00B515A1">
        <w:rPr>
          <w:rFonts w:ascii="Times New Roman" w:hAnsi="Times New Roman" w:cs="Times New Roman"/>
          <w:i/>
          <w:sz w:val="24"/>
          <w:szCs w:val="24"/>
        </w:rPr>
        <w:t>,</w:t>
      </w:r>
      <w:r w:rsidR="00FD22FD">
        <w:rPr>
          <w:rFonts w:ascii="Times New Roman" w:hAnsi="Times New Roman" w:cs="Times New Roman"/>
          <w:sz w:val="24"/>
          <w:szCs w:val="24"/>
        </w:rPr>
        <w:t xml:space="preserve"> 1990</w:t>
      </w:r>
      <w:r w:rsidR="00E23A3C">
        <w:rPr>
          <w:rFonts w:ascii="Times New Roman" w:hAnsi="Times New Roman" w:cs="Times New Roman"/>
          <w:sz w:val="24"/>
          <w:szCs w:val="24"/>
        </w:rPr>
        <w:t>)</w:t>
      </w:r>
      <w:r w:rsidR="00C812FA">
        <w:rPr>
          <w:rFonts w:ascii="Times New Roman" w:hAnsi="Times New Roman" w:cs="Times New Roman"/>
          <w:sz w:val="24"/>
          <w:szCs w:val="24"/>
        </w:rPr>
        <w:t>,</w:t>
      </w:r>
      <w:r w:rsidR="00E23A3C">
        <w:rPr>
          <w:rFonts w:ascii="Times New Roman" w:hAnsi="Times New Roman" w:cs="Times New Roman"/>
          <w:sz w:val="24"/>
          <w:szCs w:val="24"/>
        </w:rPr>
        <w:t xml:space="preserve"> (</w:t>
      </w:r>
      <w:r w:rsidR="00FD22FD">
        <w:rPr>
          <w:rFonts w:ascii="Times New Roman" w:hAnsi="Times New Roman" w:cs="Times New Roman"/>
          <w:sz w:val="24"/>
          <w:szCs w:val="24"/>
        </w:rPr>
        <w:t>Ventura</w:t>
      </w:r>
      <w:r w:rsidR="00E23A3C">
        <w:rPr>
          <w:rFonts w:ascii="Times New Roman" w:hAnsi="Times New Roman" w:cs="Times New Roman"/>
          <w:sz w:val="24"/>
          <w:szCs w:val="24"/>
        </w:rPr>
        <w:t xml:space="preserve"> </w:t>
      </w:r>
      <w:r w:rsidR="00E23A3C">
        <w:rPr>
          <w:rFonts w:ascii="Times New Roman" w:hAnsi="Times New Roman" w:cs="Times New Roman"/>
          <w:i/>
          <w:sz w:val="24"/>
          <w:szCs w:val="24"/>
        </w:rPr>
        <w:t>et al.</w:t>
      </w:r>
      <w:r w:rsidR="00B515A1">
        <w:rPr>
          <w:rFonts w:ascii="Times New Roman" w:hAnsi="Times New Roman" w:cs="Times New Roman"/>
          <w:i/>
          <w:sz w:val="24"/>
          <w:szCs w:val="24"/>
        </w:rPr>
        <w:t>,</w:t>
      </w:r>
      <w:r w:rsidR="00FD22FD">
        <w:rPr>
          <w:rFonts w:ascii="Times New Roman" w:hAnsi="Times New Roman" w:cs="Times New Roman"/>
          <w:sz w:val="24"/>
          <w:szCs w:val="24"/>
        </w:rPr>
        <w:t xml:space="preserve"> 2007).</w:t>
      </w:r>
      <w:r w:rsidR="00CC624F">
        <w:rPr>
          <w:rFonts w:ascii="Times New Roman" w:hAnsi="Times New Roman" w:cs="Times New Roman"/>
          <w:sz w:val="24"/>
          <w:szCs w:val="24"/>
        </w:rPr>
        <w:t xml:space="preserve">  </w:t>
      </w:r>
      <w:r w:rsidR="007516D3">
        <w:rPr>
          <w:rFonts w:ascii="Times New Roman" w:hAnsi="Times New Roman" w:cs="Times New Roman"/>
          <w:sz w:val="24"/>
          <w:szCs w:val="24"/>
        </w:rPr>
        <w:t xml:space="preserve">En el presente estudio no se apreció ningún cambio morfológico, macroscópico </w:t>
      </w:r>
      <w:r w:rsidR="00266895">
        <w:rPr>
          <w:rFonts w:ascii="Times New Roman" w:hAnsi="Times New Roman" w:cs="Times New Roman"/>
          <w:sz w:val="24"/>
          <w:szCs w:val="24"/>
        </w:rPr>
        <w:t>o</w:t>
      </w:r>
      <w:r w:rsidR="007516D3">
        <w:rPr>
          <w:rFonts w:ascii="Times New Roman" w:hAnsi="Times New Roman" w:cs="Times New Roman"/>
          <w:sz w:val="24"/>
          <w:szCs w:val="24"/>
        </w:rPr>
        <w:t xml:space="preserve"> microscópico</w:t>
      </w:r>
      <w:r w:rsidR="003E234A">
        <w:rPr>
          <w:rFonts w:ascii="Times New Roman" w:hAnsi="Times New Roman" w:cs="Times New Roman"/>
          <w:sz w:val="24"/>
          <w:szCs w:val="24"/>
        </w:rPr>
        <w:t>, en</w:t>
      </w:r>
      <w:r w:rsidR="007516D3">
        <w:rPr>
          <w:rFonts w:ascii="Times New Roman" w:hAnsi="Times New Roman" w:cs="Times New Roman"/>
          <w:sz w:val="24"/>
          <w:szCs w:val="24"/>
        </w:rPr>
        <w:t xml:space="preserve"> los micro</w:t>
      </w:r>
      <w:r w:rsidR="009A652C">
        <w:rPr>
          <w:rFonts w:ascii="Times New Roman" w:hAnsi="Times New Roman" w:cs="Times New Roman"/>
          <w:sz w:val="24"/>
          <w:szCs w:val="24"/>
        </w:rPr>
        <w:t>o</w:t>
      </w:r>
      <w:r w:rsidR="007516D3">
        <w:rPr>
          <w:rFonts w:ascii="Times New Roman" w:hAnsi="Times New Roman" w:cs="Times New Roman"/>
          <w:sz w:val="24"/>
          <w:szCs w:val="24"/>
        </w:rPr>
        <w:t>rganismo</w:t>
      </w:r>
      <w:r w:rsidR="00761E40">
        <w:rPr>
          <w:rFonts w:ascii="Times New Roman" w:hAnsi="Times New Roman" w:cs="Times New Roman"/>
          <w:sz w:val="24"/>
          <w:szCs w:val="24"/>
        </w:rPr>
        <w:t>s</w:t>
      </w:r>
      <w:r w:rsidR="003E234A">
        <w:rPr>
          <w:rFonts w:ascii="Times New Roman" w:hAnsi="Times New Roman" w:cs="Times New Roman"/>
          <w:sz w:val="24"/>
          <w:szCs w:val="24"/>
        </w:rPr>
        <w:t xml:space="preserve"> evaluados durante </w:t>
      </w:r>
      <w:r w:rsidR="007516D3">
        <w:rPr>
          <w:rFonts w:ascii="Times New Roman" w:hAnsi="Times New Roman" w:cs="Times New Roman"/>
          <w:sz w:val="24"/>
          <w:szCs w:val="24"/>
        </w:rPr>
        <w:t>los periodos de almacenamiento, lo cual sugiere que los métodos usados brindan estabilidad génica.</w:t>
      </w:r>
      <w:r w:rsidR="001F4240">
        <w:rPr>
          <w:rFonts w:ascii="Times New Roman" w:hAnsi="Times New Roman" w:cs="Times New Roman"/>
          <w:sz w:val="24"/>
          <w:szCs w:val="24"/>
        </w:rPr>
        <w:t xml:space="preserve"> Sin embargo,</w:t>
      </w:r>
      <w:r w:rsidR="007516D3">
        <w:rPr>
          <w:rFonts w:ascii="Times New Roman" w:hAnsi="Times New Roman" w:cs="Times New Roman"/>
          <w:sz w:val="24"/>
          <w:szCs w:val="24"/>
        </w:rPr>
        <w:t xml:space="preserve"> </w:t>
      </w:r>
      <w:r w:rsidR="001F4240">
        <w:rPr>
          <w:rFonts w:ascii="Times New Roman" w:hAnsi="Times New Roman" w:cs="Times New Roman"/>
          <w:sz w:val="24"/>
          <w:szCs w:val="24"/>
        </w:rPr>
        <w:t>a</w:t>
      </w:r>
      <w:r w:rsidR="0030717F">
        <w:rPr>
          <w:rFonts w:ascii="Times New Roman" w:hAnsi="Times New Roman" w:cs="Times New Roman"/>
          <w:sz w:val="24"/>
          <w:szCs w:val="24"/>
        </w:rPr>
        <w:t xml:space="preserve"> pesar de no encontrar rasgos morfológicos</w:t>
      </w:r>
      <w:r w:rsidR="001F4240">
        <w:rPr>
          <w:rFonts w:ascii="Times New Roman" w:hAnsi="Times New Roman" w:cs="Times New Roman"/>
          <w:sz w:val="24"/>
          <w:szCs w:val="24"/>
        </w:rPr>
        <w:t xml:space="preserve"> que sugieran alteraciones genéticas,</w:t>
      </w:r>
      <w:r w:rsidR="007516D3">
        <w:rPr>
          <w:rFonts w:ascii="Times New Roman" w:hAnsi="Times New Roman" w:cs="Times New Roman"/>
          <w:sz w:val="24"/>
          <w:szCs w:val="24"/>
        </w:rPr>
        <w:t xml:space="preserve"> </w:t>
      </w:r>
      <w:r w:rsidR="00447F48">
        <w:rPr>
          <w:rFonts w:ascii="Times New Roman" w:hAnsi="Times New Roman" w:cs="Times New Roman"/>
          <w:sz w:val="24"/>
          <w:szCs w:val="24"/>
        </w:rPr>
        <w:t>el uso de la transferencia periódica ha demostrado perdida en la actividad solubilizador</w:t>
      </w:r>
      <w:r w:rsidR="00761E40">
        <w:rPr>
          <w:rFonts w:ascii="Times New Roman" w:hAnsi="Times New Roman" w:cs="Times New Roman"/>
          <w:sz w:val="24"/>
          <w:szCs w:val="24"/>
        </w:rPr>
        <w:t>a</w:t>
      </w:r>
      <w:r w:rsidR="00447F48">
        <w:rPr>
          <w:rFonts w:ascii="Times New Roman" w:hAnsi="Times New Roman" w:cs="Times New Roman"/>
          <w:sz w:val="24"/>
          <w:szCs w:val="24"/>
        </w:rPr>
        <w:t xml:space="preserve"> </w:t>
      </w:r>
      <w:r w:rsidR="003E234A">
        <w:rPr>
          <w:rFonts w:ascii="Times New Roman" w:hAnsi="Times New Roman" w:cs="Times New Roman"/>
          <w:sz w:val="24"/>
          <w:szCs w:val="24"/>
        </w:rPr>
        <w:t>de los</w:t>
      </w:r>
      <w:r w:rsidR="00447F48">
        <w:rPr>
          <w:rFonts w:ascii="Times New Roman" w:hAnsi="Times New Roman" w:cs="Times New Roman"/>
          <w:sz w:val="24"/>
          <w:szCs w:val="24"/>
        </w:rPr>
        <w:t xml:space="preserve"> micr</w:t>
      </w:r>
      <w:r w:rsidR="009A652C">
        <w:rPr>
          <w:rFonts w:ascii="Times New Roman" w:hAnsi="Times New Roman" w:cs="Times New Roman"/>
          <w:sz w:val="24"/>
          <w:szCs w:val="24"/>
        </w:rPr>
        <w:t>o</w:t>
      </w:r>
      <w:r w:rsidR="00447F48">
        <w:rPr>
          <w:rFonts w:ascii="Times New Roman" w:hAnsi="Times New Roman" w:cs="Times New Roman"/>
          <w:sz w:val="24"/>
          <w:szCs w:val="24"/>
        </w:rPr>
        <w:t>organismo</w:t>
      </w:r>
      <w:r w:rsidR="00761E40">
        <w:rPr>
          <w:rFonts w:ascii="Times New Roman" w:hAnsi="Times New Roman" w:cs="Times New Roman"/>
          <w:sz w:val="24"/>
          <w:szCs w:val="24"/>
        </w:rPr>
        <w:t>s</w:t>
      </w:r>
      <w:r w:rsidR="0030717F">
        <w:rPr>
          <w:rFonts w:ascii="Times New Roman" w:hAnsi="Times New Roman" w:cs="Times New Roman"/>
          <w:sz w:val="24"/>
          <w:szCs w:val="24"/>
        </w:rPr>
        <w:t xml:space="preserve"> </w:t>
      </w:r>
      <w:r w:rsidR="003E234A">
        <w:rPr>
          <w:rFonts w:ascii="Times New Roman" w:hAnsi="Times New Roman" w:cs="Times New Roman"/>
          <w:sz w:val="24"/>
          <w:szCs w:val="24"/>
        </w:rPr>
        <w:t>a</w:t>
      </w:r>
      <w:r w:rsidR="0030717F">
        <w:rPr>
          <w:rFonts w:ascii="Times New Roman" w:hAnsi="Times New Roman" w:cs="Times New Roman"/>
          <w:sz w:val="24"/>
          <w:szCs w:val="24"/>
        </w:rPr>
        <w:t>l ser co</w:t>
      </w:r>
      <w:r w:rsidR="001F4240">
        <w:rPr>
          <w:rFonts w:ascii="Times New Roman" w:hAnsi="Times New Roman" w:cs="Times New Roman"/>
          <w:sz w:val="24"/>
          <w:szCs w:val="24"/>
        </w:rPr>
        <w:t>m</w:t>
      </w:r>
      <w:r w:rsidR="0030717F">
        <w:rPr>
          <w:rFonts w:ascii="Times New Roman" w:hAnsi="Times New Roman" w:cs="Times New Roman"/>
          <w:sz w:val="24"/>
          <w:szCs w:val="24"/>
        </w:rPr>
        <w:t>parados con</w:t>
      </w:r>
      <w:r w:rsidR="003E234A">
        <w:rPr>
          <w:rFonts w:ascii="Times New Roman" w:hAnsi="Times New Roman" w:cs="Times New Roman"/>
          <w:sz w:val="24"/>
          <w:szCs w:val="24"/>
        </w:rPr>
        <w:t xml:space="preserve"> </w:t>
      </w:r>
      <w:r w:rsidR="00761E40">
        <w:rPr>
          <w:rFonts w:ascii="Times New Roman" w:hAnsi="Times New Roman" w:cs="Times New Roman"/>
          <w:sz w:val="24"/>
          <w:szCs w:val="24"/>
        </w:rPr>
        <w:t>o</w:t>
      </w:r>
      <w:r w:rsidR="001F4240">
        <w:rPr>
          <w:rFonts w:ascii="Times New Roman" w:hAnsi="Times New Roman" w:cs="Times New Roman"/>
          <w:sz w:val="24"/>
          <w:szCs w:val="24"/>
        </w:rPr>
        <w:t>tros métodos y</w:t>
      </w:r>
      <w:r w:rsidR="0030717F">
        <w:rPr>
          <w:rFonts w:ascii="Times New Roman" w:hAnsi="Times New Roman" w:cs="Times New Roman"/>
          <w:sz w:val="24"/>
          <w:szCs w:val="24"/>
        </w:rPr>
        <w:t xml:space="preserve"> su</w:t>
      </w:r>
      <w:r w:rsidR="001F4240">
        <w:rPr>
          <w:rFonts w:ascii="Times New Roman" w:hAnsi="Times New Roman" w:cs="Times New Roman"/>
          <w:sz w:val="24"/>
          <w:szCs w:val="24"/>
        </w:rPr>
        <w:t>s</w:t>
      </w:r>
      <w:r w:rsidR="0030717F">
        <w:rPr>
          <w:rFonts w:ascii="Times New Roman" w:hAnsi="Times New Roman" w:cs="Times New Roman"/>
          <w:sz w:val="24"/>
          <w:szCs w:val="24"/>
        </w:rPr>
        <w:t xml:space="preserve"> reporte</w:t>
      </w:r>
      <w:r w:rsidR="001F4240">
        <w:rPr>
          <w:rFonts w:ascii="Times New Roman" w:hAnsi="Times New Roman" w:cs="Times New Roman"/>
          <w:sz w:val="24"/>
          <w:szCs w:val="24"/>
        </w:rPr>
        <w:t>s</w:t>
      </w:r>
      <w:r w:rsidR="0030717F">
        <w:rPr>
          <w:rFonts w:ascii="Times New Roman" w:hAnsi="Times New Roman" w:cs="Times New Roman"/>
          <w:sz w:val="24"/>
          <w:szCs w:val="24"/>
        </w:rPr>
        <w:t xml:space="preserve"> previo</w:t>
      </w:r>
      <w:r w:rsidR="001F4240">
        <w:rPr>
          <w:rFonts w:ascii="Times New Roman" w:hAnsi="Times New Roman" w:cs="Times New Roman"/>
          <w:sz w:val="24"/>
          <w:szCs w:val="24"/>
        </w:rPr>
        <w:t>s</w:t>
      </w:r>
      <w:r w:rsidR="0030717F" w:rsidRPr="0030717F">
        <w:t xml:space="preserve"> </w:t>
      </w:r>
      <w:r w:rsidR="0030717F" w:rsidRPr="0030717F">
        <w:rPr>
          <w:rFonts w:ascii="Times New Roman" w:hAnsi="Times New Roman" w:cs="Times New Roman"/>
          <w:sz w:val="24"/>
          <w:szCs w:val="24"/>
        </w:rPr>
        <w:t xml:space="preserve"> </w:t>
      </w:r>
      <w:r w:rsidR="001F4240">
        <w:rPr>
          <w:rFonts w:ascii="Times New Roman" w:hAnsi="Times New Roman" w:cs="Times New Roman"/>
          <w:sz w:val="24"/>
          <w:szCs w:val="24"/>
        </w:rPr>
        <w:t>(</w:t>
      </w:r>
      <w:r w:rsidR="0030717F" w:rsidRPr="0030717F">
        <w:rPr>
          <w:rFonts w:ascii="Times New Roman" w:hAnsi="Times New Roman" w:cs="Times New Roman"/>
          <w:sz w:val="24"/>
          <w:szCs w:val="24"/>
        </w:rPr>
        <w:t>Prada</w:t>
      </w:r>
      <w:r w:rsidR="00E23A3C">
        <w:rPr>
          <w:rFonts w:ascii="Times New Roman" w:hAnsi="Times New Roman" w:cs="Times New Roman"/>
          <w:sz w:val="24"/>
          <w:szCs w:val="24"/>
        </w:rPr>
        <w:t xml:space="preserve"> </w:t>
      </w:r>
      <w:r w:rsidR="00E23A3C">
        <w:rPr>
          <w:rFonts w:ascii="Times New Roman" w:hAnsi="Times New Roman" w:cs="Times New Roman"/>
          <w:i/>
          <w:sz w:val="24"/>
          <w:szCs w:val="24"/>
        </w:rPr>
        <w:t>et al.</w:t>
      </w:r>
      <w:r w:rsidR="00B515A1">
        <w:rPr>
          <w:rFonts w:ascii="Times New Roman" w:hAnsi="Times New Roman" w:cs="Times New Roman"/>
          <w:i/>
          <w:sz w:val="24"/>
          <w:szCs w:val="24"/>
        </w:rPr>
        <w:t>,</w:t>
      </w:r>
      <w:r w:rsidR="00E23A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234A">
        <w:rPr>
          <w:rFonts w:ascii="Times New Roman" w:hAnsi="Times New Roman" w:cs="Times New Roman"/>
          <w:sz w:val="24"/>
          <w:szCs w:val="24"/>
        </w:rPr>
        <w:t xml:space="preserve"> 2014) lo que invalida la transferencia como método de conservación. E</w:t>
      </w:r>
      <w:r w:rsidR="001F4240">
        <w:rPr>
          <w:rFonts w:ascii="Times New Roman" w:hAnsi="Times New Roman" w:cs="Times New Roman"/>
          <w:sz w:val="24"/>
          <w:szCs w:val="24"/>
        </w:rPr>
        <w:t>ste</w:t>
      </w:r>
      <w:r w:rsidR="00447F48">
        <w:rPr>
          <w:rFonts w:ascii="Times New Roman" w:hAnsi="Times New Roman" w:cs="Times New Roman"/>
          <w:sz w:val="24"/>
          <w:szCs w:val="24"/>
        </w:rPr>
        <w:t xml:space="preserve"> hecho resalta la importancia </w:t>
      </w:r>
      <w:r w:rsidR="00761E40">
        <w:rPr>
          <w:rFonts w:ascii="Times New Roman" w:hAnsi="Times New Roman" w:cs="Times New Roman"/>
          <w:sz w:val="24"/>
          <w:szCs w:val="24"/>
        </w:rPr>
        <w:t xml:space="preserve">de </w:t>
      </w:r>
      <w:r w:rsidR="00447F48">
        <w:rPr>
          <w:rFonts w:ascii="Times New Roman" w:hAnsi="Times New Roman" w:cs="Times New Roman"/>
          <w:sz w:val="24"/>
          <w:szCs w:val="24"/>
        </w:rPr>
        <w:t>la estandarización y uso de métodos a mediano y largo plazo para la adecuada conservación de est</w:t>
      </w:r>
      <w:r w:rsidR="00761E40">
        <w:rPr>
          <w:rFonts w:ascii="Times New Roman" w:hAnsi="Times New Roman" w:cs="Times New Roman"/>
          <w:sz w:val="24"/>
          <w:szCs w:val="24"/>
        </w:rPr>
        <w:t>a</w:t>
      </w:r>
      <w:r w:rsidR="00447F48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447F48">
        <w:rPr>
          <w:rFonts w:ascii="Times New Roman" w:hAnsi="Times New Roman" w:cs="Times New Roman"/>
          <w:sz w:val="24"/>
          <w:szCs w:val="24"/>
        </w:rPr>
        <w:t>actinobacterias</w:t>
      </w:r>
      <w:proofErr w:type="spellEnd"/>
      <w:r w:rsidR="00447F48">
        <w:rPr>
          <w:rFonts w:ascii="Times New Roman" w:hAnsi="Times New Roman" w:cs="Times New Roman"/>
          <w:sz w:val="24"/>
          <w:szCs w:val="24"/>
        </w:rPr>
        <w:t xml:space="preserve"> de importancia biotecnológica.</w:t>
      </w:r>
    </w:p>
    <w:p w:rsidR="003837B8" w:rsidRDefault="00796741" w:rsidP="00343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Uno</w:t>
      </w:r>
      <w:r w:rsidR="00D466C4">
        <w:rPr>
          <w:rFonts w:ascii="Times New Roman" w:hAnsi="Times New Roman" w:cs="Times New Roman"/>
          <w:sz w:val="24"/>
          <w:szCs w:val="24"/>
        </w:rPr>
        <w:t xml:space="preserve"> de los estudios más relevantes para </w:t>
      </w:r>
      <w:proofErr w:type="spellStart"/>
      <w:r w:rsidR="00B82617">
        <w:rPr>
          <w:rFonts w:ascii="Times New Roman" w:hAnsi="Times New Roman" w:cs="Times New Roman"/>
          <w:sz w:val="24"/>
          <w:szCs w:val="24"/>
        </w:rPr>
        <w:t>actinobacterias</w:t>
      </w:r>
      <w:proofErr w:type="spellEnd"/>
      <w:r w:rsidR="00B826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 cuanto al estudio de métodos de almacenamiento a largo plazo </w:t>
      </w:r>
      <w:r w:rsidR="00D466C4">
        <w:rPr>
          <w:rFonts w:ascii="Times New Roman" w:hAnsi="Times New Roman" w:cs="Times New Roman"/>
          <w:sz w:val="24"/>
          <w:szCs w:val="24"/>
        </w:rPr>
        <w:t>se realizó</w:t>
      </w:r>
      <w:r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00BA51FF">
        <w:rPr>
          <w:rFonts w:ascii="Times New Roman" w:hAnsi="Times New Roman" w:cs="Times New Roman"/>
          <w:sz w:val="24"/>
          <w:szCs w:val="24"/>
        </w:rPr>
        <w:t>Filippova</w:t>
      </w:r>
      <w:proofErr w:type="spellEnd"/>
      <w:r w:rsidR="009A652C">
        <w:rPr>
          <w:rFonts w:ascii="Times New Roman" w:hAnsi="Times New Roman" w:cs="Times New Roman"/>
          <w:sz w:val="24"/>
          <w:szCs w:val="24"/>
        </w:rPr>
        <w:t>,</w:t>
      </w:r>
      <w:r w:rsidR="009D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7EB">
        <w:rPr>
          <w:rFonts w:ascii="Times New Roman" w:hAnsi="Times New Roman" w:cs="Times New Roman"/>
          <w:sz w:val="24"/>
          <w:szCs w:val="24"/>
        </w:rPr>
        <w:t>Surgucheva</w:t>
      </w:r>
      <w:proofErr w:type="spellEnd"/>
      <w:r w:rsidR="009D27EB">
        <w:rPr>
          <w:rFonts w:ascii="Times New Roman" w:hAnsi="Times New Roman" w:cs="Times New Roman"/>
          <w:sz w:val="24"/>
          <w:szCs w:val="24"/>
        </w:rPr>
        <w:t xml:space="preserve"> </w:t>
      </w:r>
      <w:r w:rsidR="00B515A1">
        <w:rPr>
          <w:rFonts w:ascii="Times New Roman" w:hAnsi="Times New Roman" w:cs="Times New Roman"/>
          <w:sz w:val="24"/>
          <w:szCs w:val="24"/>
        </w:rPr>
        <w:t>&amp;</w:t>
      </w:r>
      <w:r w:rsidR="009D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7EB">
        <w:rPr>
          <w:rFonts w:ascii="Times New Roman" w:hAnsi="Times New Roman" w:cs="Times New Roman"/>
          <w:sz w:val="24"/>
          <w:szCs w:val="24"/>
        </w:rPr>
        <w:t>Gal´chenko</w:t>
      </w:r>
      <w:proofErr w:type="spellEnd"/>
      <w:r w:rsidR="009D27EB">
        <w:rPr>
          <w:rFonts w:ascii="Times New Roman" w:hAnsi="Times New Roman" w:cs="Times New Roman"/>
          <w:sz w:val="24"/>
          <w:szCs w:val="24"/>
        </w:rPr>
        <w:t xml:space="preserve"> (2012)</w:t>
      </w:r>
      <w:r w:rsidR="00D466C4">
        <w:rPr>
          <w:rFonts w:ascii="Times New Roman" w:hAnsi="Times New Roman" w:cs="Times New Roman"/>
          <w:sz w:val="24"/>
          <w:szCs w:val="24"/>
        </w:rPr>
        <w:t xml:space="preserve"> en el que se reportaron</w:t>
      </w:r>
      <w:r>
        <w:rPr>
          <w:rFonts w:ascii="Times New Roman" w:hAnsi="Times New Roman" w:cs="Times New Roman"/>
          <w:sz w:val="24"/>
          <w:szCs w:val="24"/>
        </w:rPr>
        <w:t xml:space="preserve"> niveles críticos en la viabilidad tras realizar la evaluación de sus bancos liofilizados</w:t>
      </w:r>
      <w:r w:rsidR="009D2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 aceite mineral y cultivos de suelo. La pérdida de la viabilidad para las cepas evaluadas fue cercana al 35%. De igual manera fue difícil reactivar </w:t>
      </w:r>
      <w:r w:rsidR="004E5B61">
        <w:rPr>
          <w:rFonts w:ascii="Times New Roman" w:hAnsi="Times New Roman" w:cs="Times New Roman"/>
          <w:sz w:val="24"/>
          <w:szCs w:val="24"/>
        </w:rPr>
        <w:t xml:space="preserve">algunos liófilos </w:t>
      </w:r>
      <w:r w:rsidR="005C6ADA">
        <w:rPr>
          <w:rFonts w:ascii="Times New Roman" w:hAnsi="Times New Roman" w:cs="Times New Roman"/>
          <w:sz w:val="24"/>
          <w:szCs w:val="24"/>
        </w:rPr>
        <w:t xml:space="preserve">y a su vez se observaron cambios </w:t>
      </w:r>
      <w:r>
        <w:rPr>
          <w:rFonts w:ascii="Times New Roman" w:hAnsi="Times New Roman" w:cs="Times New Roman"/>
          <w:sz w:val="24"/>
          <w:szCs w:val="24"/>
        </w:rPr>
        <w:t>en las características morfológicas</w:t>
      </w:r>
      <w:r w:rsidR="004E5B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como la perdida de color en el micelio y producción de micelio aéreo. En el presente estudio </w:t>
      </w:r>
      <w:r w:rsidR="005C6ADA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 xml:space="preserve"> el método de liofilización no se</w:t>
      </w:r>
      <w:r w:rsidR="005C6ADA">
        <w:rPr>
          <w:rFonts w:ascii="Times New Roman" w:hAnsi="Times New Roman" w:cs="Times New Roman"/>
          <w:sz w:val="24"/>
          <w:szCs w:val="24"/>
        </w:rPr>
        <w:t xml:space="preserve"> evidenció la perdida de</w:t>
      </w:r>
      <w:r>
        <w:rPr>
          <w:rFonts w:ascii="Times New Roman" w:hAnsi="Times New Roman" w:cs="Times New Roman"/>
          <w:sz w:val="24"/>
          <w:szCs w:val="24"/>
        </w:rPr>
        <w:t xml:space="preserve"> ninguna cepa y los porcentajes de viabilidad del recuento inic</w:t>
      </w:r>
      <w:r w:rsidR="005C6ADA">
        <w:rPr>
          <w:rFonts w:ascii="Times New Roman" w:hAnsi="Times New Roman" w:cs="Times New Roman"/>
          <w:sz w:val="24"/>
          <w:szCs w:val="24"/>
        </w:rPr>
        <w:t>ial frente al recuento posterior</w:t>
      </w:r>
      <w:r>
        <w:rPr>
          <w:rFonts w:ascii="Times New Roman" w:hAnsi="Times New Roman" w:cs="Times New Roman"/>
          <w:sz w:val="24"/>
          <w:szCs w:val="24"/>
        </w:rPr>
        <w:t xml:space="preserve"> a la conservación, fueron mayores al 87%, lo cual puede deberse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crioconservante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usado en este caso </w:t>
      </w:r>
      <w:proofErr w:type="spellStart"/>
      <w:r w:rsidRPr="00B2368D">
        <w:rPr>
          <w:rFonts w:ascii="Times New Roman" w:hAnsi="Times New Roman" w:cs="Times New Roman"/>
          <w:sz w:val="24"/>
          <w:szCs w:val="24"/>
        </w:rPr>
        <w:t>Skim</w:t>
      </w:r>
      <w:proofErr w:type="spellEnd"/>
      <w:r w:rsidRPr="00B23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68D">
        <w:rPr>
          <w:rFonts w:ascii="Times New Roman" w:hAnsi="Times New Roman" w:cs="Times New Roman"/>
          <w:sz w:val="24"/>
          <w:szCs w:val="24"/>
        </w:rPr>
        <w:t>Milk</w:t>
      </w:r>
      <w:proofErr w:type="spellEnd"/>
      <w:r w:rsidR="004E5B61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genera una mayor ventaja </w:t>
      </w:r>
      <w:r w:rsidR="004E5B61">
        <w:rPr>
          <w:rFonts w:ascii="Times New Roman" w:hAnsi="Times New Roman" w:cs="Times New Roman"/>
          <w:sz w:val="24"/>
          <w:szCs w:val="24"/>
        </w:rPr>
        <w:t xml:space="preserve"> al </w:t>
      </w:r>
      <w:r w:rsidR="00CF68B3">
        <w:rPr>
          <w:rFonts w:ascii="Times New Roman" w:hAnsi="Times New Roman" w:cs="Times New Roman"/>
          <w:sz w:val="24"/>
          <w:szCs w:val="24"/>
        </w:rPr>
        <w:t xml:space="preserve"> usado en </w:t>
      </w:r>
      <w:r>
        <w:rPr>
          <w:rFonts w:ascii="Times New Roman" w:hAnsi="Times New Roman" w:cs="Times New Roman"/>
          <w:sz w:val="24"/>
          <w:szCs w:val="24"/>
        </w:rPr>
        <w:t xml:space="preserve">el estudio de </w:t>
      </w:r>
      <w:proofErr w:type="spellStart"/>
      <w:r w:rsidR="00E23A3C">
        <w:rPr>
          <w:rFonts w:ascii="Times New Roman" w:hAnsi="Times New Roman" w:cs="Times New Roman"/>
          <w:sz w:val="24"/>
          <w:szCs w:val="24"/>
        </w:rPr>
        <w:t>Filippova</w:t>
      </w:r>
      <w:proofErr w:type="spellEnd"/>
      <w:r w:rsidR="00E23A3C">
        <w:rPr>
          <w:rFonts w:ascii="Times New Roman" w:hAnsi="Times New Roman" w:cs="Times New Roman"/>
          <w:sz w:val="24"/>
          <w:szCs w:val="24"/>
        </w:rPr>
        <w:t xml:space="preserve"> </w:t>
      </w:r>
      <w:r w:rsidR="0018152E" w:rsidRPr="00B515A1">
        <w:rPr>
          <w:rFonts w:ascii="Times New Roman" w:hAnsi="Times New Roman" w:cs="Times New Roman"/>
          <w:i/>
          <w:sz w:val="24"/>
          <w:szCs w:val="24"/>
        </w:rPr>
        <w:t>et al</w:t>
      </w:r>
      <w:r w:rsidR="009D27EB" w:rsidRPr="0018152E">
        <w:rPr>
          <w:rFonts w:ascii="Times New Roman" w:hAnsi="Times New Roman" w:cs="Times New Roman"/>
          <w:sz w:val="24"/>
          <w:szCs w:val="24"/>
        </w:rPr>
        <w:t>.</w:t>
      </w:r>
      <w:r w:rsidR="009D27EB">
        <w:rPr>
          <w:rFonts w:ascii="Times New Roman" w:hAnsi="Times New Roman" w:cs="Times New Roman"/>
          <w:sz w:val="24"/>
          <w:szCs w:val="24"/>
        </w:rPr>
        <w:t xml:space="preserve"> (2012)</w:t>
      </w:r>
      <w:r>
        <w:rPr>
          <w:rFonts w:ascii="Times New Roman" w:hAnsi="Times New Roman" w:cs="Times New Roman"/>
          <w:sz w:val="24"/>
          <w:szCs w:val="24"/>
        </w:rPr>
        <w:t xml:space="preserve">, además </w:t>
      </w:r>
      <w:r w:rsidR="009D27EB">
        <w:rPr>
          <w:rFonts w:ascii="Times New Roman" w:hAnsi="Times New Roman" w:cs="Times New Roman"/>
          <w:sz w:val="24"/>
          <w:szCs w:val="24"/>
        </w:rPr>
        <w:t>cabe</w:t>
      </w:r>
      <w:r>
        <w:rPr>
          <w:rFonts w:ascii="Times New Roman" w:hAnsi="Times New Roman" w:cs="Times New Roman"/>
          <w:sz w:val="24"/>
          <w:szCs w:val="24"/>
        </w:rPr>
        <w:t xml:space="preserve"> resaltar</w:t>
      </w:r>
      <w:r w:rsidR="009D27EB">
        <w:rPr>
          <w:rFonts w:ascii="Times New Roman" w:hAnsi="Times New Roman" w:cs="Times New Roman"/>
          <w:sz w:val="24"/>
          <w:szCs w:val="24"/>
        </w:rPr>
        <w:t xml:space="preserve"> que la baja viabilidad puede</w:t>
      </w:r>
      <w:r w:rsidR="005C6ADA">
        <w:rPr>
          <w:rFonts w:ascii="Times New Roman" w:hAnsi="Times New Roman" w:cs="Times New Roman"/>
          <w:sz w:val="24"/>
          <w:szCs w:val="24"/>
        </w:rPr>
        <w:t xml:space="preserve"> estar ligada a</w:t>
      </w:r>
      <w:r w:rsidR="009D27EB">
        <w:rPr>
          <w:rFonts w:ascii="Times New Roman" w:hAnsi="Times New Roman" w:cs="Times New Roman"/>
          <w:sz w:val="24"/>
          <w:szCs w:val="24"/>
        </w:rPr>
        <w:t xml:space="preserve"> periodos mucho más largos de almacenamiento, mayores a 1 año, lo </w:t>
      </w:r>
      <w:r w:rsidR="005C6ADA">
        <w:rPr>
          <w:rFonts w:ascii="Times New Roman" w:hAnsi="Times New Roman" w:cs="Times New Roman"/>
          <w:sz w:val="24"/>
          <w:szCs w:val="24"/>
        </w:rPr>
        <w:t>que</w:t>
      </w:r>
      <w:r w:rsidR="009D27EB">
        <w:rPr>
          <w:rFonts w:ascii="Times New Roman" w:hAnsi="Times New Roman" w:cs="Times New Roman"/>
          <w:sz w:val="24"/>
          <w:szCs w:val="24"/>
        </w:rPr>
        <w:t xml:space="preserve"> </w:t>
      </w:r>
      <w:r w:rsidR="009D27EB">
        <w:rPr>
          <w:rFonts w:ascii="Times New Roman" w:hAnsi="Times New Roman" w:cs="Times New Roman"/>
          <w:sz w:val="24"/>
          <w:szCs w:val="24"/>
        </w:rPr>
        <w:lastRenderedPageBreak/>
        <w:t xml:space="preserve">en el estudio de </w:t>
      </w:r>
      <w:proofErr w:type="spellStart"/>
      <w:r w:rsidR="009D27EB">
        <w:rPr>
          <w:rFonts w:ascii="Times New Roman" w:hAnsi="Times New Roman" w:cs="Times New Roman"/>
          <w:sz w:val="24"/>
          <w:szCs w:val="24"/>
        </w:rPr>
        <w:t>Filippova</w:t>
      </w:r>
      <w:proofErr w:type="spellEnd"/>
      <w:r w:rsidR="009D27EB">
        <w:rPr>
          <w:rFonts w:ascii="Times New Roman" w:hAnsi="Times New Roman" w:cs="Times New Roman"/>
          <w:sz w:val="24"/>
          <w:szCs w:val="24"/>
        </w:rPr>
        <w:t xml:space="preserve"> </w:t>
      </w:r>
      <w:r w:rsidR="009D27EB" w:rsidRPr="00B515A1">
        <w:rPr>
          <w:rFonts w:ascii="Times New Roman" w:hAnsi="Times New Roman" w:cs="Times New Roman"/>
          <w:i/>
          <w:sz w:val="24"/>
          <w:szCs w:val="24"/>
        </w:rPr>
        <w:t>et al.</w:t>
      </w:r>
      <w:r w:rsidR="009D27EB">
        <w:rPr>
          <w:rFonts w:ascii="Times New Roman" w:hAnsi="Times New Roman" w:cs="Times New Roman"/>
          <w:sz w:val="24"/>
          <w:szCs w:val="24"/>
        </w:rPr>
        <w:t xml:space="preserve"> (2012)</w:t>
      </w:r>
      <w:r w:rsidR="00B515A1">
        <w:rPr>
          <w:rFonts w:ascii="Times New Roman" w:hAnsi="Times New Roman" w:cs="Times New Roman"/>
          <w:sz w:val="24"/>
          <w:szCs w:val="24"/>
        </w:rPr>
        <w:t>,</w:t>
      </w:r>
      <w:r w:rsidR="009D27EB">
        <w:rPr>
          <w:rFonts w:ascii="Times New Roman" w:hAnsi="Times New Roman" w:cs="Times New Roman"/>
          <w:sz w:val="24"/>
          <w:szCs w:val="24"/>
        </w:rPr>
        <w:t xml:space="preserve"> pudo afectar procesos celulares generando desecación y procesos de oxidación celular.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1FF" w:rsidRDefault="00837167" w:rsidP="00343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la </w:t>
      </w:r>
      <w:r w:rsidR="00B515A1">
        <w:rPr>
          <w:rFonts w:ascii="Times New Roman" w:hAnsi="Times New Roman" w:cs="Times New Roman"/>
          <w:sz w:val="24"/>
          <w:szCs w:val="24"/>
        </w:rPr>
        <w:t>t</w:t>
      </w:r>
      <w:r w:rsidRPr="00B515A1">
        <w:rPr>
          <w:rFonts w:ascii="Times New Roman" w:hAnsi="Times New Roman" w:cs="Times New Roman"/>
          <w:sz w:val="24"/>
          <w:szCs w:val="24"/>
        </w:rPr>
        <w:t>abla 1</w:t>
      </w:r>
      <w:r w:rsidR="00BD2F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observa que </w:t>
      </w:r>
      <w:r w:rsidR="00CF68B3">
        <w:rPr>
          <w:rFonts w:ascii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hAnsi="Times New Roman" w:cs="Times New Roman"/>
          <w:sz w:val="24"/>
          <w:szCs w:val="24"/>
        </w:rPr>
        <w:t>microorganismos</w:t>
      </w:r>
      <w:r w:rsidR="00796741">
        <w:rPr>
          <w:rFonts w:ascii="Times New Roman" w:hAnsi="Times New Roman" w:cs="Times New Roman"/>
          <w:sz w:val="24"/>
          <w:szCs w:val="24"/>
        </w:rPr>
        <w:t xml:space="preserve"> de este estudio</w:t>
      </w:r>
      <w:r>
        <w:rPr>
          <w:rFonts w:ascii="Times New Roman" w:hAnsi="Times New Roman" w:cs="Times New Roman"/>
          <w:sz w:val="24"/>
          <w:szCs w:val="24"/>
        </w:rPr>
        <w:t xml:space="preserve"> no presentan afinidad por un método en específico</w:t>
      </w:r>
      <w:r w:rsidR="005C6ADA">
        <w:rPr>
          <w:rFonts w:ascii="Times New Roman" w:hAnsi="Times New Roman" w:cs="Times New Roman"/>
          <w:sz w:val="24"/>
          <w:szCs w:val="24"/>
        </w:rPr>
        <w:t>. E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7516D3">
        <w:rPr>
          <w:rFonts w:ascii="Times New Roman" w:hAnsi="Times New Roman" w:cs="Times New Roman"/>
          <w:sz w:val="24"/>
          <w:szCs w:val="24"/>
        </w:rPr>
        <w:t>las evaluaciones</w:t>
      </w:r>
      <w:r>
        <w:rPr>
          <w:rFonts w:ascii="Times New Roman" w:hAnsi="Times New Roman" w:cs="Times New Roman"/>
          <w:sz w:val="24"/>
          <w:szCs w:val="24"/>
        </w:rPr>
        <w:t xml:space="preserve"> a largo plazo, por ejemplo</w:t>
      </w:r>
      <w:r w:rsidR="004E5B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el 46% de los aislamientos presentaron mayor afinidad con glicerol al 20% (p/v) aunque la diferencia porcentual en cuanto a liofilización no es significativa, ya que el 33% de los aislamientos se ajustaron mejor a éste método el cual ha sido ampliamente reportado (</w:t>
      </w:r>
      <w:proofErr w:type="spellStart"/>
      <w:r>
        <w:rPr>
          <w:rFonts w:ascii="Times New Roman" w:hAnsi="Times New Roman" w:cs="Times New Roman"/>
          <w:sz w:val="24"/>
          <w:szCs w:val="24"/>
        </w:rPr>
        <w:t>Burguet</w:t>
      </w:r>
      <w:proofErr w:type="spellEnd"/>
      <w:r w:rsidR="0018152E">
        <w:rPr>
          <w:rFonts w:ascii="Times New Roman" w:hAnsi="Times New Roman" w:cs="Times New Roman"/>
          <w:sz w:val="24"/>
          <w:szCs w:val="24"/>
        </w:rPr>
        <w:t xml:space="preserve"> </w:t>
      </w:r>
      <w:r w:rsidR="0018152E">
        <w:rPr>
          <w:rFonts w:ascii="Times New Roman" w:hAnsi="Times New Roman" w:cs="Times New Roman"/>
          <w:i/>
          <w:sz w:val="24"/>
          <w:szCs w:val="24"/>
        </w:rPr>
        <w:t>et al.</w:t>
      </w:r>
      <w:r w:rsidR="00B515A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2012</w:t>
      </w:r>
      <w:r w:rsidR="0018152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52E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Chen</w:t>
      </w:r>
      <w:proofErr w:type="spellEnd"/>
      <w:r w:rsidR="0018152E">
        <w:rPr>
          <w:rFonts w:ascii="Times New Roman" w:hAnsi="Times New Roman" w:cs="Times New Roman"/>
          <w:sz w:val="24"/>
          <w:szCs w:val="24"/>
        </w:rPr>
        <w:t xml:space="preserve"> </w:t>
      </w:r>
      <w:r w:rsidR="0018152E">
        <w:rPr>
          <w:rFonts w:ascii="Times New Roman" w:hAnsi="Times New Roman" w:cs="Times New Roman"/>
          <w:i/>
          <w:sz w:val="24"/>
          <w:szCs w:val="24"/>
        </w:rPr>
        <w:t>et al.</w:t>
      </w:r>
      <w:r w:rsidR="00B515A1">
        <w:rPr>
          <w:rFonts w:ascii="Times New Roman" w:hAnsi="Times New Roman" w:cs="Times New Roman"/>
          <w:i/>
          <w:sz w:val="24"/>
          <w:szCs w:val="24"/>
        </w:rPr>
        <w:t>,</w:t>
      </w:r>
      <w:r w:rsidR="005C6ADA">
        <w:rPr>
          <w:rFonts w:ascii="Times New Roman" w:hAnsi="Times New Roman" w:cs="Times New Roman"/>
          <w:sz w:val="24"/>
          <w:szCs w:val="24"/>
        </w:rPr>
        <w:t xml:space="preserve"> 2006). E</w:t>
      </w:r>
      <w:r w:rsidR="004E5B61">
        <w:rPr>
          <w:rFonts w:ascii="Times New Roman" w:hAnsi="Times New Roman" w:cs="Times New Roman"/>
          <w:sz w:val="24"/>
          <w:szCs w:val="24"/>
        </w:rPr>
        <w:t>sto se debe al</w:t>
      </w:r>
      <w:r>
        <w:rPr>
          <w:rFonts w:ascii="Times New Roman" w:hAnsi="Times New Roman" w:cs="Times New Roman"/>
          <w:sz w:val="24"/>
          <w:szCs w:val="24"/>
        </w:rPr>
        <w:t xml:space="preserve"> fuerte impacto que reciben las células por el proceso de sublimación </w:t>
      </w:r>
      <w:r w:rsidR="004E5B61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disminuye notablemente el porcentaje de viabilidad de los microorganismos</w:t>
      </w:r>
      <w:r w:rsidR="004E72CC">
        <w:rPr>
          <w:rFonts w:ascii="Times New Roman" w:hAnsi="Times New Roman" w:cs="Times New Roman"/>
          <w:sz w:val="24"/>
          <w:szCs w:val="24"/>
        </w:rPr>
        <w:t xml:space="preserve"> por causas de estrés sobre la </w:t>
      </w:r>
      <w:proofErr w:type="spellStart"/>
      <w:r w:rsidR="004E72CC">
        <w:rPr>
          <w:rFonts w:ascii="Times New Roman" w:hAnsi="Times New Roman" w:cs="Times New Roman"/>
          <w:sz w:val="24"/>
          <w:szCs w:val="24"/>
        </w:rPr>
        <w:t>celula</w:t>
      </w:r>
      <w:proofErr w:type="spellEnd"/>
      <w:r w:rsidR="004E72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E72CC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Bozoglú</w:t>
      </w:r>
      <w:proofErr w:type="spellEnd"/>
      <w:r w:rsidR="0018152E">
        <w:rPr>
          <w:rFonts w:ascii="Times New Roman" w:hAnsi="Times New Roman" w:cs="Times New Roman"/>
          <w:sz w:val="24"/>
          <w:szCs w:val="24"/>
        </w:rPr>
        <w:t xml:space="preserve"> </w:t>
      </w:r>
      <w:r w:rsidR="0018152E">
        <w:rPr>
          <w:rFonts w:ascii="Times New Roman" w:hAnsi="Times New Roman" w:cs="Times New Roman"/>
          <w:i/>
          <w:sz w:val="24"/>
          <w:szCs w:val="24"/>
        </w:rPr>
        <w:t>et al.</w:t>
      </w:r>
      <w:r w:rsidR="00B515A1">
        <w:rPr>
          <w:rFonts w:ascii="Times New Roman" w:hAnsi="Times New Roman" w:cs="Times New Roman"/>
          <w:i/>
          <w:sz w:val="24"/>
          <w:szCs w:val="24"/>
        </w:rPr>
        <w:t>,</w:t>
      </w:r>
      <w:r w:rsidR="0018152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1987</w:t>
      </w:r>
      <w:r w:rsidR="0018152E">
        <w:rPr>
          <w:rFonts w:ascii="Times New Roman" w:hAnsi="Times New Roman" w:cs="Times New Roman"/>
          <w:sz w:val="24"/>
          <w:szCs w:val="24"/>
        </w:rPr>
        <w:t>)</w:t>
      </w:r>
      <w:r w:rsidR="004E72CC">
        <w:rPr>
          <w:rFonts w:ascii="Times New Roman" w:hAnsi="Times New Roman" w:cs="Times New Roman"/>
          <w:sz w:val="24"/>
          <w:szCs w:val="24"/>
        </w:rPr>
        <w:t xml:space="preserve"> </w:t>
      </w:r>
      <w:r w:rsidR="0018152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E72CC">
        <w:rPr>
          <w:rFonts w:ascii="Times New Roman" w:hAnsi="Times New Roman" w:cs="Times New Roman"/>
          <w:sz w:val="24"/>
          <w:szCs w:val="24"/>
        </w:rPr>
        <w:t>Prakash</w:t>
      </w:r>
      <w:proofErr w:type="spellEnd"/>
      <w:r w:rsidR="00142D58">
        <w:rPr>
          <w:rFonts w:ascii="Times New Roman" w:hAnsi="Times New Roman" w:cs="Times New Roman"/>
          <w:sz w:val="24"/>
          <w:szCs w:val="24"/>
        </w:rPr>
        <w:t xml:space="preserve"> </w:t>
      </w:r>
      <w:r w:rsidR="0018152E">
        <w:rPr>
          <w:rFonts w:ascii="Times New Roman" w:hAnsi="Times New Roman" w:cs="Times New Roman"/>
          <w:i/>
          <w:sz w:val="24"/>
          <w:szCs w:val="24"/>
        </w:rPr>
        <w:t>et al.</w:t>
      </w:r>
      <w:r w:rsidR="00B515A1">
        <w:rPr>
          <w:rFonts w:ascii="Times New Roman" w:hAnsi="Times New Roman" w:cs="Times New Roman"/>
          <w:i/>
          <w:sz w:val="24"/>
          <w:szCs w:val="24"/>
        </w:rPr>
        <w:t>,</w:t>
      </w:r>
      <w:r w:rsidR="00142D58">
        <w:rPr>
          <w:rFonts w:ascii="Times New Roman" w:hAnsi="Times New Roman" w:cs="Times New Roman"/>
          <w:sz w:val="24"/>
          <w:szCs w:val="24"/>
        </w:rPr>
        <w:t xml:space="preserve"> 2013).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D58">
        <w:rPr>
          <w:rFonts w:ascii="Times New Roman" w:hAnsi="Times New Roman" w:cs="Times New Roman"/>
          <w:sz w:val="24"/>
          <w:szCs w:val="24"/>
        </w:rPr>
        <w:t>Así</w:t>
      </w:r>
      <w:r w:rsidR="007516D3">
        <w:rPr>
          <w:rFonts w:ascii="Times New Roman" w:hAnsi="Times New Roman" w:cs="Times New Roman"/>
          <w:sz w:val="24"/>
          <w:szCs w:val="24"/>
        </w:rPr>
        <w:t xml:space="preserve"> mismo</w:t>
      </w:r>
      <w:r w:rsidR="00BD2F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este proceso se puede ver afectado por la concentración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crioprotectante</w:t>
      </w:r>
      <w:proofErr w:type="spellEnd"/>
      <w:r>
        <w:rPr>
          <w:rFonts w:ascii="Times New Roman" w:hAnsi="Times New Roman" w:cs="Times New Roman"/>
          <w:sz w:val="24"/>
          <w:szCs w:val="24"/>
        </w:rPr>
        <w:t>, algunos autores como García</w:t>
      </w:r>
      <w:r w:rsidR="00142D58">
        <w:rPr>
          <w:rFonts w:ascii="Times New Roman" w:hAnsi="Times New Roman" w:cs="Times New Roman"/>
          <w:sz w:val="24"/>
          <w:szCs w:val="24"/>
        </w:rPr>
        <w:t xml:space="preserve"> </w:t>
      </w:r>
      <w:r w:rsidR="00B515A1">
        <w:rPr>
          <w:rFonts w:ascii="Times New Roman" w:hAnsi="Times New Roman" w:cs="Times New Roman"/>
          <w:sz w:val="24"/>
          <w:szCs w:val="24"/>
        </w:rPr>
        <w:t>&amp;</w:t>
      </w:r>
      <w:r w:rsidR="0014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D58">
        <w:rPr>
          <w:rFonts w:ascii="Times New Roman" w:hAnsi="Times New Roman" w:cs="Times New Roman"/>
          <w:sz w:val="24"/>
          <w:szCs w:val="24"/>
        </w:rPr>
        <w:t>Uruburu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(2001) reportan el uso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18% (p/v) como la concentración óptima para la protección del microorganismo, sin embargo ésta puede ser un factor limitante </w:t>
      </w:r>
      <w:r w:rsidR="004E5B61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la viabilidad </w:t>
      </w:r>
      <w:r w:rsidR="007516D3">
        <w:rPr>
          <w:rFonts w:ascii="Times New Roman" w:hAnsi="Times New Roman" w:cs="Times New Roman"/>
          <w:sz w:val="24"/>
          <w:szCs w:val="24"/>
        </w:rPr>
        <w:t xml:space="preserve">debido al </w:t>
      </w:r>
      <w:r>
        <w:rPr>
          <w:rFonts w:ascii="Times New Roman" w:hAnsi="Times New Roman" w:cs="Times New Roman"/>
          <w:sz w:val="24"/>
          <w:szCs w:val="24"/>
        </w:rPr>
        <w:t xml:space="preserve">proceso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ultracongelación</w:t>
      </w:r>
      <w:proofErr w:type="spellEnd"/>
      <w:r w:rsidR="007516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 cual son sometidos antes de ser liofilizados. Por otra parte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crioconservación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 sido reportada como un buen método de conservación (</w:t>
      </w:r>
      <w:proofErr w:type="spellStart"/>
      <w:r>
        <w:rPr>
          <w:rFonts w:ascii="Times New Roman" w:hAnsi="Times New Roman" w:cs="Times New Roman"/>
          <w:sz w:val="24"/>
          <w:szCs w:val="24"/>
        </w:rPr>
        <w:t>Hubalek</w:t>
      </w:r>
      <w:proofErr w:type="spellEnd"/>
      <w:r w:rsidR="007346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2003) tanto para bacterias como para hongos, sin embargo es un método que afecta tanto la viabilidad como la actividad dependiendo de la temperatura y concentración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crioprotectante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utilizado, el glicerol es un compuesto que en altas concentraciones, mayores a 30%, se puede volver tóxico para las células </w:t>
      </w:r>
      <w:r w:rsidR="004E5B61">
        <w:rPr>
          <w:rFonts w:ascii="Times New Roman" w:hAnsi="Times New Roman" w:cs="Times New Roman"/>
          <w:sz w:val="24"/>
          <w:szCs w:val="24"/>
        </w:rPr>
        <w:t xml:space="preserve">puesto </w:t>
      </w:r>
      <w:r>
        <w:rPr>
          <w:rFonts w:ascii="Times New Roman" w:hAnsi="Times New Roman" w:cs="Times New Roman"/>
          <w:sz w:val="24"/>
          <w:szCs w:val="24"/>
        </w:rPr>
        <w:t xml:space="preserve">que penetra la membrana celular. Como se observa en la </w:t>
      </w:r>
      <w:r w:rsidR="00B515A1">
        <w:rPr>
          <w:rFonts w:ascii="Times New Roman" w:hAnsi="Times New Roman" w:cs="Times New Roman"/>
          <w:sz w:val="24"/>
          <w:szCs w:val="24"/>
        </w:rPr>
        <w:t>t</w:t>
      </w:r>
      <w:r w:rsidRPr="00B515A1">
        <w:rPr>
          <w:rFonts w:ascii="Times New Roman" w:hAnsi="Times New Roman" w:cs="Times New Roman"/>
          <w:sz w:val="24"/>
          <w:szCs w:val="24"/>
        </w:rPr>
        <w:t>abla 1</w:t>
      </w:r>
      <w:r>
        <w:rPr>
          <w:rFonts w:ascii="Times New Roman" w:hAnsi="Times New Roman" w:cs="Times New Roman"/>
          <w:sz w:val="24"/>
          <w:szCs w:val="24"/>
        </w:rPr>
        <w:t xml:space="preserve">, tres aislamientos de los quince evaluados presentan buenos resultados con este método, por lo tanto </w:t>
      </w:r>
      <w:r w:rsidR="00447F48">
        <w:rPr>
          <w:rFonts w:ascii="Times New Roman" w:hAnsi="Times New Roman" w:cs="Times New Roman"/>
          <w:sz w:val="24"/>
          <w:szCs w:val="24"/>
        </w:rPr>
        <w:t>es adecuado</w:t>
      </w:r>
      <w:r>
        <w:rPr>
          <w:rFonts w:ascii="Times New Roman" w:hAnsi="Times New Roman" w:cs="Times New Roman"/>
          <w:sz w:val="24"/>
          <w:szCs w:val="24"/>
        </w:rPr>
        <w:t xml:space="preserve"> como método de conservación. </w:t>
      </w:r>
      <w:r w:rsidR="00447F48">
        <w:rPr>
          <w:rFonts w:ascii="Times New Roman" w:hAnsi="Times New Roman" w:cs="Times New Roman"/>
          <w:sz w:val="24"/>
          <w:szCs w:val="24"/>
        </w:rPr>
        <w:t>Al ser</w:t>
      </w:r>
      <w:r>
        <w:rPr>
          <w:rFonts w:ascii="Times New Roman" w:hAnsi="Times New Roman" w:cs="Times New Roman"/>
          <w:sz w:val="24"/>
          <w:szCs w:val="24"/>
        </w:rPr>
        <w:t xml:space="preserve"> la actividad solubilizadora de fósforo uno de los factores que se debe mantener durante </w:t>
      </w:r>
      <w:r w:rsidR="005C6ADA">
        <w:rPr>
          <w:rFonts w:ascii="Times New Roman" w:hAnsi="Times New Roman" w:cs="Times New Roman"/>
          <w:sz w:val="24"/>
          <w:szCs w:val="24"/>
        </w:rPr>
        <w:t xml:space="preserve">el periodo de la conservación en la </w:t>
      </w:r>
      <w:r w:rsidR="00B515A1">
        <w:rPr>
          <w:rFonts w:ascii="Times New Roman" w:hAnsi="Times New Roman" w:cs="Times New Roman"/>
          <w:sz w:val="24"/>
          <w:szCs w:val="24"/>
        </w:rPr>
        <w:t>t</w:t>
      </w:r>
      <w:r w:rsidR="005C6ADA" w:rsidRPr="00B515A1">
        <w:rPr>
          <w:rFonts w:ascii="Times New Roman" w:hAnsi="Times New Roman" w:cs="Times New Roman"/>
          <w:sz w:val="24"/>
          <w:szCs w:val="24"/>
        </w:rPr>
        <w:t>abla 3</w:t>
      </w:r>
      <w:r w:rsidR="005C6ADA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 puede observar que el glicerol 30%</w:t>
      </w:r>
      <w:r w:rsidR="00447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C6ADA">
        <w:rPr>
          <w:rFonts w:ascii="Times New Roman" w:hAnsi="Times New Roman" w:cs="Times New Roman"/>
          <w:sz w:val="24"/>
          <w:szCs w:val="24"/>
        </w:rPr>
        <w:t>p/v) es el método que presenta mayor</w:t>
      </w:r>
      <w:r>
        <w:rPr>
          <w:rFonts w:ascii="Times New Roman" w:hAnsi="Times New Roman" w:cs="Times New Roman"/>
          <w:sz w:val="24"/>
          <w:szCs w:val="24"/>
        </w:rPr>
        <w:t xml:space="preserve"> mantenimiento de la actividad fisiológica de los microorganismos</w:t>
      </w:r>
      <w:r w:rsidR="00447F48">
        <w:rPr>
          <w:rFonts w:ascii="Times New Roman" w:hAnsi="Times New Roman" w:cs="Times New Roman"/>
          <w:sz w:val="24"/>
          <w:szCs w:val="24"/>
        </w:rPr>
        <w:t>,</w:t>
      </w:r>
      <w:r w:rsidR="005C6ADA">
        <w:rPr>
          <w:rFonts w:ascii="Times New Roman" w:hAnsi="Times New Roman" w:cs="Times New Roman"/>
          <w:sz w:val="24"/>
          <w:szCs w:val="24"/>
        </w:rPr>
        <w:t xml:space="preserve"> dando como resultado una mayor</w:t>
      </w:r>
      <w:r>
        <w:rPr>
          <w:rFonts w:ascii="Times New Roman" w:hAnsi="Times New Roman" w:cs="Times New Roman"/>
          <w:sz w:val="24"/>
          <w:szCs w:val="24"/>
        </w:rPr>
        <w:t xml:space="preserve"> concentración de fósforo soluble al transcurrir un año de conservación para los 3 aislamientos, esto </w:t>
      </w:r>
      <w:r w:rsidR="005E60FB">
        <w:rPr>
          <w:rFonts w:ascii="Times New Roman" w:hAnsi="Times New Roman" w:cs="Times New Roman"/>
          <w:sz w:val="24"/>
          <w:szCs w:val="24"/>
        </w:rPr>
        <w:t xml:space="preserve">quizás se debe a </w:t>
      </w:r>
      <w:r>
        <w:rPr>
          <w:rFonts w:ascii="Times New Roman" w:hAnsi="Times New Roman" w:cs="Times New Roman"/>
          <w:sz w:val="24"/>
          <w:szCs w:val="24"/>
        </w:rPr>
        <w:t>que la congelación rápida influye en la preservación de la actividad la cual está proporcionalmente ligada a la viabilidad.</w:t>
      </w:r>
      <w:r w:rsidR="00BA5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167" w:rsidRDefault="00837167" w:rsidP="00343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métodos a mediano plazo se seleccionaron debido a que han sido reportados para microorganismos que se encuentran generalmente en el suelo</w:t>
      </w:r>
      <w:r w:rsidR="00447F48">
        <w:rPr>
          <w:rFonts w:ascii="Times New Roman" w:hAnsi="Times New Roman" w:cs="Times New Roman"/>
          <w:sz w:val="24"/>
          <w:szCs w:val="24"/>
        </w:rPr>
        <w:t xml:space="preserve">, </w:t>
      </w:r>
      <w:r w:rsidR="005210ED">
        <w:rPr>
          <w:rFonts w:ascii="Times New Roman" w:hAnsi="Times New Roman" w:cs="Times New Roman"/>
          <w:sz w:val="24"/>
          <w:szCs w:val="24"/>
        </w:rPr>
        <w:t>las</w:t>
      </w:r>
      <w:r w:rsidR="00447F48">
        <w:rPr>
          <w:rFonts w:ascii="Times New Roman" w:hAnsi="Times New Roman" w:cs="Times New Roman"/>
          <w:sz w:val="24"/>
          <w:szCs w:val="24"/>
        </w:rPr>
        <w:t xml:space="preserve"> matrices presentes en e</w:t>
      </w:r>
      <w:r w:rsidR="005210ED">
        <w:rPr>
          <w:rFonts w:ascii="Times New Roman" w:hAnsi="Times New Roman" w:cs="Times New Roman"/>
          <w:sz w:val="24"/>
          <w:szCs w:val="24"/>
        </w:rPr>
        <w:t xml:space="preserve">ste medio </w:t>
      </w:r>
      <w:r w:rsidR="008C7BB9">
        <w:rPr>
          <w:rFonts w:ascii="Times New Roman" w:hAnsi="Times New Roman" w:cs="Times New Roman"/>
          <w:sz w:val="24"/>
          <w:szCs w:val="24"/>
        </w:rPr>
        <w:t>forman asociaciones físicas</w:t>
      </w:r>
      <w:r w:rsidR="005210ED">
        <w:rPr>
          <w:rFonts w:ascii="Times New Roman" w:hAnsi="Times New Roman" w:cs="Times New Roman"/>
          <w:sz w:val="24"/>
          <w:szCs w:val="24"/>
        </w:rPr>
        <w:t xml:space="preserve"> con</w:t>
      </w:r>
      <w:r w:rsidR="008C7BB9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="008C7BB9">
        <w:rPr>
          <w:rFonts w:ascii="Times New Roman" w:hAnsi="Times New Roman" w:cs="Times New Roman"/>
          <w:sz w:val="24"/>
          <w:szCs w:val="24"/>
        </w:rPr>
        <w:t>Actinobacterias</w:t>
      </w:r>
      <w:proofErr w:type="spellEnd"/>
      <w:r w:rsidR="008C7BB9">
        <w:rPr>
          <w:rFonts w:ascii="Times New Roman" w:hAnsi="Times New Roman" w:cs="Times New Roman"/>
          <w:sz w:val="24"/>
          <w:szCs w:val="24"/>
        </w:rPr>
        <w:t>, tales como arenas o arcillas</w:t>
      </w:r>
      <w:r w:rsidR="00447F48">
        <w:rPr>
          <w:rFonts w:ascii="Times New Roman" w:hAnsi="Times New Roman" w:cs="Times New Roman"/>
          <w:sz w:val="24"/>
          <w:szCs w:val="24"/>
        </w:rPr>
        <w:t xml:space="preserve"> puede</w:t>
      </w:r>
      <w:r w:rsidR="005210ED">
        <w:rPr>
          <w:rFonts w:ascii="Times New Roman" w:hAnsi="Times New Roman" w:cs="Times New Roman"/>
          <w:sz w:val="24"/>
          <w:szCs w:val="24"/>
        </w:rPr>
        <w:t>n</w:t>
      </w:r>
      <w:r w:rsidR="00447F48">
        <w:rPr>
          <w:rFonts w:ascii="Times New Roman" w:hAnsi="Times New Roman" w:cs="Times New Roman"/>
          <w:sz w:val="24"/>
          <w:szCs w:val="24"/>
        </w:rPr>
        <w:t xml:space="preserve"> contribuir a </w:t>
      </w:r>
      <w:r w:rsidR="008C7BB9">
        <w:rPr>
          <w:rFonts w:ascii="Times New Roman" w:hAnsi="Times New Roman" w:cs="Times New Roman"/>
          <w:sz w:val="24"/>
          <w:szCs w:val="24"/>
        </w:rPr>
        <w:t>los buenos</w:t>
      </w:r>
      <w:r>
        <w:rPr>
          <w:rFonts w:ascii="Times New Roman" w:hAnsi="Times New Roman" w:cs="Times New Roman"/>
          <w:sz w:val="24"/>
          <w:szCs w:val="24"/>
        </w:rPr>
        <w:t xml:space="preserve"> res</w:t>
      </w:r>
      <w:r w:rsidR="005210ED">
        <w:rPr>
          <w:rFonts w:ascii="Times New Roman" w:hAnsi="Times New Roman" w:cs="Times New Roman"/>
          <w:sz w:val="24"/>
          <w:szCs w:val="24"/>
        </w:rPr>
        <w:t>ultados en cuanto a viabilidad. E</w:t>
      </w:r>
      <w:r>
        <w:rPr>
          <w:rFonts w:ascii="Times New Roman" w:hAnsi="Times New Roman" w:cs="Times New Roman"/>
          <w:sz w:val="24"/>
          <w:szCs w:val="24"/>
        </w:rPr>
        <w:t>l 8</w:t>
      </w:r>
      <w:r w:rsidR="005210ED">
        <w:rPr>
          <w:rFonts w:ascii="Times New Roman" w:hAnsi="Times New Roman" w:cs="Times New Roman"/>
          <w:sz w:val="24"/>
          <w:szCs w:val="24"/>
        </w:rPr>
        <w:t>6% de los aislamientos presenta</w:t>
      </w:r>
      <w:r>
        <w:rPr>
          <w:rFonts w:ascii="Times New Roman" w:hAnsi="Times New Roman" w:cs="Times New Roman"/>
          <w:sz w:val="24"/>
          <w:szCs w:val="24"/>
        </w:rPr>
        <w:t xml:space="preserve"> mayor afinidad en arena como matriz de conservación como se observa en la </w:t>
      </w:r>
      <w:r w:rsidR="00B515A1">
        <w:rPr>
          <w:rFonts w:ascii="Times New Roman" w:hAnsi="Times New Roman" w:cs="Times New Roman"/>
          <w:sz w:val="24"/>
          <w:szCs w:val="24"/>
        </w:rPr>
        <w:t>t</w:t>
      </w:r>
      <w:r w:rsidRPr="00B515A1">
        <w:rPr>
          <w:rFonts w:ascii="Times New Roman" w:hAnsi="Times New Roman" w:cs="Times New Roman"/>
          <w:sz w:val="24"/>
          <w:szCs w:val="24"/>
        </w:rPr>
        <w:t>abla 2</w:t>
      </w:r>
      <w:r w:rsidRPr="00EE108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La arena tiene un tamaño de 0,10</w:t>
      </w:r>
      <w:r w:rsidR="00A60364">
        <w:rPr>
          <w:rFonts w:ascii="Times New Roman" w:hAnsi="Times New Roman" w:cs="Times New Roman"/>
          <w:sz w:val="24"/>
          <w:szCs w:val="24"/>
        </w:rPr>
        <w:t xml:space="preserve"> a 0,25 mm (</w:t>
      </w:r>
      <w:proofErr w:type="spellStart"/>
      <w:r w:rsidR="00A60364">
        <w:rPr>
          <w:rFonts w:ascii="Times New Roman" w:hAnsi="Times New Roman" w:cs="Times New Roman"/>
          <w:sz w:val="24"/>
          <w:szCs w:val="24"/>
        </w:rPr>
        <w:t>Hodgson</w:t>
      </w:r>
      <w:proofErr w:type="spellEnd"/>
      <w:r w:rsidR="007346D4">
        <w:rPr>
          <w:rFonts w:ascii="Times New Roman" w:hAnsi="Times New Roman" w:cs="Times New Roman"/>
          <w:sz w:val="24"/>
          <w:szCs w:val="24"/>
        </w:rPr>
        <w:t>,</w:t>
      </w:r>
      <w:r w:rsidR="00A60364">
        <w:rPr>
          <w:rFonts w:ascii="Times New Roman" w:hAnsi="Times New Roman" w:cs="Times New Roman"/>
          <w:sz w:val="24"/>
          <w:szCs w:val="24"/>
        </w:rPr>
        <w:t xml:space="preserve"> 1987) lo cual</w:t>
      </w:r>
      <w:r>
        <w:rPr>
          <w:rFonts w:ascii="Times New Roman" w:hAnsi="Times New Roman" w:cs="Times New Roman"/>
          <w:sz w:val="24"/>
          <w:szCs w:val="24"/>
        </w:rPr>
        <w:t xml:space="preserve"> limita el paso de agua, aire, entre otros factores que pueden beneficiar el crecimiento (</w:t>
      </w:r>
      <w:proofErr w:type="spellStart"/>
      <w:r>
        <w:rPr>
          <w:rFonts w:ascii="Times New Roman" w:hAnsi="Times New Roman" w:cs="Times New Roman"/>
          <w:sz w:val="24"/>
          <w:szCs w:val="24"/>
        </w:rPr>
        <w:t>Glyan</w:t>
      </w:r>
      <w:proofErr w:type="spellEnd"/>
      <w:r w:rsidR="007346D4">
        <w:rPr>
          <w:rFonts w:ascii="Times New Roman" w:hAnsi="Times New Roman" w:cs="Times New Roman"/>
          <w:sz w:val="24"/>
          <w:szCs w:val="24"/>
        </w:rPr>
        <w:t xml:space="preserve"> &amp; Gary</w:t>
      </w:r>
      <w:r w:rsidR="0018152E">
        <w:rPr>
          <w:rFonts w:ascii="Times New Roman" w:hAnsi="Times New Roman" w:cs="Times New Roman"/>
          <w:sz w:val="24"/>
          <w:szCs w:val="24"/>
        </w:rPr>
        <w:t>,</w:t>
      </w:r>
      <w:r w:rsidR="005210ED">
        <w:rPr>
          <w:rFonts w:ascii="Times New Roman" w:hAnsi="Times New Roman" w:cs="Times New Roman"/>
          <w:sz w:val="24"/>
          <w:szCs w:val="24"/>
        </w:rPr>
        <w:t xml:space="preserve"> 1999) de las </w:t>
      </w:r>
      <w:proofErr w:type="spellStart"/>
      <w:r w:rsidR="005210E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ctinobacterias</w:t>
      </w:r>
      <w:proofErr w:type="spellEnd"/>
      <w:r>
        <w:rPr>
          <w:rFonts w:ascii="Times New Roman" w:hAnsi="Times New Roman" w:cs="Times New Roman"/>
          <w:sz w:val="24"/>
          <w:szCs w:val="24"/>
        </w:rPr>
        <w:t>, por lo tanto permite la conservación de dichos microorganismos</w:t>
      </w:r>
      <w:r w:rsidR="008C7BB9">
        <w:rPr>
          <w:rFonts w:ascii="Times New Roman" w:hAnsi="Times New Roman" w:cs="Times New Roman"/>
          <w:sz w:val="24"/>
          <w:szCs w:val="24"/>
        </w:rPr>
        <w:t xml:space="preserve"> sin influir en su cinética de crecimiento.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B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or otra parte ningún aislamiento presentó afinidad por el método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sílica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 aunque ha sido reportado como método de conservación</w:t>
      </w:r>
      <w:r w:rsidR="007F25A4">
        <w:rPr>
          <w:rFonts w:ascii="Times New Roman" w:hAnsi="Times New Roman" w:cs="Times New Roman"/>
          <w:sz w:val="24"/>
          <w:szCs w:val="24"/>
        </w:rPr>
        <w:t xml:space="preserve"> y en repetidas ocasiones presenta buenos resultados fenotípicos y de estabilidad genética como en estudios realizados con </w:t>
      </w:r>
      <w:proofErr w:type="spellStart"/>
      <w:r w:rsidR="007F25A4" w:rsidRPr="00AC1F6D">
        <w:rPr>
          <w:rFonts w:ascii="Times New Roman" w:hAnsi="Times New Roman" w:cs="Times New Roman"/>
          <w:i/>
          <w:sz w:val="24"/>
          <w:szCs w:val="24"/>
        </w:rPr>
        <w:t>Escherichia</w:t>
      </w:r>
      <w:proofErr w:type="spellEnd"/>
      <w:r w:rsidR="007F25A4" w:rsidRPr="00AC1F6D">
        <w:rPr>
          <w:rFonts w:ascii="Times New Roman" w:hAnsi="Times New Roman" w:cs="Times New Roman"/>
          <w:i/>
          <w:sz w:val="24"/>
          <w:szCs w:val="24"/>
        </w:rPr>
        <w:t xml:space="preserve"> coli</w:t>
      </w:r>
      <w:r w:rsidR="007F25A4" w:rsidRPr="007F25A4">
        <w:rPr>
          <w:rFonts w:ascii="Times New Roman" w:hAnsi="Times New Roman" w:cs="Times New Roman"/>
          <w:sz w:val="24"/>
          <w:szCs w:val="24"/>
        </w:rPr>
        <w:t xml:space="preserve"> HB101 </w:t>
      </w:r>
      <w:r w:rsidR="007F25A4">
        <w:rPr>
          <w:rFonts w:ascii="Times New Roman" w:hAnsi="Times New Roman" w:cs="Times New Roman"/>
          <w:sz w:val="24"/>
          <w:szCs w:val="24"/>
        </w:rPr>
        <w:t xml:space="preserve">por </w:t>
      </w:r>
      <w:proofErr w:type="spellStart"/>
      <w:r w:rsidR="007F25A4">
        <w:rPr>
          <w:rFonts w:ascii="Times New Roman" w:hAnsi="Times New Roman" w:cs="Times New Roman"/>
          <w:sz w:val="24"/>
          <w:szCs w:val="24"/>
        </w:rPr>
        <w:t>Sidyakina</w:t>
      </w:r>
      <w:proofErr w:type="spellEnd"/>
      <w:r w:rsidR="007F25A4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7F25A4" w:rsidRPr="007F25A4">
        <w:rPr>
          <w:rFonts w:ascii="Times New Roman" w:hAnsi="Times New Roman" w:cs="Times New Roman"/>
          <w:sz w:val="24"/>
          <w:szCs w:val="24"/>
        </w:rPr>
        <w:t>Golimbet</w:t>
      </w:r>
      <w:proofErr w:type="spellEnd"/>
      <w:r w:rsidR="007F25A4">
        <w:rPr>
          <w:rFonts w:ascii="Times New Roman" w:hAnsi="Times New Roman" w:cs="Times New Roman"/>
          <w:sz w:val="24"/>
          <w:szCs w:val="24"/>
        </w:rPr>
        <w:t xml:space="preserve"> (1991) 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0FB">
        <w:rPr>
          <w:rFonts w:ascii="Times New Roman" w:hAnsi="Times New Roman" w:cs="Times New Roman"/>
          <w:sz w:val="24"/>
          <w:szCs w:val="24"/>
        </w:rPr>
        <w:t xml:space="preserve">el  trabajo </w:t>
      </w:r>
      <w:r w:rsidR="007F25A4">
        <w:rPr>
          <w:rFonts w:ascii="Times New Roman" w:hAnsi="Times New Roman" w:cs="Times New Roman"/>
          <w:sz w:val="24"/>
          <w:szCs w:val="24"/>
        </w:rPr>
        <w:t xml:space="preserve"> </w:t>
      </w:r>
      <w:r w:rsidR="005E60FB">
        <w:rPr>
          <w:rFonts w:ascii="Times New Roman" w:hAnsi="Times New Roman" w:cs="Times New Roman"/>
          <w:sz w:val="24"/>
          <w:szCs w:val="24"/>
        </w:rPr>
        <w:t>de</w:t>
      </w:r>
      <w:r w:rsidR="007F25A4">
        <w:rPr>
          <w:rFonts w:ascii="Times New Roman" w:hAnsi="Times New Roman" w:cs="Times New Roman"/>
          <w:sz w:val="24"/>
          <w:szCs w:val="24"/>
        </w:rPr>
        <w:t xml:space="preserve"> </w:t>
      </w:r>
      <w:r w:rsidR="00BE711E" w:rsidRPr="007F25A4">
        <w:rPr>
          <w:rFonts w:ascii="Times New Roman" w:hAnsi="Times New Roman" w:cs="Times New Roman"/>
          <w:sz w:val="24"/>
          <w:szCs w:val="24"/>
        </w:rPr>
        <w:t>Álvarez</w:t>
      </w:r>
      <w:r w:rsidR="00BE71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711E">
        <w:rPr>
          <w:rFonts w:ascii="Times New Roman" w:hAnsi="Times New Roman" w:cs="Times New Roman"/>
          <w:sz w:val="24"/>
          <w:szCs w:val="24"/>
        </w:rPr>
        <w:t>Pieckens</w:t>
      </w:r>
      <w:r w:rsidR="0018152E">
        <w:rPr>
          <w:rFonts w:ascii="Times New Roman" w:hAnsi="Times New Roman" w:cs="Times New Roman"/>
          <w:sz w:val="24"/>
          <w:szCs w:val="24"/>
        </w:rPr>
        <w:t>tain</w:t>
      </w:r>
      <w:proofErr w:type="spellEnd"/>
      <w:r w:rsidR="00181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152E">
        <w:rPr>
          <w:rFonts w:ascii="Times New Roman" w:hAnsi="Times New Roman" w:cs="Times New Roman"/>
          <w:sz w:val="24"/>
          <w:szCs w:val="24"/>
        </w:rPr>
        <w:t>Desimone</w:t>
      </w:r>
      <w:proofErr w:type="spellEnd"/>
      <w:r w:rsidR="0018152E">
        <w:rPr>
          <w:rFonts w:ascii="Times New Roman" w:hAnsi="Times New Roman" w:cs="Times New Roman"/>
          <w:sz w:val="24"/>
          <w:szCs w:val="24"/>
        </w:rPr>
        <w:t xml:space="preserve">, Estrella, Ruíz </w:t>
      </w:r>
      <w:r w:rsidR="001244BF">
        <w:rPr>
          <w:rFonts w:ascii="Times New Roman" w:hAnsi="Times New Roman" w:cs="Times New Roman"/>
          <w:sz w:val="24"/>
          <w:szCs w:val="24"/>
        </w:rPr>
        <w:t>&amp;</w:t>
      </w:r>
      <w:r w:rsidR="00BE711E">
        <w:rPr>
          <w:rFonts w:ascii="Times New Roman" w:hAnsi="Times New Roman" w:cs="Times New Roman"/>
          <w:sz w:val="24"/>
          <w:szCs w:val="24"/>
        </w:rPr>
        <w:t xml:space="preserve"> Díaz (2010),</w:t>
      </w:r>
      <w:r w:rsidR="005E60FB">
        <w:rPr>
          <w:rFonts w:ascii="Times New Roman" w:hAnsi="Times New Roman" w:cs="Times New Roman"/>
          <w:sz w:val="24"/>
          <w:szCs w:val="24"/>
        </w:rPr>
        <w:t xml:space="preserve"> los cuales</w:t>
      </w:r>
      <w:r w:rsidR="00BE711E">
        <w:rPr>
          <w:rFonts w:ascii="Times New Roman" w:hAnsi="Times New Roman" w:cs="Times New Roman"/>
          <w:sz w:val="24"/>
          <w:szCs w:val="24"/>
        </w:rPr>
        <w:t xml:space="preserve"> </w:t>
      </w:r>
      <w:r w:rsidR="005E60FB">
        <w:rPr>
          <w:rFonts w:ascii="Times New Roman" w:hAnsi="Times New Roman" w:cs="Times New Roman"/>
          <w:sz w:val="24"/>
          <w:szCs w:val="24"/>
        </w:rPr>
        <w:t>mencionan</w:t>
      </w:r>
      <w:r w:rsidR="007F25A4">
        <w:rPr>
          <w:rFonts w:ascii="Times New Roman" w:hAnsi="Times New Roman" w:cs="Times New Roman"/>
          <w:sz w:val="24"/>
          <w:szCs w:val="24"/>
        </w:rPr>
        <w:t xml:space="preserve"> una eficiente protección y preservación de </w:t>
      </w:r>
      <w:proofErr w:type="spellStart"/>
      <w:r w:rsidR="007F25A4" w:rsidRPr="00AF0455">
        <w:rPr>
          <w:rFonts w:ascii="Times New Roman" w:hAnsi="Times New Roman" w:cs="Times New Roman"/>
          <w:i/>
          <w:sz w:val="24"/>
          <w:szCs w:val="24"/>
        </w:rPr>
        <w:t>Mesorhizobium</w:t>
      </w:r>
      <w:proofErr w:type="spellEnd"/>
      <w:r w:rsidR="007F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5A4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="007F25A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F25A4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7F25A4">
        <w:rPr>
          <w:rFonts w:ascii="Times New Roman" w:hAnsi="Times New Roman" w:cs="Times New Roman"/>
          <w:sz w:val="24"/>
          <w:szCs w:val="24"/>
        </w:rPr>
        <w:t xml:space="preserve"> importancia agroindustrial por tener la capacidad de fijar nitrógeno. </w:t>
      </w:r>
      <w:r w:rsidR="00A66C7D">
        <w:rPr>
          <w:rFonts w:ascii="Times New Roman" w:hAnsi="Times New Roman" w:cs="Times New Roman"/>
          <w:sz w:val="24"/>
          <w:szCs w:val="24"/>
        </w:rPr>
        <w:t xml:space="preserve">Aun cuando es reportado que los microorganismos </w:t>
      </w:r>
      <w:proofErr w:type="spellStart"/>
      <w:r w:rsidR="00A66C7D">
        <w:rPr>
          <w:rFonts w:ascii="Times New Roman" w:hAnsi="Times New Roman" w:cs="Times New Roman"/>
          <w:sz w:val="24"/>
          <w:szCs w:val="24"/>
        </w:rPr>
        <w:t>Gram</w:t>
      </w:r>
      <w:proofErr w:type="spellEnd"/>
      <w:r w:rsidR="00A66C7D">
        <w:rPr>
          <w:rFonts w:ascii="Times New Roman" w:hAnsi="Times New Roman" w:cs="Times New Roman"/>
          <w:sz w:val="24"/>
          <w:szCs w:val="24"/>
        </w:rPr>
        <w:t xml:space="preserve"> positivos tienden a sobrevivir </w:t>
      </w:r>
      <w:r w:rsidR="00064B9B">
        <w:rPr>
          <w:rFonts w:ascii="Times New Roman" w:hAnsi="Times New Roman" w:cs="Times New Roman"/>
          <w:sz w:val="24"/>
          <w:szCs w:val="24"/>
        </w:rPr>
        <w:t>más</w:t>
      </w:r>
      <w:r w:rsidR="00A66C7D">
        <w:rPr>
          <w:rFonts w:ascii="Times New Roman" w:hAnsi="Times New Roman" w:cs="Times New Roman"/>
          <w:sz w:val="24"/>
          <w:szCs w:val="24"/>
        </w:rPr>
        <w:t xml:space="preserve"> </w:t>
      </w:r>
      <w:r w:rsidR="00A66C7D">
        <w:rPr>
          <w:rFonts w:ascii="Times New Roman" w:hAnsi="Times New Roman" w:cs="Times New Roman"/>
          <w:sz w:val="24"/>
          <w:szCs w:val="24"/>
        </w:rPr>
        <w:lastRenderedPageBreak/>
        <w:t xml:space="preserve">los procesos de preservación en </w:t>
      </w:r>
      <w:proofErr w:type="spellStart"/>
      <w:r w:rsidR="00BE711E">
        <w:rPr>
          <w:rFonts w:ascii="Times New Roman" w:hAnsi="Times New Roman" w:cs="Times New Roman"/>
          <w:sz w:val="24"/>
          <w:szCs w:val="24"/>
        </w:rPr>
        <w:t>sílica</w:t>
      </w:r>
      <w:proofErr w:type="spellEnd"/>
      <w:r w:rsidR="00A66C7D">
        <w:rPr>
          <w:rFonts w:ascii="Times New Roman" w:hAnsi="Times New Roman" w:cs="Times New Roman"/>
          <w:sz w:val="24"/>
          <w:szCs w:val="24"/>
        </w:rPr>
        <w:t xml:space="preserve"> gel </w:t>
      </w:r>
      <w:r w:rsidR="00064B9B">
        <w:rPr>
          <w:rFonts w:ascii="Times New Roman" w:hAnsi="Times New Roman" w:cs="Times New Roman"/>
          <w:sz w:val="24"/>
          <w:szCs w:val="24"/>
        </w:rPr>
        <w:t xml:space="preserve">que microorganismos </w:t>
      </w:r>
      <w:proofErr w:type="spellStart"/>
      <w:r w:rsidR="00064B9B">
        <w:rPr>
          <w:rFonts w:ascii="Times New Roman" w:hAnsi="Times New Roman" w:cs="Times New Roman"/>
          <w:sz w:val="24"/>
          <w:szCs w:val="24"/>
        </w:rPr>
        <w:t>Gram</w:t>
      </w:r>
      <w:proofErr w:type="spellEnd"/>
      <w:r w:rsidR="00064B9B">
        <w:rPr>
          <w:rFonts w:ascii="Times New Roman" w:hAnsi="Times New Roman" w:cs="Times New Roman"/>
          <w:sz w:val="24"/>
          <w:szCs w:val="24"/>
        </w:rPr>
        <w:t xml:space="preserve"> negativos (</w:t>
      </w:r>
      <w:proofErr w:type="spellStart"/>
      <w:r w:rsidR="00064B9B">
        <w:rPr>
          <w:rFonts w:ascii="Times New Roman" w:hAnsi="Times New Roman" w:cs="Times New Roman"/>
          <w:sz w:val="24"/>
          <w:szCs w:val="24"/>
        </w:rPr>
        <w:t>Trollope</w:t>
      </w:r>
      <w:proofErr w:type="spellEnd"/>
      <w:r w:rsidR="00064B9B">
        <w:rPr>
          <w:rFonts w:ascii="Times New Roman" w:hAnsi="Times New Roman" w:cs="Times New Roman"/>
          <w:sz w:val="24"/>
          <w:szCs w:val="24"/>
        </w:rPr>
        <w:t xml:space="preserve">, 1975), esto no se </w:t>
      </w:r>
      <w:proofErr w:type="spellStart"/>
      <w:r w:rsidR="00064B9B">
        <w:rPr>
          <w:rFonts w:ascii="Times New Roman" w:hAnsi="Times New Roman" w:cs="Times New Roman"/>
          <w:sz w:val="24"/>
          <w:szCs w:val="24"/>
        </w:rPr>
        <w:t>vi</w:t>
      </w:r>
      <w:r w:rsidR="00AE4610">
        <w:rPr>
          <w:rFonts w:ascii="Times New Roman" w:hAnsi="Times New Roman" w:cs="Times New Roman"/>
          <w:sz w:val="24"/>
          <w:szCs w:val="24"/>
        </w:rPr>
        <w:t>ó</w:t>
      </w:r>
      <w:proofErr w:type="spellEnd"/>
      <w:r w:rsidR="00064B9B">
        <w:rPr>
          <w:rFonts w:ascii="Times New Roman" w:hAnsi="Times New Roman" w:cs="Times New Roman"/>
          <w:sz w:val="24"/>
          <w:szCs w:val="24"/>
        </w:rPr>
        <w:t xml:space="preserve"> reflejado </w:t>
      </w:r>
      <w:r w:rsidR="005E60FB">
        <w:rPr>
          <w:rFonts w:ascii="Times New Roman" w:hAnsi="Times New Roman" w:cs="Times New Roman"/>
          <w:sz w:val="24"/>
          <w:szCs w:val="24"/>
        </w:rPr>
        <w:t xml:space="preserve">en </w:t>
      </w:r>
      <w:r w:rsidR="00064B9B">
        <w:rPr>
          <w:rFonts w:ascii="Times New Roman" w:hAnsi="Times New Roman" w:cs="Times New Roman"/>
          <w:sz w:val="24"/>
          <w:szCs w:val="24"/>
        </w:rPr>
        <w:t xml:space="preserve">este estudio, </w:t>
      </w:r>
      <w:r>
        <w:rPr>
          <w:rFonts w:ascii="Times New Roman" w:hAnsi="Times New Roman" w:cs="Times New Roman"/>
          <w:sz w:val="24"/>
          <w:szCs w:val="24"/>
        </w:rPr>
        <w:t xml:space="preserve"> como se observa en la </w:t>
      </w:r>
      <w:r w:rsidR="001244BF">
        <w:rPr>
          <w:rFonts w:ascii="Times New Roman" w:hAnsi="Times New Roman" w:cs="Times New Roman"/>
          <w:sz w:val="24"/>
          <w:szCs w:val="24"/>
        </w:rPr>
        <w:t>t</w:t>
      </w:r>
      <w:r w:rsidRPr="001244BF">
        <w:rPr>
          <w:rFonts w:ascii="Times New Roman" w:hAnsi="Times New Roman" w:cs="Times New Roman"/>
          <w:sz w:val="24"/>
          <w:szCs w:val="24"/>
        </w:rPr>
        <w:t>abla 2</w:t>
      </w:r>
      <w:r>
        <w:rPr>
          <w:rFonts w:ascii="Times New Roman" w:hAnsi="Times New Roman" w:cs="Times New Roman"/>
          <w:sz w:val="24"/>
          <w:szCs w:val="24"/>
        </w:rPr>
        <w:t xml:space="preserve">, esto </w:t>
      </w:r>
      <w:r w:rsidR="005E60FB">
        <w:rPr>
          <w:rFonts w:ascii="Times New Roman" w:hAnsi="Times New Roman" w:cs="Times New Roman"/>
          <w:sz w:val="24"/>
          <w:szCs w:val="24"/>
        </w:rPr>
        <w:t>se da porque</w:t>
      </w:r>
      <w:r>
        <w:rPr>
          <w:rFonts w:ascii="Times New Roman" w:hAnsi="Times New Roman" w:cs="Times New Roman"/>
          <w:sz w:val="24"/>
          <w:szCs w:val="24"/>
        </w:rPr>
        <w:t xml:space="preserve"> es un material sintético fabricado a partir de silicato sódico</w:t>
      </w:r>
      <w:r w:rsidR="005E60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 compuesto desecante que elimina por completo la humedad y puede afectar la viabilidad celular y al mismo tiempo la actividad. </w:t>
      </w:r>
      <w:r w:rsidR="00064B9B">
        <w:rPr>
          <w:rFonts w:ascii="Times New Roman" w:hAnsi="Times New Roman" w:cs="Times New Roman"/>
          <w:sz w:val="24"/>
          <w:szCs w:val="24"/>
        </w:rPr>
        <w:t xml:space="preserve">Por </w:t>
      </w:r>
      <w:r w:rsidR="006657B4">
        <w:rPr>
          <w:rFonts w:ascii="Times New Roman" w:hAnsi="Times New Roman" w:cs="Times New Roman"/>
          <w:sz w:val="24"/>
          <w:szCs w:val="24"/>
        </w:rPr>
        <w:t>otro</w:t>
      </w:r>
      <w:r w:rsidR="00064B9B">
        <w:rPr>
          <w:rFonts w:ascii="Times New Roman" w:hAnsi="Times New Roman" w:cs="Times New Roman"/>
          <w:sz w:val="24"/>
          <w:szCs w:val="24"/>
        </w:rPr>
        <w:t xml:space="preserve"> lado </w:t>
      </w:r>
      <w:r>
        <w:rPr>
          <w:rFonts w:ascii="Times New Roman" w:hAnsi="Times New Roman" w:cs="Times New Roman"/>
          <w:sz w:val="24"/>
          <w:szCs w:val="24"/>
        </w:rPr>
        <w:t xml:space="preserve"> la arcilla</w:t>
      </w:r>
      <w:r w:rsidR="00064B9B">
        <w:rPr>
          <w:rFonts w:ascii="Times New Roman" w:hAnsi="Times New Roman" w:cs="Times New Roman"/>
          <w:sz w:val="24"/>
          <w:szCs w:val="24"/>
        </w:rPr>
        <w:t xml:space="preserve"> al ser</w:t>
      </w:r>
      <w:r>
        <w:rPr>
          <w:rFonts w:ascii="Times New Roman" w:hAnsi="Times New Roman" w:cs="Times New Roman"/>
          <w:sz w:val="24"/>
          <w:szCs w:val="24"/>
        </w:rPr>
        <w:t xml:space="preserve"> un compuesto natural como la arena, permite la conservación de la viabilidad como se observa en la </w:t>
      </w:r>
      <w:r w:rsidR="001244BF">
        <w:rPr>
          <w:rFonts w:ascii="Times New Roman" w:hAnsi="Times New Roman" w:cs="Times New Roman"/>
          <w:sz w:val="24"/>
          <w:szCs w:val="24"/>
        </w:rPr>
        <w:t>t</w:t>
      </w:r>
      <w:r w:rsidRPr="001244BF">
        <w:rPr>
          <w:rFonts w:ascii="Times New Roman" w:hAnsi="Times New Roman" w:cs="Times New Roman"/>
          <w:sz w:val="24"/>
          <w:szCs w:val="24"/>
        </w:rPr>
        <w:t>abla 2</w:t>
      </w:r>
      <w:r w:rsidR="00AE46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aunque solo dos aislamientos presentaron</w:t>
      </w:r>
      <w:r w:rsidR="006657B4">
        <w:rPr>
          <w:rFonts w:ascii="Times New Roman" w:hAnsi="Times New Roman" w:cs="Times New Roman"/>
          <w:sz w:val="24"/>
          <w:szCs w:val="24"/>
        </w:rPr>
        <w:t xml:space="preserve"> alta </w:t>
      </w:r>
      <w:r>
        <w:rPr>
          <w:rFonts w:ascii="Times New Roman" w:hAnsi="Times New Roman" w:cs="Times New Roman"/>
          <w:sz w:val="24"/>
          <w:szCs w:val="24"/>
        </w:rPr>
        <w:t>afinidad por este método ya que es un compuesto el cual ha cambiado sus propiedades físicas originales</w:t>
      </w:r>
      <w:r w:rsidR="00AE4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 ser sometido a un proceso térmico</w:t>
      </w:r>
      <w:r w:rsidR="00AE46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 que aumenta su porosidad y por lo tanto permit</w:t>
      </w:r>
      <w:r w:rsidR="00DA36E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la conservación</w:t>
      </w:r>
      <w:r w:rsidR="0030717F">
        <w:rPr>
          <w:rFonts w:ascii="Times New Roman" w:hAnsi="Times New Roman" w:cs="Times New Roman"/>
          <w:sz w:val="24"/>
          <w:szCs w:val="24"/>
        </w:rPr>
        <w:t xml:space="preserve"> de</w:t>
      </w:r>
      <w:r w:rsidR="00DA36E5">
        <w:rPr>
          <w:rFonts w:ascii="Times New Roman" w:hAnsi="Times New Roman" w:cs="Times New Roman"/>
          <w:sz w:val="24"/>
          <w:szCs w:val="24"/>
        </w:rPr>
        <w:t>l</w:t>
      </w:r>
      <w:r w:rsidR="0030717F">
        <w:rPr>
          <w:rFonts w:ascii="Times New Roman" w:hAnsi="Times New Roman" w:cs="Times New Roman"/>
          <w:sz w:val="24"/>
          <w:szCs w:val="24"/>
        </w:rPr>
        <w:t xml:space="preserve"> </w:t>
      </w:r>
      <w:r w:rsidR="00D24903">
        <w:rPr>
          <w:rFonts w:ascii="Times New Roman" w:hAnsi="Times New Roman" w:cs="Times New Roman"/>
          <w:sz w:val="24"/>
          <w:szCs w:val="24"/>
        </w:rPr>
        <w:t>microorganismo</w:t>
      </w:r>
      <w:r>
        <w:rPr>
          <w:rFonts w:ascii="Times New Roman" w:hAnsi="Times New Roman" w:cs="Times New Roman"/>
          <w:sz w:val="24"/>
          <w:szCs w:val="24"/>
        </w:rPr>
        <w:t xml:space="preserve"> en dicha matriz</w:t>
      </w:r>
      <w:r w:rsidR="0030717F">
        <w:rPr>
          <w:rFonts w:ascii="Times New Roman" w:hAnsi="Times New Roman" w:cs="Times New Roman"/>
          <w:sz w:val="24"/>
          <w:szCs w:val="24"/>
        </w:rPr>
        <w:t>.</w:t>
      </w:r>
    </w:p>
    <w:p w:rsidR="00F646D3" w:rsidRDefault="00F646D3" w:rsidP="00343920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  <w:sectPr w:rsidR="00F646D3" w:rsidSect="00F27A57">
          <w:type w:val="continuous"/>
          <w:pgSz w:w="12240" w:h="15840"/>
          <w:pgMar w:top="1440" w:right="1080" w:bottom="1440" w:left="1080" w:header="709" w:footer="709" w:gutter="0"/>
          <w:cols w:space="708"/>
          <w:docGrid w:linePitch="360"/>
        </w:sectPr>
      </w:pPr>
    </w:p>
    <w:p w:rsidR="00BA51FF" w:rsidRDefault="00EC2100" w:rsidP="00343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</w:t>
      </w:r>
      <w:r w:rsidR="00C252EE">
        <w:rPr>
          <w:rFonts w:ascii="Times New Roman" w:hAnsi="Times New Roman" w:cs="Times New Roman"/>
          <w:sz w:val="24"/>
          <w:szCs w:val="24"/>
        </w:rPr>
        <w:t xml:space="preserve"> análisis de costos determinó que e</w:t>
      </w:r>
      <w:r w:rsidR="00837167">
        <w:rPr>
          <w:rFonts w:ascii="Times New Roman" w:hAnsi="Times New Roman" w:cs="Times New Roman"/>
          <w:sz w:val="24"/>
          <w:szCs w:val="24"/>
        </w:rPr>
        <w:t>l método de glicerol al 20% correspondiente a largo plazo y arcilla de mediano plazo, fueron los métodos más económicos de cada uno de los tiempos evaluados, aunque no presentaron los mejores resultados de viabilidad y actividad solubilizadora, la concentración de fósforo soluble no disminuyó más del 32%, lo que permite inferir que los métodos evaluados son eficaces y su elección se debe realizar según el interés que se tenga al momento de llevar a cabo la conservación.</w:t>
      </w:r>
    </w:p>
    <w:p w:rsidR="0060624E" w:rsidRDefault="0060624E" w:rsidP="0083716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CONCLUSIÓN</w:t>
      </w:r>
    </w:p>
    <w:p w:rsidR="0060624E" w:rsidRPr="0060624E" w:rsidRDefault="0043478F" w:rsidP="00D249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Aun cuando los métodos de liofilización fueron muy efectivos en este estudio y son a su vez recomendados por “</w:t>
      </w:r>
      <w:proofErr w:type="spellStart"/>
      <w:r w:rsidR="00DA36E5">
        <w:rPr>
          <w:rFonts w:ascii="Times New Roman" w:hAnsi="Times New Roman" w:cs="Times New Roman"/>
          <w:sz w:val="24"/>
          <w:szCs w:val="24"/>
        </w:rPr>
        <w:t>T</w:t>
      </w:r>
      <w:r w:rsidRPr="0043478F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43478F">
        <w:rPr>
          <w:rFonts w:ascii="Times New Roman" w:hAnsi="Times New Roman" w:cs="Times New Roman"/>
          <w:sz w:val="24"/>
          <w:szCs w:val="24"/>
        </w:rPr>
        <w:t xml:space="preserve"> Amer</w:t>
      </w:r>
      <w:r>
        <w:rPr>
          <w:rFonts w:ascii="Times New Roman" w:hAnsi="Times New Roman" w:cs="Times New Roman"/>
          <w:sz w:val="24"/>
          <w:szCs w:val="24"/>
        </w:rPr>
        <w:t xml:space="preserve">ican </w:t>
      </w:r>
      <w:proofErr w:type="spellStart"/>
      <w:r>
        <w:rPr>
          <w:rFonts w:ascii="Times New Roman" w:hAnsi="Times New Roman" w:cs="Times New Roman"/>
          <w:sz w:val="24"/>
          <w:szCs w:val="24"/>
        </w:rPr>
        <w:t>Type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o autores como </w:t>
      </w:r>
      <w:proofErr w:type="spellStart"/>
      <w:r>
        <w:rPr>
          <w:rFonts w:ascii="Times New Roman" w:hAnsi="Times New Roman" w:cs="Times New Roman"/>
          <w:sz w:val="24"/>
          <w:szCs w:val="24"/>
        </w:rPr>
        <w:t>Yocheva</w:t>
      </w:r>
      <w:proofErr w:type="spellEnd"/>
      <w:r w:rsidR="00D24903">
        <w:rPr>
          <w:rFonts w:ascii="Times New Roman" w:hAnsi="Times New Roman" w:cs="Times New Roman"/>
          <w:sz w:val="24"/>
          <w:szCs w:val="24"/>
        </w:rPr>
        <w:t xml:space="preserve"> </w:t>
      </w:r>
      <w:r w:rsidRPr="001244BF">
        <w:rPr>
          <w:rFonts w:ascii="Times New Roman" w:hAnsi="Times New Roman" w:cs="Times New Roman"/>
          <w:i/>
          <w:sz w:val="24"/>
          <w:szCs w:val="24"/>
        </w:rPr>
        <w:t>et al.</w:t>
      </w:r>
      <w:r w:rsidR="001244BF" w:rsidRPr="001244B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2002,</w:t>
      </w:r>
      <w:r w:rsidRPr="00434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los resultados de este estudio</w:t>
      </w:r>
      <w:r w:rsidR="00606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concluyen</w:t>
      </w:r>
      <w:r w:rsidR="0060624E">
        <w:rPr>
          <w:rFonts w:ascii="Times New Roman" w:hAnsi="Times New Roman" w:cs="Times New Roman"/>
          <w:sz w:val="24"/>
          <w:szCs w:val="24"/>
        </w:rPr>
        <w:t xml:space="preserve"> que los métodos de conservación más </w:t>
      </w:r>
      <w:r w:rsidR="00B6267D">
        <w:rPr>
          <w:rFonts w:ascii="Times New Roman" w:hAnsi="Times New Roman" w:cs="Times New Roman"/>
          <w:sz w:val="24"/>
          <w:szCs w:val="24"/>
        </w:rPr>
        <w:t>eficientes</w:t>
      </w:r>
      <w:r w:rsidR="0060624E">
        <w:rPr>
          <w:rFonts w:ascii="Times New Roman" w:hAnsi="Times New Roman" w:cs="Times New Roman"/>
          <w:sz w:val="24"/>
          <w:szCs w:val="24"/>
        </w:rPr>
        <w:t xml:space="preserve"> en general para la conservación de </w:t>
      </w:r>
      <w:proofErr w:type="spellStart"/>
      <w:r w:rsidR="0060624E">
        <w:rPr>
          <w:rFonts w:ascii="Times New Roman" w:hAnsi="Times New Roman" w:cs="Times New Roman"/>
          <w:sz w:val="24"/>
          <w:szCs w:val="24"/>
        </w:rPr>
        <w:t>actinobacterias</w:t>
      </w:r>
      <w:proofErr w:type="spellEnd"/>
      <w:r w:rsidR="0060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24E">
        <w:rPr>
          <w:rFonts w:ascii="Times New Roman" w:hAnsi="Times New Roman" w:cs="Times New Roman"/>
          <w:sz w:val="24"/>
          <w:szCs w:val="24"/>
        </w:rPr>
        <w:t>solubilizadoras</w:t>
      </w:r>
      <w:proofErr w:type="spellEnd"/>
      <w:r w:rsidR="0060624E">
        <w:rPr>
          <w:rFonts w:ascii="Times New Roman" w:hAnsi="Times New Roman" w:cs="Times New Roman"/>
          <w:sz w:val="24"/>
          <w:szCs w:val="24"/>
        </w:rPr>
        <w:t xml:space="preserve"> de fósforo fueron</w:t>
      </w:r>
      <w:r w:rsidR="008966C9">
        <w:rPr>
          <w:rFonts w:ascii="Times New Roman" w:hAnsi="Times New Roman" w:cs="Times New Roman"/>
          <w:sz w:val="24"/>
          <w:szCs w:val="24"/>
        </w:rPr>
        <w:t xml:space="preserve"> los de</w:t>
      </w:r>
      <w:r w:rsidR="00B62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635">
        <w:rPr>
          <w:rFonts w:ascii="Times New Roman" w:hAnsi="Times New Roman" w:cs="Times New Roman"/>
          <w:sz w:val="24"/>
          <w:szCs w:val="24"/>
        </w:rPr>
        <w:t>crioconservación</w:t>
      </w:r>
      <w:proofErr w:type="spellEnd"/>
      <w:r w:rsidR="00B6267D">
        <w:rPr>
          <w:rFonts w:ascii="Times New Roman" w:hAnsi="Times New Roman" w:cs="Times New Roman"/>
          <w:sz w:val="24"/>
          <w:szCs w:val="24"/>
        </w:rPr>
        <w:t xml:space="preserve"> con</w:t>
      </w:r>
      <w:r w:rsidR="0060624E">
        <w:rPr>
          <w:rFonts w:ascii="Times New Roman" w:hAnsi="Times New Roman" w:cs="Times New Roman"/>
          <w:sz w:val="24"/>
          <w:szCs w:val="24"/>
        </w:rPr>
        <w:t xml:space="preserve"> glicerol</w:t>
      </w:r>
      <w:r w:rsidR="00B6267D">
        <w:rPr>
          <w:rFonts w:ascii="Times New Roman" w:hAnsi="Times New Roman" w:cs="Times New Roman"/>
          <w:sz w:val="24"/>
          <w:szCs w:val="24"/>
        </w:rPr>
        <w:t xml:space="preserve"> al</w:t>
      </w:r>
      <w:r w:rsidR="0060624E">
        <w:rPr>
          <w:rFonts w:ascii="Times New Roman" w:hAnsi="Times New Roman" w:cs="Times New Roman"/>
          <w:sz w:val="24"/>
          <w:szCs w:val="24"/>
        </w:rPr>
        <w:t xml:space="preserve"> </w:t>
      </w:r>
      <w:r w:rsidR="00A83BD3">
        <w:rPr>
          <w:rFonts w:ascii="Times New Roman" w:hAnsi="Times New Roman" w:cs="Times New Roman"/>
          <w:sz w:val="24"/>
          <w:szCs w:val="24"/>
        </w:rPr>
        <w:t>3</w:t>
      </w:r>
      <w:r w:rsidR="0060624E">
        <w:rPr>
          <w:rFonts w:ascii="Times New Roman" w:hAnsi="Times New Roman" w:cs="Times New Roman"/>
          <w:sz w:val="24"/>
          <w:szCs w:val="24"/>
        </w:rPr>
        <w:t>0%</w:t>
      </w:r>
      <w:r w:rsidR="00B6267D">
        <w:rPr>
          <w:rFonts w:ascii="Times New Roman" w:hAnsi="Times New Roman" w:cs="Times New Roman"/>
          <w:sz w:val="24"/>
          <w:szCs w:val="24"/>
        </w:rPr>
        <w:t xml:space="preserve">, el uso de este método de </w:t>
      </w:r>
      <w:proofErr w:type="spellStart"/>
      <w:r w:rsidR="00B6267D">
        <w:rPr>
          <w:rFonts w:ascii="Times New Roman" w:hAnsi="Times New Roman" w:cs="Times New Roman"/>
          <w:sz w:val="24"/>
          <w:szCs w:val="24"/>
        </w:rPr>
        <w:t>crioconservaci</w:t>
      </w:r>
      <w:r w:rsidR="00B13635">
        <w:rPr>
          <w:rFonts w:ascii="Times New Roman" w:hAnsi="Times New Roman" w:cs="Times New Roman"/>
          <w:sz w:val="24"/>
          <w:szCs w:val="24"/>
        </w:rPr>
        <w:t>ó</w:t>
      </w:r>
      <w:r w:rsidR="00B6267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6267D">
        <w:rPr>
          <w:rFonts w:ascii="Times New Roman" w:hAnsi="Times New Roman" w:cs="Times New Roman"/>
          <w:sz w:val="24"/>
          <w:szCs w:val="24"/>
        </w:rPr>
        <w:t xml:space="preserve"> </w:t>
      </w:r>
      <w:r w:rsidR="008966C9">
        <w:rPr>
          <w:rFonts w:ascii="Times New Roman" w:hAnsi="Times New Roman" w:cs="Times New Roman"/>
          <w:sz w:val="24"/>
          <w:szCs w:val="24"/>
        </w:rPr>
        <w:t xml:space="preserve">es </w:t>
      </w:r>
      <w:r w:rsidR="00B13635">
        <w:rPr>
          <w:rFonts w:ascii="Times New Roman" w:hAnsi="Times New Roman" w:cs="Times New Roman"/>
          <w:sz w:val="24"/>
          <w:szCs w:val="24"/>
        </w:rPr>
        <w:t>rápido</w:t>
      </w:r>
      <w:r w:rsidR="00B6267D">
        <w:rPr>
          <w:rFonts w:ascii="Times New Roman" w:hAnsi="Times New Roman" w:cs="Times New Roman"/>
          <w:sz w:val="24"/>
          <w:szCs w:val="24"/>
        </w:rPr>
        <w:t xml:space="preserve">, de bajo costo y apropiado para largos periodos de </w:t>
      </w:r>
      <w:r w:rsidR="008966C9">
        <w:rPr>
          <w:rFonts w:ascii="Times New Roman" w:hAnsi="Times New Roman" w:cs="Times New Roman"/>
          <w:sz w:val="24"/>
          <w:szCs w:val="24"/>
        </w:rPr>
        <w:t>conservación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66C9">
        <w:rPr>
          <w:rFonts w:ascii="Times New Roman" w:hAnsi="Times New Roman" w:cs="Times New Roman"/>
          <w:sz w:val="24"/>
          <w:szCs w:val="24"/>
        </w:rPr>
        <w:t xml:space="preserve"> lo cual coincide </w:t>
      </w:r>
      <w:r w:rsidR="00DA36E5">
        <w:rPr>
          <w:rFonts w:ascii="Times New Roman" w:hAnsi="Times New Roman" w:cs="Times New Roman"/>
          <w:sz w:val="24"/>
          <w:szCs w:val="24"/>
        </w:rPr>
        <w:t>con</w:t>
      </w:r>
      <w:r w:rsidR="008966C9">
        <w:rPr>
          <w:rFonts w:ascii="Times New Roman" w:hAnsi="Times New Roman" w:cs="Times New Roman"/>
          <w:sz w:val="24"/>
          <w:szCs w:val="24"/>
        </w:rPr>
        <w:t xml:space="preserve"> lo reportado por </w:t>
      </w:r>
      <w:proofErr w:type="spellStart"/>
      <w:r w:rsidR="008966C9" w:rsidRPr="008966C9">
        <w:rPr>
          <w:rFonts w:ascii="Times New Roman" w:hAnsi="Times New Roman" w:cs="Times New Roman"/>
          <w:sz w:val="24"/>
          <w:szCs w:val="24"/>
        </w:rPr>
        <w:t>Rifaat</w:t>
      </w:r>
      <w:proofErr w:type="spellEnd"/>
      <w:r w:rsidR="008966C9">
        <w:rPr>
          <w:rFonts w:ascii="Times New Roman" w:hAnsi="Times New Roman" w:cs="Times New Roman"/>
          <w:sz w:val="24"/>
          <w:szCs w:val="24"/>
        </w:rPr>
        <w:t xml:space="preserve"> (2009).Por otro lado el método </w:t>
      </w:r>
      <w:r w:rsidR="0060624E">
        <w:rPr>
          <w:rFonts w:ascii="Times New Roman" w:hAnsi="Times New Roman" w:cs="Times New Roman"/>
          <w:sz w:val="24"/>
          <w:szCs w:val="24"/>
        </w:rPr>
        <w:t xml:space="preserve"> con arena</w:t>
      </w:r>
      <w:r w:rsidR="00B13635">
        <w:rPr>
          <w:rFonts w:ascii="Times New Roman" w:hAnsi="Times New Roman" w:cs="Times New Roman"/>
          <w:sz w:val="24"/>
          <w:szCs w:val="24"/>
        </w:rPr>
        <w:t xml:space="preserve"> </w:t>
      </w:r>
      <w:r w:rsidR="008966C9">
        <w:rPr>
          <w:rFonts w:ascii="Times New Roman" w:hAnsi="Times New Roman" w:cs="Times New Roman"/>
          <w:sz w:val="24"/>
          <w:szCs w:val="24"/>
        </w:rPr>
        <w:t>arroj</w:t>
      </w:r>
      <w:r w:rsidR="00B13635">
        <w:rPr>
          <w:rFonts w:ascii="Times New Roman" w:hAnsi="Times New Roman" w:cs="Times New Roman"/>
          <w:sz w:val="24"/>
          <w:szCs w:val="24"/>
        </w:rPr>
        <w:t>ó</w:t>
      </w:r>
      <w:r w:rsidR="008966C9">
        <w:rPr>
          <w:rFonts w:ascii="Times New Roman" w:hAnsi="Times New Roman" w:cs="Times New Roman"/>
          <w:sz w:val="24"/>
          <w:szCs w:val="24"/>
        </w:rPr>
        <w:t xml:space="preserve"> los mejores </w:t>
      </w:r>
      <w:r w:rsidR="00CF68B3">
        <w:rPr>
          <w:rFonts w:ascii="Times New Roman" w:hAnsi="Times New Roman" w:cs="Times New Roman"/>
          <w:sz w:val="24"/>
          <w:szCs w:val="24"/>
        </w:rPr>
        <w:t>resultados</w:t>
      </w:r>
      <w:r w:rsidR="008966C9">
        <w:rPr>
          <w:rFonts w:ascii="Times New Roman" w:hAnsi="Times New Roman" w:cs="Times New Roman"/>
          <w:sz w:val="24"/>
          <w:szCs w:val="24"/>
        </w:rPr>
        <w:t xml:space="preserve"> en cuanto a viabilida</w:t>
      </w:r>
      <w:r w:rsidR="00CF68B3">
        <w:rPr>
          <w:rFonts w:ascii="Times New Roman" w:hAnsi="Times New Roman" w:cs="Times New Roman"/>
          <w:sz w:val="24"/>
          <w:szCs w:val="24"/>
        </w:rPr>
        <w:t>d,</w:t>
      </w:r>
      <w:r w:rsidR="008966C9">
        <w:rPr>
          <w:rFonts w:ascii="Times New Roman" w:hAnsi="Times New Roman" w:cs="Times New Roman"/>
          <w:sz w:val="24"/>
          <w:szCs w:val="24"/>
        </w:rPr>
        <w:t xml:space="preserve"> mantenimiento de la actividad</w:t>
      </w:r>
      <w:r w:rsidR="00CF68B3">
        <w:rPr>
          <w:rFonts w:ascii="Times New Roman" w:hAnsi="Times New Roman" w:cs="Times New Roman"/>
          <w:sz w:val="24"/>
          <w:szCs w:val="24"/>
        </w:rPr>
        <w:t xml:space="preserve"> y costo</w:t>
      </w:r>
      <w:r>
        <w:rPr>
          <w:rFonts w:ascii="Times New Roman" w:hAnsi="Times New Roman" w:cs="Times New Roman"/>
          <w:sz w:val="24"/>
          <w:szCs w:val="24"/>
        </w:rPr>
        <w:t xml:space="preserve"> siendo ideal para usar en el momento de estar trabajando de manera activa con algún aislamiento en particular</w:t>
      </w:r>
      <w:r w:rsidR="008966C9">
        <w:rPr>
          <w:rFonts w:ascii="Times New Roman" w:hAnsi="Times New Roman" w:cs="Times New Roman"/>
          <w:sz w:val="24"/>
          <w:szCs w:val="24"/>
        </w:rPr>
        <w:t>.</w:t>
      </w:r>
      <w:r w:rsidR="0060624E">
        <w:rPr>
          <w:rFonts w:ascii="Times New Roman" w:hAnsi="Times New Roman" w:cs="Times New Roman"/>
          <w:sz w:val="24"/>
          <w:szCs w:val="24"/>
        </w:rPr>
        <w:t xml:space="preserve"> </w:t>
      </w:r>
      <w:r w:rsidR="008966C9">
        <w:rPr>
          <w:rFonts w:ascii="Times New Roman" w:hAnsi="Times New Roman" w:cs="Times New Roman"/>
          <w:sz w:val="24"/>
          <w:szCs w:val="24"/>
        </w:rPr>
        <w:t>S</w:t>
      </w:r>
      <w:r w:rsidR="0060624E">
        <w:rPr>
          <w:rFonts w:ascii="Times New Roman" w:hAnsi="Times New Roman" w:cs="Times New Roman"/>
          <w:sz w:val="24"/>
          <w:szCs w:val="24"/>
        </w:rPr>
        <w:t>in embargo se logró evidenciar que no todos los microorganismos se conservan manteniendo las respectivas cualidades evaluadas de la misma manera, por lo cual se sugiere</w:t>
      </w:r>
      <w:r w:rsidR="008966C9">
        <w:rPr>
          <w:rFonts w:ascii="Times New Roman" w:hAnsi="Times New Roman" w:cs="Times New Roman"/>
          <w:sz w:val="24"/>
          <w:szCs w:val="24"/>
        </w:rPr>
        <w:t xml:space="preserve"> de ser posible</w:t>
      </w:r>
      <w:r w:rsidR="00DA36E5">
        <w:rPr>
          <w:rFonts w:ascii="Times New Roman" w:hAnsi="Times New Roman" w:cs="Times New Roman"/>
          <w:sz w:val="24"/>
          <w:szCs w:val="24"/>
        </w:rPr>
        <w:t>,</w:t>
      </w:r>
      <w:r w:rsidR="0060624E">
        <w:rPr>
          <w:rFonts w:ascii="Times New Roman" w:hAnsi="Times New Roman" w:cs="Times New Roman"/>
          <w:sz w:val="24"/>
          <w:szCs w:val="24"/>
        </w:rPr>
        <w:t xml:space="preserve"> conservar cada microorganismo con el método que preserve dichas cualidades de interés de la forma más efectiva.</w:t>
      </w:r>
    </w:p>
    <w:p w:rsidR="00837167" w:rsidRDefault="001244BF" w:rsidP="0083716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REFERENCIAS BIBLIOGRÁFICAS</w:t>
      </w:r>
    </w:p>
    <w:p w:rsidR="006A3981" w:rsidRPr="00BE711E" w:rsidRDefault="00266895" w:rsidP="006E5E6B">
      <w:pPr>
        <w:pStyle w:val="NormalWeb"/>
        <w:ind w:left="450" w:hanging="450"/>
        <w:jc w:val="both"/>
        <w:rPr>
          <w:color w:val="000000"/>
          <w:lang w:val="en-US"/>
        </w:rPr>
      </w:pPr>
      <w:r w:rsidRPr="00BE711E">
        <w:rPr>
          <w:color w:val="222222"/>
          <w:shd w:val="clear" w:color="auto" w:fill="FFFFFF"/>
        </w:rPr>
        <w:t>Álvarez</w:t>
      </w:r>
      <w:r w:rsidR="006A3981" w:rsidRPr="00BE711E">
        <w:rPr>
          <w:color w:val="222222"/>
          <w:shd w:val="clear" w:color="auto" w:fill="FFFFFF"/>
        </w:rPr>
        <w:t xml:space="preserve">, G. S., </w:t>
      </w:r>
      <w:proofErr w:type="spellStart"/>
      <w:r w:rsidR="006A3981" w:rsidRPr="00BE711E">
        <w:rPr>
          <w:color w:val="222222"/>
          <w:shd w:val="clear" w:color="auto" w:fill="FFFFFF"/>
        </w:rPr>
        <w:t>Pieckenstain</w:t>
      </w:r>
      <w:proofErr w:type="spellEnd"/>
      <w:r w:rsidR="006A3981" w:rsidRPr="00BE711E">
        <w:rPr>
          <w:color w:val="222222"/>
          <w:shd w:val="clear" w:color="auto" w:fill="FFFFFF"/>
        </w:rPr>
        <w:t xml:space="preserve">, F. L., </w:t>
      </w:r>
      <w:proofErr w:type="spellStart"/>
      <w:r w:rsidR="006A3981" w:rsidRPr="00BE711E">
        <w:rPr>
          <w:color w:val="222222"/>
          <w:shd w:val="clear" w:color="auto" w:fill="FFFFFF"/>
        </w:rPr>
        <w:t>Desimone</w:t>
      </w:r>
      <w:proofErr w:type="spellEnd"/>
      <w:r w:rsidR="006A3981" w:rsidRPr="00BE711E">
        <w:rPr>
          <w:color w:val="222222"/>
          <w:shd w:val="clear" w:color="auto" w:fill="FFFFFF"/>
        </w:rPr>
        <w:t xml:space="preserve">, M. F., Estrella, M. J., Ruiz, O. A., &amp; </w:t>
      </w:r>
      <w:r w:rsidRPr="00BE711E">
        <w:rPr>
          <w:color w:val="222222"/>
          <w:shd w:val="clear" w:color="auto" w:fill="FFFFFF"/>
        </w:rPr>
        <w:t>Díaz</w:t>
      </w:r>
      <w:r w:rsidR="006A3981" w:rsidRPr="00BE711E">
        <w:rPr>
          <w:color w:val="222222"/>
          <w:shd w:val="clear" w:color="auto" w:fill="FFFFFF"/>
        </w:rPr>
        <w:t xml:space="preserve">, L. E. (2010). </w:t>
      </w:r>
      <w:proofErr w:type="gramStart"/>
      <w:r w:rsidR="006A3981" w:rsidRPr="00BE711E">
        <w:rPr>
          <w:color w:val="222222"/>
          <w:shd w:val="clear" w:color="auto" w:fill="FFFFFF"/>
          <w:lang w:val="en-US"/>
        </w:rPr>
        <w:t xml:space="preserve">Evaluation of Sol-Gel Silica Matrices as </w:t>
      </w:r>
      <w:proofErr w:type="spellStart"/>
      <w:r w:rsidR="006A3981" w:rsidRPr="00BE711E">
        <w:rPr>
          <w:color w:val="222222"/>
          <w:shd w:val="clear" w:color="auto" w:fill="FFFFFF"/>
          <w:lang w:val="en-US"/>
        </w:rPr>
        <w:t>Inoculant</w:t>
      </w:r>
      <w:proofErr w:type="spellEnd"/>
      <w:r w:rsidR="006A3981" w:rsidRPr="00BE711E">
        <w:rPr>
          <w:color w:val="222222"/>
          <w:shd w:val="clear" w:color="auto" w:fill="FFFFFF"/>
          <w:lang w:val="en-US"/>
        </w:rPr>
        <w:t xml:space="preserve"> Carriers for </w:t>
      </w:r>
      <w:proofErr w:type="spellStart"/>
      <w:r w:rsidR="006A3981" w:rsidRPr="00BE711E">
        <w:rPr>
          <w:color w:val="222222"/>
          <w:shd w:val="clear" w:color="auto" w:fill="FFFFFF"/>
          <w:lang w:val="en-US"/>
        </w:rPr>
        <w:t>Mesorhizobium</w:t>
      </w:r>
      <w:proofErr w:type="spellEnd"/>
      <w:r w:rsidR="006A3981" w:rsidRPr="00BE711E">
        <w:rPr>
          <w:color w:val="222222"/>
          <w:shd w:val="clear" w:color="auto" w:fill="FFFFFF"/>
          <w:lang w:val="en-US"/>
        </w:rPr>
        <w:t xml:space="preserve"> Spp. Cells.</w:t>
      </w:r>
      <w:proofErr w:type="gramEnd"/>
      <w:r w:rsidR="006A3981" w:rsidRPr="00BE711E">
        <w:rPr>
          <w:rStyle w:val="apple-converted-space"/>
          <w:color w:val="222222"/>
          <w:shd w:val="clear" w:color="auto" w:fill="FFFFFF"/>
          <w:lang w:val="en-US"/>
        </w:rPr>
        <w:t> </w:t>
      </w:r>
      <w:proofErr w:type="gramStart"/>
      <w:r w:rsidR="006A3981" w:rsidRPr="00BE711E">
        <w:rPr>
          <w:i/>
          <w:iCs/>
          <w:color w:val="222222"/>
          <w:shd w:val="clear" w:color="auto" w:fill="FFFFFF"/>
          <w:lang w:val="en-US"/>
        </w:rPr>
        <w:t xml:space="preserve">Current Research, Technology and Education Topics in Applied Microbiology and Microbial Biotechnology, ed. </w:t>
      </w:r>
      <w:r w:rsidR="006A3981" w:rsidRPr="008B0A58">
        <w:rPr>
          <w:i/>
          <w:iCs/>
          <w:color w:val="222222"/>
          <w:shd w:val="clear" w:color="auto" w:fill="FFFFFF"/>
          <w:lang w:val="en-US"/>
        </w:rPr>
        <w:t xml:space="preserve">A. Mendez-Vilas, </w:t>
      </w:r>
      <w:proofErr w:type="spellStart"/>
      <w:r w:rsidR="006A3981" w:rsidRPr="008B0A58">
        <w:rPr>
          <w:i/>
          <w:iCs/>
          <w:color w:val="222222"/>
          <w:shd w:val="clear" w:color="auto" w:fill="FFFFFF"/>
          <w:lang w:val="en-US"/>
        </w:rPr>
        <w:t>Formatex</w:t>
      </w:r>
      <w:proofErr w:type="spellEnd"/>
      <w:r w:rsidR="006A3981" w:rsidRPr="008B0A58">
        <w:rPr>
          <w:color w:val="222222"/>
          <w:shd w:val="clear" w:color="auto" w:fill="FFFFFF"/>
          <w:lang w:val="en-US"/>
        </w:rPr>
        <w:t>.</w:t>
      </w:r>
      <w:proofErr w:type="gramEnd"/>
    </w:p>
    <w:p w:rsidR="00FD1F0C" w:rsidRPr="00FD1F0C" w:rsidRDefault="00FD1F0C" w:rsidP="006E5E6B">
      <w:pPr>
        <w:pStyle w:val="NormalWeb"/>
        <w:ind w:left="450" w:hanging="450"/>
        <w:jc w:val="both"/>
        <w:rPr>
          <w:color w:val="000000"/>
          <w:lang w:val="en-US"/>
        </w:rPr>
      </w:pPr>
      <w:proofErr w:type="gramStart"/>
      <w:r w:rsidRPr="00FD1F0C">
        <w:rPr>
          <w:color w:val="000000"/>
          <w:lang w:val="en-US"/>
        </w:rPr>
        <w:t xml:space="preserve">Birch, A., </w:t>
      </w:r>
      <w:proofErr w:type="spellStart"/>
      <w:r w:rsidRPr="00FD1F0C">
        <w:rPr>
          <w:color w:val="000000"/>
          <w:lang w:val="en-US"/>
        </w:rPr>
        <w:t>Häusler</w:t>
      </w:r>
      <w:proofErr w:type="spellEnd"/>
      <w:r w:rsidRPr="00FD1F0C">
        <w:rPr>
          <w:color w:val="000000"/>
          <w:lang w:val="en-US"/>
        </w:rPr>
        <w:t>, A.</w:t>
      </w:r>
      <w:r w:rsidR="00A7623D">
        <w:rPr>
          <w:color w:val="000000"/>
          <w:lang w:val="en-US"/>
        </w:rPr>
        <w:t>,</w:t>
      </w:r>
      <w:r w:rsidRPr="00FD1F0C">
        <w:rPr>
          <w:color w:val="000000"/>
          <w:lang w:val="en-US"/>
        </w:rPr>
        <w:t xml:space="preserve"> &amp; </w:t>
      </w:r>
      <w:proofErr w:type="spellStart"/>
      <w:r w:rsidRPr="00FD1F0C">
        <w:rPr>
          <w:color w:val="000000"/>
          <w:lang w:val="en-US"/>
        </w:rPr>
        <w:t>Hütter</w:t>
      </w:r>
      <w:proofErr w:type="spellEnd"/>
      <w:r w:rsidRPr="00FD1F0C">
        <w:rPr>
          <w:color w:val="000000"/>
          <w:lang w:val="en-US"/>
        </w:rPr>
        <w:t xml:space="preserve">, R. </w:t>
      </w:r>
      <w:r>
        <w:rPr>
          <w:color w:val="000000"/>
          <w:lang w:val="en-US"/>
        </w:rPr>
        <w:t>(1990).</w:t>
      </w:r>
      <w:proofErr w:type="gramEnd"/>
      <w:r>
        <w:rPr>
          <w:color w:val="000000"/>
          <w:lang w:val="en-US"/>
        </w:rPr>
        <w:t xml:space="preserve"> Genome Rearrangement and Genetic Instability in </w:t>
      </w:r>
      <w:proofErr w:type="spellStart"/>
      <w:r>
        <w:rPr>
          <w:i/>
          <w:color w:val="000000"/>
          <w:lang w:val="en-US"/>
        </w:rPr>
        <w:t>Streptomyces</w:t>
      </w:r>
      <w:proofErr w:type="spellEnd"/>
      <w:r>
        <w:rPr>
          <w:i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spp. </w:t>
      </w:r>
      <w:r>
        <w:rPr>
          <w:i/>
          <w:color w:val="000000"/>
          <w:lang w:val="en-US"/>
        </w:rPr>
        <w:t>Journal of Bacteriology,</w:t>
      </w:r>
      <w:r w:rsidR="00750FA9">
        <w:rPr>
          <w:i/>
          <w:color w:val="000000"/>
          <w:lang w:val="en-US"/>
        </w:rPr>
        <w:t xml:space="preserve"> </w:t>
      </w:r>
      <w:r w:rsidRPr="001244BF">
        <w:rPr>
          <w:i/>
          <w:color w:val="000000"/>
          <w:lang w:val="en-US"/>
        </w:rPr>
        <w:t>172</w:t>
      </w:r>
      <w:r>
        <w:rPr>
          <w:color w:val="000000"/>
          <w:lang w:val="en-US"/>
        </w:rPr>
        <w:t>(8), 4138-4142</w:t>
      </w:r>
    </w:p>
    <w:p w:rsidR="006E5E6B" w:rsidRPr="00BA5B81" w:rsidRDefault="006E5E6B" w:rsidP="006E5E6B">
      <w:pPr>
        <w:pStyle w:val="NormalWeb"/>
        <w:ind w:left="450" w:hanging="450"/>
        <w:jc w:val="both"/>
        <w:rPr>
          <w:color w:val="000000"/>
          <w:lang w:val="en-US"/>
        </w:rPr>
      </w:pPr>
      <w:proofErr w:type="spellStart"/>
      <w:proofErr w:type="gramStart"/>
      <w:r w:rsidRPr="00FD1F0C">
        <w:rPr>
          <w:color w:val="000000"/>
          <w:lang w:val="en-US"/>
        </w:rPr>
        <w:t>Bozoǧlu</w:t>
      </w:r>
      <w:proofErr w:type="spellEnd"/>
      <w:r w:rsidRPr="00FD1F0C">
        <w:rPr>
          <w:color w:val="000000"/>
          <w:lang w:val="en-US"/>
        </w:rPr>
        <w:t xml:space="preserve">, T., </w:t>
      </w:r>
      <w:proofErr w:type="spellStart"/>
      <w:r w:rsidRPr="00FD1F0C">
        <w:rPr>
          <w:color w:val="000000"/>
          <w:lang w:val="en-US"/>
        </w:rPr>
        <w:t>Özilgen</w:t>
      </w:r>
      <w:proofErr w:type="spellEnd"/>
      <w:r w:rsidRPr="00FD1F0C">
        <w:rPr>
          <w:color w:val="000000"/>
          <w:lang w:val="en-US"/>
        </w:rPr>
        <w:t xml:space="preserve">, M., &amp; </w:t>
      </w:r>
      <w:proofErr w:type="spellStart"/>
      <w:r w:rsidRPr="00FD1F0C">
        <w:rPr>
          <w:color w:val="000000"/>
          <w:lang w:val="en-US"/>
        </w:rPr>
        <w:t>Bakir</w:t>
      </w:r>
      <w:proofErr w:type="spellEnd"/>
      <w:r w:rsidRPr="00FD1F0C">
        <w:rPr>
          <w:color w:val="000000"/>
          <w:lang w:val="en-US"/>
        </w:rPr>
        <w:t>, U. (1987).</w:t>
      </w:r>
      <w:proofErr w:type="gramEnd"/>
      <w:r w:rsidRPr="00FD1F0C">
        <w:rPr>
          <w:color w:val="000000"/>
          <w:lang w:val="en-US"/>
        </w:rPr>
        <w:t xml:space="preserve"> </w:t>
      </w:r>
      <w:r w:rsidRPr="006E5E6B">
        <w:rPr>
          <w:color w:val="000000"/>
          <w:lang w:val="en-US"/>
        </w:rPr>
        <w:t>Survival kinetics of lactic acid starter cultures during and after freeze drying.</w:t>
      </w:r>
      <w:r w:rsidRPr="006E5E6B">
        <w:rPr>
          <w:rStyle w:val="apple-converted-space"/>
          <w:i/>
          <w:iCs/>
          <w:color w:val="000000"/>
          <w:lang w:val="en-US"/>
        </w:rPr>
        <w:t> </w:t>
      </w:r>
      <w:r w:rsidRPr="00BA5B81">
        <w:rPr>
          <w:i/>
          <w:iCs/>
          <w:color w:val="000000"/>
          <w:lang w:val="en-US"/>
        </w:rPr>
        <w:t>Enzyme and Microbial Technology,</w:t>
      </w:r>
      <w:r w:rsidRPr="00BA5B81">
        <w:rPr>
          <w:rStyle w:val="apple-converted-space"/>
          <w:i/>
          <w:iCs/>
          <w:color w:val="000000"/>
          <w:lang w:val="en-US"/>
        </w:rPr>
        <w:t> </w:t>
      </w:r>
      <w:r w:rsidRPr="00BA5B81">
        <w:rPr>
          <w:i/>
          <w:iCs/>
          <w:color w:val="000000"/>
          <w:lang w:val="en-US"/>
        </w:rPr>
        <w:t>9</w:t>
      </w:r>
      <w:r w:rsidRPr="00BA5B81">
        <w:rPr>
          <w:color w:val="000000"/>
          <w:lang w:val="en-US"/>
        </w:rPr>
        <w:t>(9), 531-537.</w:t>
      </w:r>
    </w:p>
    <w:p w:rsidR="006E5E6B" w:rsidRPr="006E5E6B" w:rsidRDefault="006E5E6B" w:rsidP="006E5E6B">
      <w:pPr>
        <w:pStyle w:val="NormalWeb"/>
        <w:ind w:left="450" w:hanging="450"/>
        <w:jc w:val="both"/>
        <w:rPr>
          <w:color w:val="000000"/>
        </w:rPr>
      </w:pPr>
      <w:proofErr w:type="spellStart"/>
      <w:r w:rsidRPr="00B054D2">
        <w:rPr>
          <w:color w:val="000000"/>
          <w:lang w:val="es-CO"/>
        </w:rPr>
        <w:lastRenderedPageBreak/>
        <w:t>Burget</w:t>
      </w:r>
      <w:proofErr w:type="spellEnd"/>
      <w:r w:rsidR="009D27EB" w:rsidRPr="00B054D2">
        <w:rPr>
          <w:color w:val="000000"/>
          <w:lang w:val="es-CO"/>
        </w:rPr>
        <w:t>, N., Sierra, N.</w:t>
      </w:r>
      <w:r w:rsidR="00A7623D" w:rsidRPr="00B054D2">
        <w:rPr>
          <w:color w:val="000000"/>
          <w:lang w:val="es-CO"/>
        </w:rPr>
        <w:t>,</w:t>
      </w:r>
      <w:r w:rsidR="009D27EB" w:rsidRPr="00B054D2">
        <w:rPr>
          <w:color w:val="000000"/>
          <w:lang w:val="es-CO"/>
        </w:rPr>
        <w:t xml:space="preserve"> &amp; Brito</w:t>
      </w:r>
      <w:r w:rsidR="00B477A9" w:rsidRPr="00B054D2">
        <w:rPr>
          <w:color w:val="000000"/>
          <w:lang w:val="es-CO"/>
        </w:rPr>
        <w:t>, L. C. (2012).</w:t>
      </w:r>
      <w:r w:rsidRPr="00B054D2">
        <w:rPr>
          <w:color w:val="000000"/>
          <w:lang w:val="es-CO"/>
        </w:rPr>
        <w:t xml:space="preserve"> </w:t>
      </w:r>
      <w:r w:rsidRPr="006E5E6B">
        <w:rPr>
          <w:color w:val="000000"/>
        </w:rPr>
        <w:t xml:space="preserve">Conservación de cepas microbianas por el método de liofilización para el control microbiológico en </w:t>
      </w:r>
      <w:r w:rsidR="00B477A9">
        <w:rPr>
          <w:color w:val="000000"/>
        </w:rPr>
        <w:t>L</w:t>
      </w:r>
      <w:r w:rsidRPr="006E5E6B">
        <w:rPr>
          <w:color w:val="000000"/>
        </w:rPr>
        <w:t xml:space="preserve">aboratorios </w:t>
      </w:r>
      <w:proofErr w:type="spellStart"/>
      <w:r w:rsidR="00B477A9">
        <w:rPr>
          <w:color w:val="000000"/>
        </w:rPr>
        <w:t>L</w:t>
      </w:r>
      <w:r w:rsidRPr="006E5E6B">
        <w:rPr>
          <w:color w:val="000000"/>
        </w:rPr>
        <w:t>iorad</w:t>
      </w:r>
      <w:proofErr w:type="spellEnd"/>
      <w:r w:rsidRPr="006E5E6B">
        <w:rPr>
          <w:color w:val="000000"/>
        </w:rPr>
        <w:t>.</w:t>
      </w:r>
      <w:r w:rsidRPr="006E5E6B">
        <w:rPr>
          <w:rStyle w:val="apple-converted-space"/>
          <w:i/>
          <w:iCs/>
          <w:color w:val="000000"/>
        </w:rPr>
        <w:t> </w:t>
      </w:r>
      <w:r w:rsidRPr="006E5E6B">
        <w:rPr>
          <w:i/>
          <w:iCs/>
          <w:color w:val="000000"/>
        </w:rPr>
        <w:t>Revista CENIC Ciencias Biológicas,</w:t>
      </w:r>
      <w:r w:rsidRPr="006E5E6B">
        <w:rPr>
          <w:rStyle w:val="apple-converted-space"/>
          <w:i/>
          <w:iCs/>
          <w:color w:val="000000"/>
        </w:rPr>
        <w:t> </w:t>
      </w:r>
      <w:r w:rsidRPr="006E5E6B">
        <w:rPr>
          <w:i/>
          <w:iCs/>
          <w:color w:val="000000"/>
        </w:rPr>
        <w:t>43</w:t>
      </w:r>
      <w:r w:rsidRPr="006E5E6B">
        <w:rPr>
          <w:color w:val="000000"/>
        </w:rPr>
        <w:t>(3), 1-4.</w:t>
      </w:r>
    </w:p>
    <w:p w:rsidR="006E5E6B" w:rsidRPr="006E5E6B" w:rsidRDefault="006E5E6B" w:rsidP="006E5E6B">
      <w:pPr>
        <w:pStyle w:val="NormalWeb"/>
        <w:ind w:left="450" w:hanging="450"/>
        <w:jc w:val="both"/>
        <w:rPr>
          <w:color w:val="000000"/>
          <w:lang w:val="en-US"/>
        </w:rPr>
      </w:pPr>
      <w:r w:rsidRPr="006E5E6B">
        <w:rPr>
          <w:color w:val="000000"/>
        </w:rPr>
        <w:t>Cardona, G. I.</w:t>
      </w:r>
      <w:r w:rsidR="00FC1538">
        <w:rPr>
          <w:color w:val="000000"/>
        </w:rPr>
        <w:t>,</w:t>
      </w:r>
      <w:r w:rsidRPr="006E5E6B">
        <w:rPr>
          <w:color w:val="000000"/>
        </w:rPr>
        <w:t xml:space="preserve"> Arcos, A.</w:t>
      </w:r>
      <w:r w:rsidR="00FC1538">
        <w:rPr>
          <w:color w:val="000000"/>
        </w:rPr>
        <w:t>,</w:t>
      </w:r>
      <w:r w:rsidRPr="006E5E6B">
        <w:rPr>
          <w:color w:val="000000"/>
        </w:rPr>
        <w:t xml:space="preserve"> &amp; Murcia, U. (2005). Abundancia de </w:t>
      </w:r>
      <w:proofErr w:type="spellStart"/>
      <w:r w:rsidRPr="006E5E6B">
        <w:rPr>
          <w:color w:val="000000"/>
        </w:rPr>
        <w:t>actinomicetes</w:t>
      </w:r>
      <w:proofErr w:type="spellEnd"/>
      <w:r w:rsidRPr="006E5E6B">
        <w:rPr>
          <w:color w:val="000000"/>
        </w:rPr>
        <w:t xml:space="preserve"> y micorrizas </w:t>
      </w:r>
      <w:proofErr w:type="spellStart"/>
      <w:r w:rsidRPr="006E5E6B">
        <w:rPr>
          <w:color w:val="000000"/>
        </w:rPr>
        <w:t>arbusculares</w:t>
      </w:r>
      <w:proofErr w:type="spellEnd"/>
      <w:r w:rsidRPr="006E5E6B">
        <w:rPr>
          <w:color w:val="000000"/>
        </w:rPr>
        <w:t xml:space="preserve"> en paisajes fragmentados de la amazonia colombiana.</w:t>
      </w:r>
      <w:r w:rsidRPr="006E5E6B">
        <w:rPr>
          <w:rStyle w:val="apple-converted-space"/>
          <w:i/>
          <w:iCs/>
          <w:color w:val="000000"/>
        </w:rPr>
        <w:t> </w:t>
      </w:r>
      <w:proofErr w:type="spellStart"/>
      <w:r w:rsidRPr="006E5E6B">
        <w:rPr>
          <w:i/>
          <w:iCs/>
          <w:color w:val="000000"/>
          <w:lang w:val="en-US"/>
        </w:rPr>
        <w:t>Agronomía</w:t>
      </w:r>
      <w:proofErr w:type="spellEnd"/>
      <w:r w:rsidRPr="006E5E6B">
        <w:rPr>
          <w:i/>
          <w:iCs/>
          <w:color w:val="000000"/>
          <w:lang w:val="en-US"/>
        </w:rPr>
        <w:t xml:space="preserve"> Colombiana,</w:t>
      </w:r>
      <w:r w:rsidRPr="006E5E6B">
        <w:rPr>
          <w:rStyle w:val="apple-converted-space"/>
          <w:i/>
          <w:iCs/>
          <w:color w:val="000000"/>
          <w:lang w:val="en-US"/>
        </w:rPr>
        <w:t> </w:t>
      </w:r>
      <w:r w:rsidRPr="006E5E6B">
        <w:rPr>
          <w:i/>
          <w:iCs/>
          <w:color w:val="000000"/>
          <w:lang w:val="en-US"/>
        </w:rPr>
        <w:t>23</w:t>
      </w:r>
      <w:r w:rsidRPr="006E5E6B">
        <w:rPr>
          <w:color w:val="000000"/>
          <w:lang w:val="en-US"/>
        </w:rPr>
        <w:t>(2), 317-326.</w:t>
      </w:r>
    </w:p>
    <w:p w:rsidR="006E5E6B" w:rsidRPr="00BA5B81" w:rsidRDefault="006E5E6B" w:rsidP="006E5E6B">
      <w:pPr>
        <w:pStyle w:val="NormalWeb"/>
        <w:ind w:left="450" w:hanging="450"/>
        <w:jc w:val="both"/>
        <w:rPr>
          <w:color w:val="000000"/>
          <w:lang w:val="en-US"/>
        </w:rPr>
      </w:pPr>
      <w:proofErr w:type="gramStart"/>
      <w:r w:rsidRPr="006E5E6B">
        <w:rPr>
          <w:color w:val="000000"/>
          <w:lang w:val="en-US"/>
        </w:rPr>
        <w:t>Chen, H., Lin, C., &amp; Chen, M. (2006).</w:t>
      </w:r>
      <w:proofErr w:type="gramEnd"/>
      <w:r w:rsidRPr="006E5E6B">
        <w:rPr>
          <w:color w:val="000000"/>
          <w:lang w:val="en-US"/>
        </w:rPr>
        <w:t xml:space="preserve"> </w:t>
      </w:r>
      <w:proofErr w:type="gramStart"/>
      <w:r w:rsidRPr="006E5E6B">
        <w:rPr>
          <w:color w:val="000000"/>
          <w:lang w:val="en-US"/>
        </w:rPr>
        <w:t>The effects of freeze drying and rehydration on survival of microorganisms in kefir.</w:t>
      </w:r>
      <w:proofErr w:type="gramEnd"/>
      <w:r w:rsidRPr="006E5E6B">
        <w:rPr>
          <w:rStyle w:val="apple-converted-space"/>
          <w:i/>
          <w:iCs/>
          <w:color w:val="000000"/>
          <w:lang w:val="en-US"/>
        </w:rPr>
        <w:t> </w:t>
      </w:r>
      <w:proofErr w:type="gramStart"/>
      <w:r w:rsidRPr="00BA5B81">
        <w:rPr>
          <w:i/>
          <w:iCs/>
          <w:color w:val="000000"/>
          <w:lang w:val="en-US"/>
        </w:rPr>
        <w:t>Asian Australasian Journal of Animal Sciences,</w:t>
      </w:r>
      <w:r w:rsidRPr="00BA5B81">
        <w:rPr>
          <w:rStyle w:val="apple-converted-space"/>
          <w:i/>
          <w:iCs/>
          <w:color w:val="000000"/>
          <w:lang w:val="en-US"/>
        </w:rPr>
        <w:t> </w:t>
      </w:r>
      <w:r w:rsidRPr="00BA5B81">
        <w:rPr>
          <w:i/>
          <w:iCs/>
          <w:color w:val="000000"/>
          <w:lang w:val="en-US"/>
        </w:rPr>
        <w:t>19</w:t>
      </w:r>
      <w:r w:rsidRPr="00BA5B81">
        <w:rPr>
          <w:color w:val="000000"/>
          <w:lang w:val="en-US"/>
        </w:rPr>
        <w:t>(1), 126.</w:t>
      </w:r>
      <w:proofErr w:type="gramEnd"/>
    </w:p>
    <w:p w:rsidR="009A652C" w:rsidRPr="009A652C" w:rsidRDefault="009A652C" w:rsidP="006E5E6B">
      <w:pPr>
        <w:pStyle w:val="NormalWeb"/>
        <w:ind w:left="450" w:hanging="450"/>
        <w:jc w:val="both"/>
        <w:rPr>
          <w:color w:val="000000"/>
          <w:lang w:val="en-US"/>
        </w:rPr>
      </w:pPr>
      <w:proofErr w:type="spellStart"/>
      <w:proofErr w:type="gramStart"/>
      <w:r w:rsidRPr="00BA5B81">
        <w:rPr>
          <w:color w:val="000000"/>
          <w:lang w:val="en-US"/>
        </w:rPr>
        <w:t>Filippova</w:t>
      </w:r>
      <w:proofErr w:type="spellEnd"/>
      <w:r w:rsidRPr="00BA5B81">
        <w:rPr>
          <w:color w:val="000000"/>
          <w:lang w:val="en-US"/>
        </w:rPr>
        <w:t xml:space="preserve">, S. N., </w:t>
      </w:r>
      <w:proofErr w:type="spellStart"/>
      <w:r w:rsidRPr="00BA5B81">
        <w:rPr>
          <w:color w:val="000000"/>
          <w:lang w:val="en-US"/>
        </w:rPr>
        <w:t>Surgucheva</w:t>
      </w:r>
      <w:proofErr w:type="spellEnd"/>
      <w:r w:rsidRPr="00BA5B81">
        <w:rPr>
          <w:color w:val="000000"/>
          <w:lang w:val="en-US"/>
        </w:rPr>
        <w:t xml:space="preserve">, N. A. &amp; </w:t>
      </w:r>
      <w:proofErr w:type="spellStart"/>
      <w:r w:rsidRPr="00BA5B81">
        <w:rPr>
          <w:color w:val="000000"/>
          <w:lang w:val="en-US"/>
        </w:rPr>
        <w:t>Gal´chencko</w:t>
      </w:r>
      <w:proofErr w:type="spellEnd"/>
      <w:r w:rsidRPr="00BA5B81">
        <w:rPr>
          <w:color w:val="000000"/>
          <w:lang w:val="en-US"/>
        </w:rPr>
        <w:t>, V. F. (2012).</w:t>
      </w:r>
      <w:proofErr w:type="gramEnd"/>
      <w:r w:rsidRPr="00BA5B81">
        <w:rPr>
          <w:color w:val="000000"/>
          <w:lang w:val="en-US"/>
        </w:rPr>
        <w:t xml:space="preserve"> </w:t>
      </w:r>
      <w:r w:rsidRPr="009A652C">
        <w:rPr>
          <w:color w:val="000000"/>
          <w:lang w:val="en-US"/>
        </w:rPr>
        <w:t xml:space="preserve">Long-Term storage of collection cultures of </w:t>
      </w:r>
      <w:proofErr w:type="spellStart"/>
      <w:r w:rsidRPr="009A652C">
        <w:rPr>
          <w:color w:val="000000"/>
          <w:lang w:val="en-US"/>
        </w:rPr>
        <w:t>Actinobacteria</w:t>
      </w:r>
      <w:proofErr w:type="spellEnd"/>
      <w:r w:rsidRPr="009A652C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>
        <w:rPr>
          <w:i/>
          <w:color w:val="000000"/>
          <w:lang w:val="en-US"/>
        </w:rPr>
        <w:t xml:space="preserve">Microbiology, </w:t>
      </w:r>
      <w:r w:rsidRPr="001244BF">
        <w:rPr>
          <w:i/>
          <w:color w:val="000000"/>
          <w:lang w:val="en-US"/>
        </w:rPr>
        <w:t>81</w:t>
      </w:r>
      <w:r>
        <w:rPr>
          <w:color w:val="000000"/>
          <w:lang w:val="en-US"/>
        </w:rPr>
        <w:t>(5), 630-637.</w:t>
      </w:r>
    </w:p>
    <w:p w:rsidR="007E3E84" w:rsidRPr="00EE5AA0" w:rsidRDefault="007E3E84" w:rsidP="006E5E6B">
      <w:pPr>
        <w:pStyle w:val="NormalWeb"/>
        <w:ind w:left="450" w:hanging="450"/>
        <w:jc w:val="both"/>
        <w:rPr>
          <w:color w:val="000000"/>
          <w:lang w:val="es-CO"/>
        </w:rPr>
      </w:pPr>
      <w:proofErr w:type="gramStart"/>
      <w:r w:rsidRPr="00EE5AA0">
        <w:rPr>
          <w:color w:val="000000"/>
          <w:lang w:val="en-US"/>
        </w:rPr>
        <w:t>Franco, M.</w:t>
      </w:r>
      <w:r w:rsidR="00A7623D">
        <w:rPr>
          <w:color w:val="000000"/>
          <w:lang w:val="en-US"/>
        </w:rPr>
        <w:t>,</w:t>
      </w:r>
      <w:r w:rsidRPr="00EE5AA0">
        <w:rPr>
          <w:color w:val="000000"/>
          <w:lang w:val="en-US"/>
        </w:rPr>
        <w:t xml:space="preserve"> &amp; </w:t>
      </w:r>
      <w:proofErr w:type="spellStart"/>
      <w:r w:rsidRPr="00EE5AA0">
        <w:rPr>
          <w:color w:val="000000"/>
          <w:lang w:val="en-US"/>
        </w:rPr>
        <w:t>Chavarro</w:t>
      </w:r>
      <w:proofErr w:type="spellEnd"/>
      <w:r w:rsidRPr="00EE5AA0">
        <w:rPr>
          <w:color w:val="000000"/>
          <w:lang w:val="en-US"/>
        </w:rPr>
        <w:t xml:space="preserve"> V. (2016).</w:t>
      </w:r>
      <w:proofErr w:type="gramEnd"/>
      <w:r w:rsidRPr="00EE5AA0">
        <w:rPr>
          <w:color w:val="000000"/>
          <w:lang w:val="en-US"/>
        </w:rPr>
        <w:t xml:space="preserve"> </w:t>
      </w:r>
      <w:proofErr w:type="spellStart"/>
      <w:proofErr w:type="gramStart"/>
      <w:r w:rsidRPr="00EE5AA0">
        <w:rPr>
          <w:color w:val="000000"/>
          <w:lang w:val="en-US"/>
        </w:rPr>
        <w:t>Actinobacteria</w:t>
      </w:r>
      <w:proofErr w:type="spellEnd"/>
      <w:r w:rsidRPr="00EE5AA0">
        <w:rPr>
          <w:color w:val="000000"/>
          <w:lang w:val="en-US"/>
        </w:rPr>
        <w:t xml:space="preserve"> as Plant</w:t>
      </w:r>
      <w:r>
        <w:rPr>
          <w:color w:val="000000"/>
          <w:lang w:val="en-US"/>
        </w:rPr>
        <w:t xml:space="preserve"> Growth-Promoting </w:t>
      </w:r>
      <w:proofErr w:type="spellStart"/>
      <w:r>
        <w:rPr>
          <w:color w:val="000000"/>
          <w:lang w:val="en-US"/>
        </w:rPr>
        <w:t>Rhizobacteria</w:t>
      </w:r>
      <w:proofErr w:type="spellEnd"/>
      <w:r>
        <w:rPr>
          <w:color w:val="000000"/>
          <w:lang w:val="en-US"/>
        </w:rPr>
        <w:t>.</w:t>
      </w:r>
      <w:proofErr w:type="gramEnd"/>
      <w:r>
        <w:rPr>
          <w:color w:val="000000"/>
          <w:lang w:val="en-US"/>
        </w:rPr>
        <w:t xml:space="preserve"> </w:t>
      </w:r>
      <w:r w:rsidR="00EE5AA0" w:rsidRPr="00BA5B81">
        <w:rPr>
          <w:color w:val="000000"/>
          <w:lang w:val="es-CO"/>
        </w:rPr>
        <w:t>Recuperado de http://www.intechope</w:t>
      </w:r>
      <w:r w:rsidR="00EE5AA0" w:rsidRPr="00EE5AA0">
        <w:rPr>
          <w:color w:val="000000"/>
          <w:lang w:val="es-CO"/>
        </w:rPr>
        <w:t>n.com/books/actinobacteria-basics-and-biotechnological-applications/actinobacteria-as-plant-growth-promoting-rhizobacteria</w:t>
      </w:r>
      <w:r w:rsidR="0055243A">
        <w:rPr>
          <w:color w:val="000000"/>
          <w:lang w:val="es-CO"/>
        </w:rPr>
        <w:t>.</w:t>
      </w:r>
    </w:p>
    <w:p w:rsidR="006E5E6B" w:rsidRPr="006E5E6B" w:rsidRDefault="00612246" w:rsidP="006E5E6B">
      <w:pPr>
        <w:pStyle w:val="NormalWeb"/>
        <w:ind w:left="450" w:hanging="450"/>
        <w:jc w:val="both"/>
        <w:rPr>
          <w:color w:val="000000"/>
        </w:rPr>
      </w:pPr>
      <w:r>
        <w:rPr>
          <w:color w:val="000000"/>
        </w:rPr>
        <w:t>Franco</w:t>
      </w:r>
      <w:r w:rsidR="006E5E6B" w:rsidRPr="006E5E6B">
        <w:rPr>
          <w:color w:val="000000"/>
        </w:rPr>
        <w:t>, M. (2008).</w:t>
      </w:r>
      <w:r w:rsidR="006E5E6B" w:rsidRPr="006E5E6B">
        <w:rPr>
          <w:rStyle w:val="apple-converted-space"/>
          <w:color w:val="000000"/>
        </w:rPr>
        <w:t> </w:t>
      </w:r>
      <w:r w:rsidR="006E5E6B" w:rsidRPr="006E5E6B">
        <w:rPr>
          <w:i/>
          <w:iCs/>
          <w:color w:val="000000"/>
        </w:rPr>
        <w:t xml:space="preserve">Evaluación de caracteres PGPR en actinomicetos e interacciones de estas </w:t>
      </w:r>
      <w:proofErr w:type="spellStart"/>
      <w:r w:rsidR="006E5E6B" w:rsidRPr="006E5E6B">
        <w:rPr>
          <w:i/>
          <w:iCs/>
          <w:color w:val="000000"/>
        </w:rPr>
        <w:t>rizobacterias</w:t>
      </w:r>
      <w:proofErr w:type="spellEnd"/>
      <w:r w:rsidR="006E5E6B" w:rsidRPr="006E5E6B">
        <w:rPr>
          <w:i/>
          <w:iCs/>
          <w:color w:val="000000"/>
        </w:rPr>
        <w:t xml:space="preserve"> con hongos formadores de micorrizas</w:t>
      </w:r>
      <w:r w:rsidR="009E45E1">
        <w:rPr>
          <w:i/>
          <w:iCs/>
          <w:color w:val="000000"/>
        </w:rPr>
        <w:t>,</w:t>
      </w:r>
      <w:r w:rsidR="006E5E6B" w:rsidRPr="006E5E6B">
        <w:rPr>
          <w:rStyle w:val="apple-converted-space"/>
          <w:color w:val="000000"/>
        </w:rPr>
        <w:t> </w:t>
      </w:r>
      <w:r w:rsidR="006E5E6B" w:rsidRPr="006E5E6B">
        <w:rPr>
          <w:color w:val="000000"/>
        </w:rPr>
        <w:t>Editorial de la Universidad de Granada.</w:t>
      </w:r>
    </w:p>
    <w:p w:rsidR="006E5E6B" w:rsidRPr="006E5E6B" w:rsidRDefault="006E5E6B" w:rsidP="006E5E6B">
      <w:pPr>
        <w:pStyle w:val="NormalWeb"/>
        <w:ind w:left="450" w:hanging="450"/>
        <w:jc w:val="both"/>
        <w:rPr>
          <w:color w:val="000000"/>
        </w:rPr>
      </w:pPr>
      <w:r w:rsidRPr="006E5E6B">
        <w:rPr>
          <w:color w:val="000000"/>
        </w:rPr>
        <w:t xml:space="preserve">Freire, J., &amp; Sato, M. (1999). Conservación de cultivos de </w:t>
      </w:r>
      <w:proofErr w:type="spellStart"/>
      <w:r w:rsidRPr="006E5E6B">
        <w:rPr>
          <w:color w:val="000000"/>
        </w:rPr>
        <w:t>rizobios</w:t>
      </w:r>
      <w:proofErr w:type="spellEnd"/>
      <w:r w:rsidRPr="006E5E6B">
        <w:rPr>
          <w:color w:val="000000"/>
        </w:rPr>
        <w:t>.</w:t>
      </w:r>
      <w:r w:rsidRPr="006E5E6B">
        <w:rPr>
          <w:rStyle w:val="apple-converted-space"/>
          <w:i/>
          <w:iCs/>
          <w:color w:val="000000"/>
        </w:rPr>
        <w:t> </w:t>
      </w:r>
      <w:r w:rsidRPr="006E5E6B">
        <w:rPr>
          <w:i/>
          <w:iCs/>
          <w:color w:val="000000"/>
        </w:rPr>
        <w:t>Revista Latinoamericana De Microbiologia-</w:t>
      </w:r>
      <w:r w:rsidR="00414E52" w:rsidRPr="006E5E6B">
        <w:rPr>
          <w:i/>
          <w:iCs/>
          <w:color w:val="000000"/>
        </w:rPr>
        <w:t>México</w:t>
      </w:r>
      <w:r w:rsidRPr="006E5E6B">
        <w:rPr>
          <w:i/>
          <w:iCs/>
          <w:color w:val="000000"/>
        </w:rPr>
        <w:t>,</w:t>
      </w:r>
      <w:r w:rsidRPr="006E5E6B">
        <w:rPr>
          <w:rStyle w:val="apple-converted-space"/>
          <w:i/>
          <w:iCs/>
          <w:color w:val="000000"/>
        </w:rPr>
        <w:t> </w:t>
      </w:r>
      <w:r w:rsidRPr="006E5E6B">
        <w:rPr>
          <w:i/>
          <w:iCs/>
          <w:color w:val="000000"/>
        </w:rPr>
        <w:t>41</w:t>
      </w:r>
      <w:r w:rsidRPr="006E5E6B">
        <w:rPr>
          <w:color w:val="000000"/>
        </w:rPr>
        <w:t>(1), 35-42.</w:t>
      </w:r>
    </w:p>
    <w:p w:rsidR="006E5E6B" w:rsidRPr="00343920" w:rsidRDefault="006E5E6B" w:rsidP="006E5E6B">
      <w:pPr>
        <w:pStyle w:val="NormalWeb"/>
        <w:ind w:left="450" w:hanging="450"/>
        <w:jc w:val="both"/>
        <w:rPr>
          <w:color w:val="000000"/>
          <w:lang w:val="es-CO"/>
        </w:rPr>
      </w:pPr>
      <w:r w:rsidRPr="006E5E6B">
        <w:rPr>
          <w:color w:val="000000"/>
        </w:rPr>
        <w:t xml:space="preserve">García, M., &amp; </w:t>
      </w:r>
      <w:proofErr w:type="spellStart"/>
      <w:r w:rsidRPr="006E5E6B">
        <w:rPr>
          <w:color w:val="000000"/>
        </w:rPr>
        <w:t>Uruburu</w:t>
      </w:r>
      <w:proofErr w:type="spellEnd"/>
      <w:r w:rsidRPr="006E5E6B">
        <w:rPr>
          <w:color w:val="000000"/>
        </w:rPr>
        <w:t xml:space="preserve">, F. (2001). La conservación de cepas microbianas Colección microbiana de cultivos tipo (CECT) </w:t>
      </w:r>
      <w:r w:rsidR="009E45E1">
        <w:rPr>
          <w:color w:val="000000"/>
        </w:rPr>
        <w:t>U</w:t>
      </w:r>
      <w:r w:rsidRPr="006E5E6B">
        <w:rPr>
          <w:color w:val="000000"/>
        </w:rPr>
        <w:t xml:space="preserve">niversidad de </w:t>
      </w:r>
      <w:r w:rsidR="009E45E1">
        <w:rPr>
          <w:color w:val="000000"/>
        </w:rPr>
        <w:t>V</w:t>
      </w:r>
      <w:r w:rsidRPr="006E5E6B">
        <w:rPr>
          <w:color w:val="000000"/>
        </w:rPr>
        <w:t xml:space="preserve">alencia, </w:t>
      </w:r>
      <w:r w:rsidR="009E45E1">
        <w:rPr>
          <w:color w:val="000000"/>
        </w:rPr>
        <w:t>España. T</w:t>
      </w:r>
      <w:r w:rsidRPr="006E5E6B">
        <w:rPr>
          <w:color w:val="000000"/>
        </w:rPr>
        <w:t xml:space="preserve">emas de la actualidad. </w:t>
      </w:r>
      <w:r w:rsidRPr="00343920">
        <w:rPr>
          <w:color w:val="000000"/>
          <w:lang w:val="es-CO"/>
        </w:rPr>
        <w:t>Re</w:t>
      </w:r>
      <w:r w:rsidR="00343920" w:rsidRPr="00343920">
        <w:rPr>
          <w:color w:val="000000"/>
          <w:lang w:val="es-CO"/>
        </w:rPr>
        <w:t>cuperado de</w:t>
      </w:r>
      <w:r w:rsidR="00343920">
        <w:rPr>
          <w:color w:val="000000"/>
          <w:lang w:val="es-CO"/>
        </w:rPr>
        <w:t xml:space="preserve"> </w:t>
      </w:r>
      <w:r w:rsidRPr="007E7E92">
        <w:rPr>
          <w:lang w:val="es-CO"/>
        </w:rPr>
        <w:t>http://www.semicrobiologia.org/pdf/actualidad/SEM30_12.pdf</w:t>
      </w:r>
    </w:p>
    <w:p w:rsidR="006E5E6B" w:rsidRPr="008B0A58" w:rsidRDefault="006E5E6B" w:rsidP="006E5E6B">
      <w:pPr>
        <w:pStyle w:val="NormalWeb"/>
        <w:ind w:left="450" w:hanging="450"/>
        <w:jc w:val="both"/>
        <w:rPr>
          <w:color w:val="000000"/>
          <w:lang w:val="en-US"/>
        </w:rPr>
      </w:pPr>
      <w:proofErr w:type="spellStart"/>
      <w:r w:rsidRPr="00B13635">
        <w:rPr>
          <w:color w:val="000000"/>
          <w:lang w:val="es-CO"/>
        </w:rPr>
        <w:t>Glyan</w:t>
      </w:r>
      <w:proofErr w:type="spellEnd"/>
      <w:r w:rsidRPr="00B13635">
        <w:rPr>
          <w:color w:val="000000"/>
          <w:lang w:val="es-CO"/>
        </w:rPr>
        <w:t xml:space="preserve">, H. &amp; Gary, H. (1999). </w:t>
      </w:r>
      <w:proofErr w:type="spellStart"/>
      <w:r w:rsidRPr="006E5E6B">
        <w:rPr>
          <w:color w:val="000000"/>
        </w:rPr>
        <w:t>Ingenieria</w:t>
      </w:r>
      <w:proofErr w:type="spellEnd"/>
      <w:r w:rsidRPr="006E5E6B">
        <w:rPr>
          <w:color w:val="000000"/>
        </w:rPr>
        <w:t xml:space="preserve"> ambiental. </w:t>
      </w:r>
      <w:proofErr w:type="gramStart"/>
      <w:r w:rsidRPr="008B0A58">
        <w:rPr>
          <w:color w:val="000000"/>
          <w:lang w:val="en-US"/>
        </w:rPr>
        <w:t xml:space="preserve">2ª </w:t>
      </w:r>
      <w:proofErr w:type="spellStart"/>
      <w:r w:rsidRPr="008B0A58">
        <w:rPr>
          <w:color w:val="000000"/>
          <w:lang w:val="en-US"/>
        </w:rPr>
        <w:t>edición</w:t>
      </w:r>
      <w:proofErr w:type="spellEnd"/>
      <w:r w:rsidRPr="008B0A58">
        <w:rPr>
          <w:color w:val="000000"/>
          <w:lang w:val="en-US"/>
        </w:rPr>
        <w:t>.</w:t>
      </w:r>
      <w:proofErr w:type="gramEnd"/>
      <w:r w:rsidRPr="008B0A58">
        <w:rPr>
          <w:color w:val="000000"/>
          <w:lang w:val="en-US"/>
        </w:rPr>
        <w:t xml:space="preserve"> In Prentice Hall (Ed.), (pp. 271-273)</w:t>
      </w:r>
    </w:p>
    <w:p w:rsidR="006E5E6B" w:rsidRPr="006E5E6B" w:rsidRDefault="006E5E6B" w:rsidP="006E5E6B">
      <w:pPr>
        <w:pStyle w:val="NormalWeb"/>
        <w:ind w:left="450" w:hanging="450"/>
        <w:jc w:val="both"/>
        <w:rPr>
          <w:color w:val="000000"/>
        </w:rPr>
      </w:pPr>
      <w:proofErr w:type="spellStart"/>
      <w:proofErr w:type="gramStart"/>
      <w:r w:rsidRPr="006E5E6B">
        <w:rPr>
          <w:color w:val="000000"/>
          <w:lang w:val="en-US"/>
        </w:rPr>
        <w:t>Grivell</w:t>
      </w:r>
      <w:proofErr w:type="spellEnd"/>
      <w:r w:rsidRPr="006E5E6B">
        <w:rPr>
          <w:color w:val="000000"/>
          <w:lang w:val="en-US"/>
        </w:rPr>
        <w:t>, A., &amp; Jackson, J. (1969).</w:t>
      </w:r>
      <w:proofErr w:type="gramEnd"/>
      <w:r w:rsidRPr="006E5E6B">
        <w:rPr>
          <w:color w:val="000000"/>
          <w:lang w:val="en-US"/>
        </w:rPr>
        <w:t xml:space="preserve"> </w:t>
      </w:r>
      <w:proofErr w:type="gramStart"/>
      <w:r w:rsidRPr="006E5E6B">
        <w:rPr>
          <w:color w:val="000000"/>
          <w:lang w:val="en-US"/>
        </w:rPr>
        <w:t>Microbial culture preservation with silica gel.</w:t>
      </w:r>
      <w:proofErr w:type="gramEnd"/>
      <w:r w:rsidRPr="006E5E6B">
        <w:rPr>
          <w:rStyle w:val="apple-converted-space"/>
          <w:i/>
          <w:iCs/>
          <w:color w:val="000000"/>
          <w:lang w:val="en-US"/>
        </w:rPr>
        <w:t> </w:t>
      </w:r>
      <w:proofErr w:type="spellStart"/>
      <w:r w:rsidRPr="006E5E6B">
        <w:rPr>
          <w:i/>
          <w:iCs/>
          <w:color w:val="000000"/>
        </w:rPr>
        <w:t>Microbiology</w:t>
      </w:r>
      <w:proofErr w:type="spellEnd"/>
      <w:r w:rsidRPr="006E5E6B">
        <w:rPr>
          <w:i/>
          <w:iCs/>
          <w:color w:val="000000"/>
        </w:rPr>
        <w:t>,</w:t>
      </w:r>
      <w:r w:rsidRPr="006E5E6B">
        <w:rPr>
          <w:rStyle w:val="apple-converted-space"/>
          <w:i/>
          <w:iCs/>
          <w:color w:val="000000"/>
        </w:rPr>
        <w:t> </w:t>
      </w:r>
      <w:r w:rsidRPr="006E5E6B">
        <w:rPr>
          <w:i/>
          <w:iCs/>
          <w:color w:val="000000"/>
        </w:rPr>
        <w:t>58</w:t>
      </w:r>
      <w:r w:rsidRPr="006E5E6B">
        <w:rPr>
          <w:color w:val="000000"/>
        </w:rPr>
        <w:t>(3), 423-425.</w:t>
      </w:r>
    </w:p>
    <w:p w:rsidR="006E5E6B" w:rsidRPr="0033359E" w:rsidRDefault="006E5E6B" w:rsidP="006E5E6B">
      <w:pPr>
        <w:pStyle w:val="NormalWeb"/>
        <w:ind w:left="450" w:hanging="450"/>
        <w:jc w:val="both"/>
        <w:rPr>
          <w:color w:val="000000"/>
        </w:rPr>
      </w:pPr>
      <w:proofErr w:type="spellStart"/>
      <w:r w:rsidRPr="006E5E6B">
        <w:rPr>
          <w:color w:val="000000"/>
        </w:rPr>
        <w:t>Hodgson</w:t>
      </w:r>
      <w:proofErr w:type="spellEnd"/>
      <w:r w:rsidRPr="006E5E6B">
        <w:rPr>
          <w:color w:val="000000"/>
        </w:rPr>
        <w:t>, J. (1987).</w:t>
      </w:r>
      <w:r w:rsidRPr="006E5E6B">
        <w:rPr>
          <w:rStyle w:val="apple-converted-space"/>
          <w:color w:val="000000"/>
        </w:rPr>
        <w:t> </w:t>
      </w:r>
      <w:r w:rsidRPr="006E5E6B">
        <w:rPr>
          <w:i/>
          <w:iCs/>
          <w:color w:val="000000"/>
        </w:rPr>
        <w:t>Muestreo y descripción de suelos</w:t>
      </w:r>
      <w:r w:rsidR="009E45E1">
        <w:rPr>
          <w:i/>
          <w:iCs/>
          <w:color w:val="000000"/>
        </w:rPr>
        <w:t>.</w:t>
      </w:r>
      <w:r w:rsidRPr="006E5E6B">
        <w:rPr>
          <w:rStyle w:val="apple-converted-space"/>
          <w:color w:val="000000"/>
        </w:rPr>
        <w:t> </w:t>
      </w:r>
      <w:r w:rsidR="0033359E">
        <w:rPr>
          <w:rStyle w:val="apple-converted-space"/>
          <w:color w:val="000000"/>
        </w:rPr>
        <w:t xml:space="preserve">Barcelona, España: </w:t>
      </w:r>
      <w:proofErr w:type="spellStart"/>
      <w:r w:rsidRPr="006E5E6B">
        <w:rPr>
          <w:color w:val="000000"/>
        </w:rPr>
        <w:t>Reverté</w:t>
      </w:r>
      <w:proofErr w:type="spellEnd"/>
      <w:r w:rsidRPr="006E5E6B">
        <w:rPr>
          <w:color w:val="000000"/>
        </w:rPr>
        <w:t>.</w:t>
      </w:r>
    </w:p>
    <w:p w:rsidR="006E5E6B" w:rsidRPr="005F2A15" w:rsidRDefault="006E5E6B" w:rsidP="006E5E6B">
      <w:pPr>
        <w:pStyle w:val="NormalWeb"/>
        <w:ind w:left="450" w:hanging="450"/>
        <w:jc w:val="both"/>
        <w:rPr>
          <w:color w:val="000000"/>
          <w:lang w:val="es-CO"/>
        </w:rPr>
      </w:pPr>
      <w:proofErr w:type="spellStart"/>
      <w:r w:rsidRPr="008B0A58">
        <w:rPr>
          <w:color w:val="000000"/>
          <w:lang w:val="en-US"/>
        </w:rPr>
        <w:t>Hubálek</w:t>
      </w:r>
      <w:proofErr w:type="spellEnd"/>
      <w:r w:rsidRPr="008B0A58">
        <w:rPr>
          <w:color w:val="000000"/>
          <w:lang w:val="en-US"/>
        </w:rPr>
        <w:t xml:space="preserve">, Z. (2003). </w:t>
      </w:r>
      <w:proofErr w:type="spellStart"/>
      <w:r w:rsidRPr="006E5E6B">
        <w:rPr>
          <w:color w:val="000000"/>
          <w:lang w:val="en-US"/>
        </w:rPr>
        <w:t>Protectants</w:t>
      </w:r>
      <w:proofErr w:type="spellEnd"/>
      <w:r w:rsidRPr="006E5E6B">
        <w:rPr>
          <w:color w:val="000000"/>
          <w:lang w:val="en-US"/>
        </w:rPr>
        <w:t xml:space="preserve"> used in the cryopreservation of microorganisms.</w:t>
      </w:r>
      <w:r w:rsidRPr="006E5E6B">
        <w:rPr>
          <w:rStyle w:val="apple-converted-space"/>
          <w:i/>
          <w:iCs/>
          <w:color w:val="000000"/>
          <w:lang w:val="en-US"/>
        </w:rPr>
        <w:t> </w:t>
      </w:r>
      <w:proofErr w:type="spellStart"/>
      <w:r w:rsidR="00142B39" w:rsidRPr="00142B39">
        <w:rPr>
          <w:i/>
          <w:iCs/>
          <w:color w:val="000000"/>
          <w:lang w:val="es-CO"/>
        </w:rPr>
        <w:t>Cryobiology</w:t>
      </w:r>
      <w:proofErr w:type="spellEnd"/>
      <w:r w:rsidR="00142B39" w:rsidRPr="00142B39">
        <w:rPr>
          <w:i/>
          <w:iCs/>
          <w:color w:val="000000"/>
          <w:lang w:val="es-CO"/>
        </w:rPr>
        <w:t>,</w:t>
      </w:r>
      <w:r w:rsidR="00142B39" w:rsidRPr="00142B39">
        <w:rPr>
          <w:rStyle w:val="apple-converted-space"/>
          <w:i/>
          <w:iCs/>
          <w:color w:val="000000"/>
          <w:lang w:val="es-CO"/>
        </w:rPr>
        <w:t> </w:t>
      </w:r>
      <w:r w:rsidR="00142B39" w:rsidRPr="00142B39">
        <w:rPr>
          <w:i/>
          <w:iCs/>
          <w:color w:val="000000"/>
          <w:lang w:val="es-CO"/>
        </w:rPr>
        <w:t>46</w:t>
      </w:r>
      <w:r w:rsidR="00142B39" w:rsidRPr="00142B39">
        <w:rPr>
          <w:color w:val="000000"/>
          <w:lang w:val="es-CO"/>
        </w:rPr>
        <w:t>(3), 205-229.</w:t>
      </w:r>
    </w:p>
    <w:p w:rsidR="00B13635" w:rsidRPr="00383200" w:rsidRDefault="00142B39" w:rsidP="006E5E6B">
      <w:pPr>
        <w:pStyle w:val="NormalWeb"/>
        <w:ind w:left="450" w:hanging="450"/>
        <w:jc w:val="both"/>
        <w:rPr>
          <w:color w:val="000000"/>
          <w:lang w:val="es-CO"/>
        </w:rPr>
      </w:pPr>
      <w:r w:rsidRPr="00142B39">
        <w:rPr>
          <w:color w:val="000000"/>
          <w:lang w:val="es-CO"/>
        </w:rPr>
        <w:t xml:space="preserve">Huertas, S. L. P., Casas, M. M. P., Morales, M. B., Moreno, Z. S., &amp; Castaño, D. M. (2006). </w:t>
      </w:r>
      <w:r w:rsidR="006E5E6B" w:rsidRPr="006E5E6B">
        <w:rPr>
          <w:color w:val="000000"/>
        </w:rPr>
        <w:t xml:space="preserve">Implementación y evaluación de dos métodos de conservación y generación de la base de datos del banco de cepas y genes del </w:t>
      </w:r>
      <w:r w:rsidR="009E45E1">
        <w:rPr>
          <w:color w:val="000000"/>
        </w:rPr>
        <w:t>I</w:t>
      </w:r>
      <w:r w:rsidR="006E5E6B" w:rsidRPr="006E5E6B">
        <w:rPr>
          <w:color w:val="000000"/>
        </w:rPr>
        <w:t xml:space="preserve">nstituto de </w:t>
      </w:r>
      <w:r w:rsidR="009E45E1">
        <w:rPr>
          <w:color w:val="000000"/>
        </w:rPr>
        <w:t>B</w:t>
      </w:r>
      <w:r w:rsidR="006E5E6B" w:rsidRPr="006E5E6B">
        <w:rPr>
          <w:color w:val="000000"/>
        </w:rPr>
        <w:t xml:space="preserve">iotecnología de la </w:t>
      </w:r>
      <w:r w:rsidR="009E45E1">
        <w:rPr>
          <w:color w:val="000000"/>
        </w:rPr>
        <w:t>U</w:t>
      </w:r>
      <w:r w:rsidR="006E5E6B" w:rsidRPr="006E5E6B">
        <w:rPr>
          <w:color w:val="000000"/>
        </w:rPr>
        <w:t xml:space="preserve">niversidad </w:t>
      </w:r>
      <w:r w:rsidR="009E45E1">
        <w:rPr>
          <w:color w:val="000000"/>
        </w:rPr>
        <w:t>N</w:t>
      </w:r>
      <w:r w:rsidR="006E5E6B" w:rsidRPr="006E5E6B">
        <w:rPr>
          <w:color w:val="000000"/>
        </w:rPr>
        <w:t xml:space="preserve">acional de </w:t>
      </w:r>
      <w:r w:rsidR="009E45E1">
        <w:rPr>
          <w:color w:val="000000"/>
        </w:rPr>
        <w:t>C</w:t>
      </w:r>
      <w:r w:rsidR="006E5E6B" w:rsidRPr="006E5E6B">
        <w:rPr>
          <w:color w:val="000000"/>
        </w:rPr>
        <w:t>olombia (IBUN).</w:t>
      </w:r>
      <w:r w:rsidR="006E5E6B" w:rsidRPr="006E5E6B">
        <w:rPr>
          <w:rStyle w:val="apple-converted-space"/>
          <w:i/>
          <w:iCs/>
          <w:color w:val="000000"/>
        </w:rPr>
        <w:t> </w:t>
      </w:r>
      <w:r w:rsidR="006E5E6B" w:rsidRPr="00383200">
        <w:rPr>
          <w:i/>
          <w:iCs/>
          <w:color w:val="000000"/>
          <w:lang w:val="es-CO"/>
        </w:rPr>
        <w:t>Nova,</w:t>
      </w:r>
      <w:r w:rsidR="006E5E6B" w:rsidRPr="00383200">
        <w:rPr>
          <w:rStyle w:val="apple-converted-space"/>
          <w:i/>
          <w:iCs/>
          <w:color w:val="000000"/>
          <w:lang w:val="es-CO"/>
        </w:rPr>
        <w:t> </w:t>
      </w:r>
      <w:r w:rsidR="006E5E6B" w:rsidRPr="00383200">
        <w:rPr>
          <w:i/>
          <w:iCs/>
          <w:color w:val="000000"/>
          <w:lang w:val="es-CO"/>
        </w:rPr>
        <w:t>4</w:t>
      </w:r>
      <w:r w:rsidR="006E5E6B" w:rsidRPr="00383200">
        <w:rPr>
          <w:color w:val="000000"/>
          <w:lang w:val="es-CO"/>
        </w:rPr>
        <w:t>(5)</w:t>
      </w:r>
      <w:r w:rsidR="009A652C" w:rsidRPr="00383200">
        <w:rPr>
          <w:color w:val="000000"/>
          <w:lang w:val="es-CO"/>
        </w:rPr>
        <w:t>, 39-49.</w:t>
      </w:r>
    </w:p>
    <w:p w:rsidR="00343920" w:rsidRPr="00FD1F0C" w:rsidRDefault="00343920" w:rsidP="006E5E6B">
      <w:pPr>
        <w:pStyle w:val="NormalWeb"/>
        <w:ind w:left="450" w:hanging="450"/>
        <w:jc w:val="both"/>
        <w:rPr>
          <w:color w:val="000000"/>
          <w:lang w:val="en-US"/>
        </w:rPr>
      </w:pPr>
      <w:proofErr w:type="spellStart"/>
      <w:r w:rsidRPr="00383200">
        <w:rPr>
          <w:color w:val="000000"/>
          <w:lang w:val="es-CO"/>
        </w:rPr>
        <w:t>Leblond</w:t>
      </w:r>
      <w:proofErr w:type="spellEnd"/>
      <w:r w:rsidRPr="00383200">
        <w:rPr>
          <w:color w:val="000000"/>
          <w:lang w:val="es-CO"/>
        </w:rPr>
        <w:t xml:space="preserve">, P., </w:t>
      </w:r>
      <w:proofErr w:type="spellStart"/>
      <w:r w:rsidRPr="00383200">
        <w:rPr>
          <w:color w:val="000000"/>
          <w:lang w:val="es-CO"/>
        </w:rPr>
        <w:t>Demuyter</w:t>
      </w:r>
      <w:proofErr w:type="spellEnd"/>
      <w:r w:rsidRPr="00383200">
        <w:rPr>
          <w:color w:val="000000"/>
          <w:lang w:val="es-CO"/>
        </w:rPr>
        <w:t xml:space="preserve">, P., </w:t>
      </w:r>
      <w:proofErr w:type="spellStart"/>
      <w:r w:rsidRPr="00383200">
        <w:rPr>
          <w:color w:val="000000"/>
          <w:lang w:val="es-CO"/>
        </w:rPr>
        <w:t>Simonet</w:t>
      </w:r>
      <w:proofErr w:type="spellEnd"/>
      <w:r w:rsidRPr="00383200">
        <w:rPr>
          <w:color w:val="000000"/>
          <w:lang w:val="es-CO"/>
        </w:rPr>
        <w:t>, J.M.</w:t>
      </w:r>
      <w:r w:rsidR="007E7E92">
        <w:rPr>
          <w:color w:val="000000"/>
          <w:lang w:val="es-CO"/>
        </w:rPr>
        <w:t>,</w:t>
      </w:r>
      <w:r w:rsidRPr="00383200">
        <w:rPr>
          <w:color w:val="000000"/>
          <w:lang w:val="es-CO"/>
        </w:rPr>
        <w:t xml:space="preserve"> &amp; </w:t>
      </w:r>
      <w:proofErr w:type="spellStart"/>
      <w:r w:rsidRPr="00383200">
        <w:rPr>
          <w:color w:val="000000"/>
          <w:lang w:val="es-CO"/>
        </w:rPr>
        <w:t>Decaris</w:t>
      </w:r>
      <w:proofErr w:type="spellEnd"/>
      <w:r w:rsidRPr="00383200">
        <w:rPr>
          <w:color w:val="000000"/>
          <w:lang w:val="es-CO"/>
        </w:rPr>
        <w:t xml:space="preserve">, B. (1990). </w:t>
      </w:r>
      <w:r>
        <w:rPr>
          <w:color w:val="000000"/>
          <w:lang w:val="en-US"/>
        </w:rPr>
        <w:t xml:space="preserve">Genetic instability and </w:t>
      </w:r>
      <w:proofErr w:type="spellStart"/>
      <w:r>
        <w:rPr>
          <w:color w:val="000000"/>
          <w:lang w:val="en-US"/>
        </w:rPr>
        <w:t>hypervariability</w:t>
      </w:r>
      <w:proofErr w:type="spellEnd"/>
      <w:r>
        <w:rPr>
          <w:color w:val="000000"/>
          <w:lang w:val="en-US"/>
        </w:rPr>
        <w:t xml:space="preserve"> in </w:t>
      </w:r>
      <w:proofErr w:type="spellStart"/>
      <w:r>
        <w:rPr>
          <w:i/>
          <w:color w:val="000000"/>
          <w:lang w:val="en-US"/>
        </w:rPr>
        <w:t>Streptomyces</w:t>
      </w:r>
      <w:proofErr w:type="spellEnd"/>
      <w:r>
        <w:rPr>
          <w:i/>
          <w:color w:val="000000"/>
          <w:lang w:val="en-US"/>
        </w:rPr>
        <w:t xml:space="preserve"> </w:t>
      </w:r>
      <w:proofErr w:type="spellStart"/>
      <w:r>
        <w:rPr>
          <w:i/>
          <w:color w:val="000000"/>
          <w:lang w:val="en-US"/>
        </w:rPr>
        <w:t>ambofaciens</w:t>
      </w:r>
      <w:proofErr w:type="spellEnd"/>
      <w:r>
        <w:rPr>
          <w:color w:val="000000"/>
          <w:lang w:val="en-US"/>
        </w:rPr>
        <w:t xml:space="preserve">: towards an understanding of a mechanism of genome plasticity. </w:t>
      </w:r>
      <w:r>
        <w:rPr>
          <w:i/>
          <w:color w:val="000000"/>
          <w:lang w:val="en-US"/>
        </w:rPr>
        <w:t>Molecular Microbiology</w:t>
      </w:r>
      <w:r w:rsidR="00FD1F0C">
        <w:rPr>
          <w:color w:val="000000"/>
          <w:lang w:val="en-US"/>
        </w:rPr>
        <w:t>,</w:t>
      </w:r>
      <w:r w:rsidR="00FD1F0C" w:rsidRPr="0071230B">
        <w:rPr>
          <w:i/>
          <w:color w:val="000000"/>
          <w:lang w:val="en-US"/>
        </w:rPr>
        <w:t xml:space="preserve"> 4</w:t>
      </w:r>
      <w:r w:rsidR="00FD1F0C">
        <w:rPr>
          <w:color w:val="000000"/>
          <w:lang w:val="en-US"/>
        </w:rPr>
        <w:t xml:space="preserve">(5), 707-714. </w:t>
      </w:r>
      <w:proofErr w:type="spellStart"/>
      <w:r w:rsidR="00FD1F0C">
        <w:rPr>
          <w:color w:val="000000"/>
          <w:lang w:val="en-US"/>
        </w:rPr>
        <w:t>Doi</w:t>
      </w:r>
      <w:proofErr w:type="spellEnd"/>
      <w:r w:rsidR="00FD1F0C">
        <w:rPr>
          <w:color w:val="000000"/>
          <w:lang w:val="en-US"/>
        </w:rPr>
        <w:t xml:space="preserve">: </w:t>
      </w:r>
      <w:r w:rsidR="00FD1F0C" w:rsidRPr="007E7E92">
        <w:rPr>
          <w:color w:val="000000"/>
          <w:lang w:val="en-US"/>
        </w:rPr>
        <w:t>10.1111/j.1365-2958.1990.tb00641.x</w:t>
      </w:r>
    </w:p>
    <w:p w:rsidR="006E5E6B" w:rsidRPr="006E5E6B" w:rsidRDefault="006E5E6B" w:rsidP="006E5E6B">
      <w:pPr>
        <w:pStyle w:val="NormalWeb"/>
        <w:ind w:left="450" w:hanging="450"/>
        <w:jc w:val="both"/>
        <w:rPr>
          <w:color w:val="000000"/>
          <w:lang w:val="en-US"/>
        </w:rPr>
      </w:pPr>
      <w:proofErr w:type="gramStart"/>
      <w:r w:rsidRPr="006E5E6B">
        <w:rPr>
          <w:color w:val="000000"/>
          <w:lang w:val="en-US"/>
        </w:rPr>
        <w:lastRenderedPageBreak/>
        <w:t>Murphy, J., &amp; Riley, J. (1962).</w:t>
      </w:r>
      <w:proofErr w:type="gramEnd"/>
      <w:r w:rsidRPr="006E5E6B">
        <w:rPr>
          <w:color w:val="000000"/>
          <w:lang w:val="en-US"/>
        </w:rPr>
        <w:t xml:space="preserve"> </w:t>
      </w:r>
      <w:proofErr w:type="gramStart"/>
      <w:r w:rsidRPr="006E5E6B">
        <w:rPr>
          <w:color w:val="000000"/>
          <w:lang w:val="en-US"/>
        </w:rPr>
        <w:t>A modified single solution method for the determination of phosphate in natural waters.</w:t>
      </w:r>
      <w:proofErr w:type="gramEnd"/>
      <w:r w:rsidRPr="006E5E6B">
        <w:rPr>
          <w:rStyle w:val="apple-converted-space"/>
          <w:i/>
          <w:iCs/>
          <w:color w:val="000000"/>
          <w:lang w:val="en-US"/>
        </w:rPr>
        <w:t> </w:t>
      </w:r>
      <w:proofErr w:type="spellStart"/>
      <w:r w:rsidRPr="006E5E6B">
        <w:rPr>
          <w:i/>
          <w:iCs/>
          <w:color w:val="000000"/>
          <w:lang w:val="en-US"/>
        </w:rPr>
        <w:t>Analytica</w:t>
      </w:r>
      <w:proofErr w:type="spellEnd"/>
      <w:r w:rsidRPr="006E5E6B">
        <w:rPr>
          <w:i/>
          <w:iCs/>
          <w:color w:val="000000"/>
          <w:lang w:val="en-US"/>
        </w:rPr>
        <w:t xml:space="preserve"> </w:t>
      </w:r>
      <w:proofErr w:type="spellStart"/>
      <w:r w:rsidRPr="006E5E6B">
        <w:rPr>
          <w:i/>
          <w:iCs/>
          <w:color w:val="000000"/>
          <w:lang w:val="en-US"/>
        </w:rPr>
        <w:t>Chimica</w:t>
      </w:r>
      <w:proofErr w:type="spellEnd"/>
      <w:r w:rsidRPr="006E5E6B">
        <w:rPr>
          <w:i/>
          <w:iCs/>
          <w:color w:val="000000"/>
          <w:lang w:val="en-US"/>
        </w:rPr>
        <w:t xml:space="preserve"> Acta,</w:t>
      </w:r>
      <w:r w:rsidRPr="006E5E6B">
        <w:rPr>
          <w:rStyle w:val="apple-converted-space"/>
          <w:i/>
          <w:iCs/>
          <w:color w:val="000000"/>
          <w:lang w:val="en-US"/>
        </w:rPr>
        <w:t> </w:t>
      </w:r>
      <w:r w:rsidRPr="006E5E6B">
        <w:rPr>
          <w:i/>
          <w:iCs/>
          <w:color w:val="000000"/>
          <w:lang w:val="en-US"/>
        </w:rPr>
        <w:t>27</w:t>
      </w:r>
      <w:r w:rsidRPr="006E5E6B">
        <w:rPr>
          <w:color w:val="000000"/>
          <w:lang w:val="en-US"/>
        </w:rPr>
        <w:t>, 31-36.</w:t>
      </w:r>
    </w:p>
    <w:p w:rsidR="006E5E6B" w:rsidRDefault="006E5E6B" w:rsidP="006E5E6B">
      <w:pPr>
        <w:pStyle w:val="NormalWeb"/>
        <w:ind w:left="450" w:hanging="450"/>
        <w:jc w:val="both"/>
        <w:rPr>
          <w:color w:val="000000"/>
          <w:lang w:val="en-US"/>
        </w:rPr>
      </w:pPr>
      <w:r w:rsidRPr="006E5E6B">
        <w:rPr>
          <w:color w:val="000000"/>
          <w:lang w:val="en-US"/>
        </w:rPr>
        <w:t>Nakasone, K. K., Peterson, S. W.</w:t>
      </w:r>
      <w:r w:rsidR="00A33C2D">
        <w:rPr>
          <w:color w:val="000000"/>
          <w:lang w:val="en-US"/>
        </w:rPr>
        <w:t>,</w:t>
      </w:r>
      <w:r w:rsidRPr="006E5E6B">
        <w:rPr>
          <w:color w:val="000000"/>
          <w:lang w:val="en-US"/>
        </w:rPr>
        <w:t xml:space="preserve"> &amp; </w:t>
      </w:r>
      <w:proofErr w:type="spellStart"/>
      <w:r w:rsidRPr="006E5E6B">
        <w:rPr>
          <w:color w:val="000000"/>
          <w:lang w:val="en-US"/>
        </w:rPr>
        <w:t>Jong</w:t>
      </w:r>
      <w:proofErr w:type="spellEnd"/>
      <w:r w:rsidRPr="006E5E6B">
        <w:rPr>
          <w:color w:val="000000"/>
          <w:lang w:val="en-US"/>
        </w:rPr>
        <w:t xml:space="preserve">, S. (2004). </w:t>
      </w:r>
      <w:proofErr w:type="gramStart"/>
      <w:r w:rsidRPr="006E5E6B">
        <w:rPr>
          <w:color w:val="000000"/>
          <w:lang w:val="en-US"/>
        </w:rPr>
        <w:t>Preservation and distribution of fungal cultures.</w:t>
      </w:r>
      <w:proofErr w:type="gramEnd"/>
    </w:p>
    <w:p w:rsidR="009369DD" w:rsidRPr="00BA5B81" w:rsidRDefault="009369DD" w:rsidP="009369DD">
      <w:pPr>
        <w:pStyle w:val="NormalWeb"/>
        <w:ind w:left="450" w:hanging="450"/>
        <w:jc w:val="both"/>
        <w:rPr>
          <w:color w:val="000000"/>
          <w:lang w:val="en-US"/>
        </w:rPr>
      </w:pPr>
      <w:r w:rsidRPr="0045721B">
        <w:rPr>
          <w:color w:val="000000"/>
          <w:lang w:val="es-CO"/>
        </w:rPr>
        <w:t xml:space="preserve">Parra, S. L., Pérez, M. </w:t>
      </w:r>
      <w:r>
        <w:rPr>
          <w:color w:val="000000"/>
          <w:lang w:val="es-CO"/>
        </w:rPr>
        <w:t>M., Bernal, M., Suárez, Z.</w:t>
      </w:r>
      <w:r w:rsidR="00A33C2D">
        <w:rPr>
          <w:color w:val="000000"/>
          <w:lang w:val="es-CO"/>
        </w:rPr>
        <w:t>,</w:t>
      </w:r>
      <w:r>
        <w:rPr>
          <w:color w:val="000000"/>
          <w:lang w:val="es-CO"/>
        </w:rPr>
        <w:t xml:space="preserve"> &amp; Montoya, D. (2006). Implementación y evaluación de dos métodos de conservación y generación de la base de datos del banco de cepas y genes del Instituto de Biotecnología de la Universidad Nacional de Colombia (IBUN). </w:t>
      </w:r>
      <w:proofErr w:type="gramStart"/>
      <w:r w:rsidRPr="00A33C2D">
        <w:rPr>
          <w:i/>
          <w:color w:val="000000"/>
          <w:lang w:val="en-US"/>
        </w:rPr>
        <w:t xml:space="preserve">Nova – </w:t>
      </w:r>
      <w:proofErr w:type="spellStart"/>
      <w:r w:rsidRPr="00A33C2D">
        <w:rPr>
          <w:i/>
          <w:color w:val="000000"/>
          <w:lang w:val="en-US"/>
        </w:rPr>
        <w:t>Publicación</w:t>
      </w:r>
      <w:proofErr w:type="spellEnd"/>
      <w:r w:rsidRPr="00A33C2D">
        <w:rPr>
          <w:i/>
          <w:color w:val="000000"/>
          <w:lang w:val="en-US"/>
        </w:rPr>
        <w:t xml:space="preserve"> </w:t>
      </w:r>
      <w:proofErr w:type="spellStart"/>
      <w:r w:rsidRPr="00A33C2D">
        <w:rPr>
          <w:i/>
          <w:color w:val="000000"/>
          <w:lang w:val="en-US"/>
        </w:rPr>
        <w:t>científica</w:t>
      </w:r>
      <w:proofErr w:type="spellEnd"/>
      <w:r w:rsidR="00A33C2D">
        <w:rPr>
          <w:i/>
          <w:color w:val="000000"/>
          <w:lang w:val="en-US"/>
        </w:rPr>
        <w:t>,</w:t>
      </w:r>
      <w:r w:rsidRPr="00A33C2D">
        <w:rPr>
          <w:i/>
          <w:color w:val="000000"/>
          <w:lang w:val="en-US"/>
        </w:rPr>
        <w:t xml:space="preserve"> 4</w:t>
      </w:r>
      <w:r w:rsidRPr="00BA5B81">
        <w:rPr>
          <w:color w:val="000000"/>
          <w:lang w:val="en-US"/>
        </w:rPr>
        <w:t>(5), 39-49.</w:t>
      </w:r>
      <w:proofErr w:type="gramEnd"/>
    </w:p>
    <w:p w:rsidR="006E5E6B" w:rsidRPr="006E5E6B" w:rsidRDefault="006E5E6B" w:rsidP="006E5E6B">
      <w:pPr>
        <w:pStyle w:val="NormalWeb"/>
        <w:ind w:left="450" w:hanging="450"/>
        <w:jc w:val="both"/>
        <w:rPr>
          <w:color w:val="000000"/>
          <w:lang w:val="en-US"/>
        </w:rPr>
      </w:pPr>
      <w:r w:rsidRPr="006E5E6B">
        <w:rPr>
          <w:color w:val="000000"/>
          <w:lang w:val="en-US"/>
        </w:rPr>
        <w:t xml:space="preserve">Perkins, D. D. (1962). Preservation of </w:t>
      </w:r>
      <w:proofErr w:type="spellStart"/>
      <w:r w:rsidR="004E35E7">
        <w:rPr>
          <w:color w:val="000000"/>
          <w:lang w:val="en-US"/>
        </w:rPr>
        <w:t>N</w:t>
      </w:r>
      <w:r w:rsidRPr="006E5E6B">
        <w:rPr>
          <w:color w:val="000000"/>
          <w:lang w:val="en-US"/>
        </w:rPr>
        <w:t>eurospora</w:t>
      </w:r>
      <w:proofErr w:type="spellEnd"/>
      <w:r w:rsidRPr="006E5E6B">
        <w:rPr>
          <w:color w:val="000000"/>
          <w:lang w:val="en-US"/>
        </w:rPr>
        <w:t xml:space="preserve"> stock cultures with anhydrous silica gel.</w:t>
      </w:r>
      <w:r w:rsidRPr="006E5E6B">
        <w:rPr>
          <w:rStyle w:val="apple-converted-space"/>
          <w:i/>
          <w:iCs/>
          <w:color w:val="000000"/>
          <w:lang w:val="en-US"/>
        </w:rPr>
        <w:t> </w:t>
      </w:r>
      <w:r w:rsidRPr="006E5E6B">
        <w:rPr>
          <w:i/>
          <w:iCs/>
          <w:color w:val="000000"/>
          <w:lang w:val="en-US"/>
        </w:rPr>
        <w:t xml:space="preserve">Canadian Journal </w:t>
      </w:r>
      <w:proofErr w:type="gramStart"/>
      <w:r w:rsidRPr="006E5E6B">
        <w:rPr>
          <w:i/>
          <w:iCs/>
          <w:color w:val="000000"/>
          <w:lang w:val="en-US"/>
        </w:rPr>
        <w:t>of</w:t>
      </w:r>
      <w:r w:rsidR="00414E52">
        <w:rPr>
          <w:i/>
          <w:iCs/>
          <w:color w:val="000000"/>
          <w:lang w:val="en-US"/>
        </w:rPr>
        <w:t xml:space="preserve"> </w:t>
      </w:r>
      <w:r w:rsidRPr="006E5E6B">
        <w:rPr>
          <w:i/>
          <w:iCs/>
          <w:color w:val="000000"/>
          <w:lang w:val="en-US"/>
        </w:rPr>
        <w:t xml:space="preserve"> Microbiology</w:t>
      </w:r>
      <w:proofErr w:type="gramEnd"/>
      <w:r w:rsidRPr="006E5E6B">
        <w:rPr>
          <w:i/>
          <w:iCs/>
          <w:color w:val="000000"/>
          <w:lang w:val="en-US"/>
        </w:rPr>
        <w:t>,</w:t>
      </w:r>
      <w:r w:rsidRPr="006E5E6B">
        <w:rPr>
          <w:rStyle w:val="apple-converted-space"/>
          <w:i/>
          <w:iCs/>
          <w:color w:val="000000"/>
          <w:lang w:val="en-US"/>
        </w:rPr>
        <w:t> </w:t>
      </w:r>
      <w:r w:rsidRPr="006E5E6B">
        <w:rPr>
          <w:i/>
          <w:iCs/>
          <w:color w:val="000000"/>
          <w:lang w:val="en-US"/>
        </w:rPr>
        <w:t>8</w:t>
      </w:r>
      <w:r w:rsidRPr="006E5E6B">
        <w:rPr>
          <w:color w:val="000000"/>
          <w:lang w:val="en-US"/>
        </w:rPr>
        <w:t>(4), 591-594.</w:t>
      </w:r>
    </w:p>
    <w:p w:rsidR="006E5E6B" w:rsidRPr="00A33C2D" w:rsidRDefault="006E5E6B" w:rsidP="006E5E6B">
      <w:pPr>
        <w:pStyle w:val="NormalWeb"/>
        <w:ind w:left="450" w:hanging="450"/>
        <w:jc w:val="both"/>
        <w:rPr>
          <w:color w:val="000000"/>
          <w:lang w:val="es-CO"/>
        </w:rPr>
      </w:pPr>
      <w:r w:rsidRPr="006E5E6B">
        <w:rPr>
          <w:color w:val="000000"/>
          <w:lang w:val="en-US"/>
        </w:rPr>
        <w:t xml:space="preserve">Perry, S. F. (1998). </w:t>
      </w:r>
      <w:proofErr w:type="gramStart"/>
      <w:r w:rsidRPr="006E5E6B">
        <w:rPr>
          <w:color w:val="000000"/>
          <w:lang w:val="en-US"/>
        </w:rPr>
        <w:t>Freeze-drying and cryopreservation of bacteria.</w:t>
      </w:r>
      <w:proofErr w:type="gramEnd"/>
      <w:r w:rsidRPr="006E5E6B">
        <w:rPr>
          <w:rStyle w:val="apple-converted-space"/>
          <w:i/>
          <w:iCs/>
          <w:color w:val="000000"/>
          <w:lang w:val="en-US"/>
        </w:rPr>
        <w:t> </w:t>
      </w:r>
      <w:r w:rsidRPr="00A33C2D">
        <w:rPr>
          <w:i/>
          <w:iCs/>
          <w:color w:val="000000"/>
          <w:lang w:val="es-CO"/>
        </w:rPr>
        <w:t xml:space="preserve">Molecular </w:t>
      </w:r>
      <w:proofErr w:type="spellStart"/>
      <w:r w:rsidRPr="00A33C2D">
        <w:rPr>
          <w:i/>
          <w:iCs/>
          <w:color w:val="000000"/>
          <w:lang w:val="es-CO"/>
        </w:rPr>
        <w:t>Biotechnology</w:t>
      </w:r>
      <w:proofErr w:type="spellEnd"/>
      <w:r w:rsidRPr="00A33C2D">
        <w:rPr>
          <w:i/>
          <w:iCs/>
          <w:color w:val="000000"/>
          <w:lang w:val="es-CO"/>
        </w:rPr>
        <w:t>,</w:t>
      </w:r>
      <w:r w:rsidRPr="00A33C2D">
        <w:rPr>
          <w:rStyle w:val="apple-converted-space"/>
          <w:i/>
          <w:iCs/>
          <w:color w:val="000000"/>
          <w:lang w:val="es-CO"/>
        </w:rPr>
        <w:t> </w:t>
      </w:r>
      <w:r w:rsidRPr="00A33C2D">
        <w:rPr>
          <w:i/>
          <w:iCs/>
          <w:color w:val="000000"/>
          <w:lang w:val="es-CO"/>
        </w:rPr>
        <w:t>9</w:t>
      </w:r>
      <w:r w:rsidRPr="00A33C2D">
        <w:rPr>
          <w:color w:val="000000"/>
          <w:lang w:val="es-CO"/>
        </w:rPr>
        <w:t>(1), 59-64.</w:t>
      </w:r>
    </w:p>
    <w:p w:rsidR="006E5E6B" w:rsidRPr="00A33C2D" w:rsidRDefault="002A07E1" w:rsidP="006E5E6B">
      <w:pPr>
        <w:pStyle w:val="NormalWeb"/>
        <w:ind w:left="450" w:hanging="450"/>
        <w:jc w:val="both"/>
        <w:rPr>
          <w:color w:val="000000"/>
          <w:lang w:val="en-US"/>
        </w:rPr>
      </w:pPr>
      <w:r w:rsidRPr="004E35E7">
        <w:rPr>
          <w:color w:val="000000"/>
          <w:lang w:val="es-CO"/>
        </w:rPr>
        <w:t>Prada</w:t>
      </w:r>
      <w:r w:rsidR="006E5E6B" w:rsidRPr="004E35E7">
        <w:rPr>
          <w:color w:val="000000"/>
          <w:lang w:val="es-CO"/>
        </w:rPr>
        <w:t xml:space="preserve">, L. D., Prieto, </w:t>
      </w:r>
      <w:r w:rsidR="004E35E7" w:rsidRPr="004E35E7">
        <w:rPr>
          <w:color w:val="000000"/>
          <w:lang w:val="es-CO"/>
        </w:rPr>
        <w:t xml:space="preserve">G. </w:t>
      </w:r>
      <w:r w:rsidR="006E5E6B" w:rsidRPr="004E35E7">
        <w:rPr>
          <w:color w:val="000000"/>
          <w:lang w:val="es-CO"/>
        </w:rPr>
        <w:t>C.</w:t>
      </w:r>
      <w:r w:rsidR="00A33C2D">
        <w:rPr>
          <w:color w:val="000000"/>
          <w:lang w:val="es-CO"/>
        </w:rPr>
        <w:t>,</w:t>
      </w:r>
      <w:r w:rsidR="006E5E6B" w:rsidRPr="004E35E7">
        <w:rPr>
          <w:color w:val="000000"/>
          <w:lang w:val="es-CO"/>
        </w:rPr>
        <w:t xml:space="preserve"> &amp; </w:t>
      </w:r>
      <w:r w:rsidR="004E35E7" w:rsidRPr="004E35E7">
        <w:rPr>
          <w:color w:val="000000"/>
          <w:lang w:val="es-CO"/>
        </w:rPr>
        <w:t>Franco</w:t>
      </w:r>
      <w:r w:rsidR="006E5E6B" w:rsidRPr="004E35E7">
        <w:rPr>
          <w:color w:val="000000"/>
          <w:lang w:val="es-CO"/>
        </w:rPr>
        <w:t xml:space="preserve">, M.  </w:t>
      </w:r>
      <w:r w:rsidR="006E5E6B" w:rsidRPr="00BA5B81">
        <w:rPr>
          <w:color w:val="000000"/>
          <w:lang w:val="en-US"/>
        </w:rPr>
        <w:t xml:space="preserve">(2014). </w:t>
      </w:r>
      <w:r w:rsidR="006E5E6B" w:rsidRPr="006E5E6B">
        <w:rPr>
          <w:color w:val="000000"/>
          <w:lang w:val="en-US"/>
        </w:rPr>
        <w:t xml:space="preserve">Screening phosphate </w:t>
      </w:r>
      <w:proofErr w:type="spellStart"/>
      <w:r w:rsidR="006E5E6B" w:rsidRPr="006E5E6B">
        <w:rPr>
          <w:color w:val="000000"/>
          <w:lang w:val="en-US"/>
        </w:rPr>
        <w:t>solubilizing</w:t>
      </w:r>
      <w:proofErr w:type="spellEnd"/>
      <w:r w:rsidR="006E5E6B" w:rsidRPr="006E5E6B">
        <w:rPr>
          <w:color w:val="000000"/>
          <w:lang w:val="en-US"/>
        </w:rPr>
        <w:t xml:space="preserve"> </w:t>
      </w:r>
      <w:proofErr w:type="spellStart"/>
      <w:r w:rsidR="006E5E6B" w:rsidRPr="006E5E6B">
        <w:rPr>
          <w:color w:val="000000"/>
          <w:lang w:val="en-US"/>
        </w:rPr>
        <w:t>actinobacteria</w:t>
      </w:r>
      <w:proofErr w:type="spellEnd"/>
      <w:r w:rsidR="006E5E6B" w:rsidRPr="006E5E6B">
        <w:rPr>
          <w:color w:val="000000"/>
          <w:lang w:val="en-US"/>
        </w:rPr>
        <w:t xml:space="preserve"> isolated from the </w:t>
      </w:r>
      <w:proofErr w:type="spellStart"/>
      <w:r w:rsidR="006E5E6B" w:rsidRPr="006E5E6B">
        <w:rPr>
          <w:color w:val="000000"/>
          <w:lang w:val="en-US"/>
        </w:rPr>
        <w:t>rhizosphere</w:t>
      </w:r>
      <w:proofErr w:type="spellEnd"/>
      <w:r w:rsidR="006E5E6B" w:rsidRPr="006E5E6B">
        <w:rPr>
          <w:color w:val="000000"/>
          <w:lang w:val="en-US"/>
        </w:rPr>
        <w:t xml:space="preserve"> of wild plants from the eastern cordillera of the </w:t>
      </w:r>
      <w:proofErr w:type="spellStart"/>
      <w:proofErr w:type="gramStart"/>
      <w:r w:rsidR="006E5E6B" w:rsidRPr="006E5E6B">
        <w:rPr>
          <w:color w:val="000000"/>
          <w:lang w:val="en-US"/>
        </w:rPr>
        <w:t>colombian</w:t>
      </w:r>
      <w:proofErr w:type="spellEnd"/>
      <w:proofErr w:type="gramEnd"/>
      <w:r w:rsidR="006E5E6B" w:rsidRPr="006E5E6B">
        <w:rPr>
          <w:color w:val="000000"/>
          <w:lang w:val="en-US"/>
        </w:rPr>
        <w:t xml:space="preserve"> </w:t>
      </w:r>
      <w:proofErr w:type="spellStart"/>
      <w:r w:rsidR="006E5E6B" w:rsidRPr="006E5E6B">
        <w:rPr>
          <w:color w:val="000000"/>
          <w:lang w:val="en-US"/>
        </w:rPr>
        <w:t>andes</w:t>
      </w:r>
      <w:proofErr w:type="spellEnd"/>
      <w:r w:rsidR="006E5E6B" w:rsidRPr="006E5E6B">
        <w:rPr>
          <w:color w:val="000000"/>
          <w:lang w:val="en-US"/>
        </w:rPr>
        <w:t>.</w:t>
      </w:r>
      <w:r w:rsidR="006E5E6B" w:rsidRPr="006E5E6B">
        <w:rPr>
          <w:rStyle w:val="apple-converted-space"/>
          <w:i/>
          <w:iCs/>
          <w:color w:val="000000"/>
          <w:lang w:val="en-US"/>
        </w:rPr>
        <w:t> </w:t>
      </w:r>
      <w:r w:rsidR="006E5E6B" w:rsidRPr="00A33C2D">
        <w:rPr>
          <w:i/>
          <w:iCs/>
          <w:color w:val="000000"/>
          <w:lang w:val="en-US"/>
        </w:rPr>
        <w:t>African Journal of Microbiology Research,</w:t>
      </w:r>
      <w:r w:rsidR="006E5E6B" w:rsidRPr="00A33C2D">
        <w:rPr>
          <w:rStyle w:val="apple-converted-space"/>
          <w:i/>
          <w:iCs/>
          <w:color w:val="000000"/>
          <w:lang w:val="en-US"/>
        </w:rPr>
        <w:t> </w:t>
      </w:r>
      <w:r w:rsidR="006E5E6B" w:rsidRPr="00A33C2D">
        <w:rPr>
          <w:i/>
          <w:iCs/>
          <w:color w:val="000000"/>
          <w:lang w:val="en-US"/>
        </w:rPr>
        <w:t>8</w:t>
      </w:r>
      <w:r w:rsidR="006E5E6B" w:rsidRPr="00A33C2D">
        <w:rPr>
          <w:color w:val="000000"/>
          <w:lang w:val="en-US"/>
        </w:rPr>
        <w:t>(8), 734-742.</w:t>
      </w:r>
    </w:p>
    <w:p w:rsidR="00EC0E41" w:rsidRPr="00A33C2D" w:rsidRDefault="00EC0E41" w:rsidP="006E5E6B">
      <w:pPr>
        <w:pStyle w:val="NormalWeb"/>
        <w:ind w:left="450" w:hanging="450"/>
        <w:jc w:val="both"/>
        <w:rPr>
          <w:i/>
          <w:color w:val="000000"/>
          <w:lang w:val="es-CO"/>
        </w:rPr>
      </w:pPr>
      <w:proofErr w:type="spellStart"/>
      <w:proofErr w:type="gramStart"/>
      <w:r w:rsidRPr="00142D58">
        <w:rPr>
          <w:color w:val="000000"/>
          <w:lang w:val="en-US"/>
        </w:rPr>
        <w:t>Prakash</w:t>
      </w:r>
      <w:proofErr w:type="spellEnd"/>
      <w:r w:rsidRPr="00142D58">
        <w:rPr>
          <w:color w:val="000000"/>
          <w:lang w:val="en-US"/>
        </w:rPr>
        <w:t xml:space="preserve">, O., </w:t>
      </w:r>
      <w:proofErr w:type="spellStart"/>
      <w:r w:rsidRPr="00142D58">
        <w:rPr>
          <w:color w:val="000000"/>
          <w:lang w:val="en-US"/>
        </w:rPr>
        <w:t>Nimonkar</w:t>
      </w:r>
      <w:proofErr w:type="spellEnd"/>
      <w:r w:rsidRPr="00142D58">
        <w:rPr>
          <w:color w:val="000000"/>
          <w:lang w:val="en-US"/>
        </w:rPr>
        <w:t>, Y.</w:t>
      </w:r>
      <w:r w:rsidR="00A33C2D">
        <w:rPr>
          <w:color w:val="000000"/>
          <w:lang w:val="en-US"/>
        </w:rPr>
        <w:t>,</w:t>
      </w:r>
      <w:r w:rsidRPr="00142D58">
        <w:rPr>
          <w:color w:val="000000"/>
          <w:lang w:val="en-US"/>
        </w:rPr>
        <w:t xml:space="preserve"> &amp; </w:t>
      </w:r>
      <w:proofErr w:type="spellStart"/>
      <w:r w:rsidRPr="00142D58">
        <w:rPr>
          <w:color w:val="000000"/>
          <w:lang w:val="en-US"/>
        </w:rPr>
        <w:t>Shouche</w:t>
      </w:r>
      <w:proofErr w:type="spellEnd"/>
      <w:r w:rsidRPr="00142D58">
        <w:rPr>
          <w:color w:val="000000"/>
          <w:lang w:val="en-US"/>
        </w:rPr>
        <w:t xml:space="preserve">, Y. </w:t>
      </w:r>
      <w:r>
        <w:rPr>
          <w:color w:val="000000"/>
          <w:lang w:val="en-US"/>
        </w:rPr>
        <w:t>S. (2013).</w:t>
      </w:r>
      <w:proofErr w:type="gramEnd"/>
      <w:r>
        <w:rPr>
          <w:color w:val="000000"/>
          <w:lang w:val="en-US"/>
        </w:rPr>
        <w:t xml:space="preserve"> </w:t>
      </w:r>
      <w:proofErr w:type="gramStart"/>
      <w:r w:rsidRPr="008A08A7">
        <w:rPr>
          <w:lang w:val="en-US"/>
        </w:rPr>
        <w:t>Practice and prospects of microbial preservation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r w:rsidR="00142D58" w:rsidRPr="00A33C2D">
        <w:rPr>
          <w:i/>
          <w:lang w:val="es-CO"/>
        </w:rPr>
        <w:t xml:space="preserve">FEMS </w:t>
      </w:r>
      <w:proofErr w:type="spellStart"/>
      <w:r w:rsidR="00142D58" w:rsidRPr="00A33C2D">
        <w:rPr>
          <w:i/>
          <w:lang w:val="es-CO"/>
        </w:rPr>
        <w:t>Microbiol</w:t>
      </w:r>
      <w:proofErr w:type="spellEnd"/>
      <w:r w:rsidR="00142D58" w:rsidRPr="00A33C2D">
        <w:rPr>
          <w:i/>
          <w:lang w:val="es-CO"/>
        </w:rPr>
        <w:t xml:space="preserve"> </w:t>
      </w:r>
      <w:proofErr w:type="spellStart"/>
      <w:r w:rsidR="00142D58" w:rsidRPr="00A33C2D">
        <w:rPr>
          <w:i/>
          <w:lang w:val="es-CO"/>
        </w:rPr>
        <w:t>Lett</w:t>
      </w:r>
      <w:proofErr w:type="spellEnd"/>
      <w:r w:rsidR="00142D58" w:rsidRPr="00A33C2D">
        <w:rPr>
          <w:i/>
          <w:lang w:val="es-CO"/>
        </w:rPr>
        <w:t>, 339(1), 1-9.</w:t>
      </w:r>
    </w:p>
    <w:p w:rsidR="006169D9" w:rsidRPr="00BA5B81" w:rsidRDefault="006169D9" w:rsidP="006E5E6B">
      <w:pPr>
        <w:pStyle w:val="NormalWeb"/>
        <w:ind w:left="450" w:hanging="450"/>
        <w:jc w:val="both"/>
        <w:rPr>
          <w:color w:val="000000"/>
          <w:lang w:val="en-US"/>
        </w:rPr>
      </w:pPr>
      <w:r>
        <w:rPr>
          <w:color w:val="000000"/>
        </w:rPr>
        <w:t>Prieto, G. C., Prada, L. D., Cuervo, C.</w:t>
      </w:r>
      <w:r w:rsidR="00A33C2D">
        <w:rPr>
          <w:color w:val="000000"/>
        </w:rPr>
        <w:t>,</w:t>
      </w:r>
      <w:r>
        <w:rPr>
          <w:color w:val="000000"/>
        </w:rPr>
        <w:t xml:space="preserve"> &amp; Franco, M. (2015). Evaluación de la producción de ácidos orgánicos por </w:t>
      </w:r>
      <w:proofErr w:type="spellStart"/>
      <w:r>
        <w:rPr>
          <w:i/>
          <w:color w:val="000000"/>
        </w:rPr>
        <w:t>Streptomyces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spp</w:t>
      </w:r>
      <w:proofErr w:type="spellEnd"/>
      <w:r>
        <w:rPr>
          <w:i/>
          <w:color w:val="000000"/>
        </w:rPr>
        <w:t xml:space="preserve">. </w:t>
      </w:r>
      <w:proofErr w:type="gramStart"/>
      <w:r>
        <w:rPr>
          <w:color w:val="000000"/>
        </w:rPr>
        <w:t>y</w:t>
      </w:r>
      <w:proofErr w:type="gramEnd"/>
      <w:r>
        <w:rPr>
          <w:color w:val="000000"/>
        </w:rPr>
        <w:t xml:space="preserve"> solubilización de tres fuentes de fósforo por la cepa T3A. </w:t>
      </w:r>
      <w:r w:rsidRPr="00BA5B81">
        <w:rPr>
          <w:i/>
          <w:color w:val="000000"/>
          <w:lang w:val="en-US"/>
        </w:rPr>
        <w:t>Revista Colombiana de Biotecnología</w:t>
      </w:r>
      <w:r w:rsidR="00A33C2D">
        <w:rPr>
          <w:i/>
          <w:color w:val="000000"/>
          <w:lang w:val="en-US"/>
        </w:rPr>
        <w:t>,</w:t>
      </w:r>
      <w:r w:rsidRPr="00BA5B81">
        <w:rPr>
          <w:i/>
          <w:color w:val="000000"/>
          <w:lang w:val="en-US"/>
        </w:rPr>
        <w:t xml:space="preserve"> </w:t>
      </w:r>
      <w:r w:rsidRPr="00A33C2D">
        <w:rPr>
          <w:i/>
          <w:color w:val="000000"/>
          <w:lang w:val="en-US"/>
        </w:rPr>
        <w:t>17</w:t>
      </w:r>
      <w:r w:rsidRPr="00BA5B81">
        <w:rPr>
          <w:color w:val="000000"/>
          <w:lang w:val="en-US"/>
        </w:rPr>
        <w:t>(1), 111-121.</w:t>
      </w:r>
    </w:p>
    <w:p w:rsidR="00B13635" w:rsidRPr="00B13635" w:rsidRDefault="00B13635" w:rsidP="006E5E6B">
      <w:pPr>
        <w:pStyle w:val="NormalWeb"/>
        <w:ind w:left="450" w:hanging="450"/>
        <w:jc w:val="both"/>
        <w:rPr>
          <w:color w:val="000000"/>
          <w:lang w:val="en-US"/>
        </w:rPr>
      </w:pPr>
      <w:proofErr w:type="spellStart"/>
      <w:r w:rsidRPr="00B13635">
        <w:rPr>
          <w:color w:val="222222"/>
          <w:shd w:val="clear" w:color="auto" w:fill="FFFFFF"/>
          <w:lang w:val="en-US"/>
        </w:rPr>
        <w:t>Rifaat</w:t>
      </w:r>
      <w:proofErr w:type="spellEnd"/>
      <w:r w:rsidRPr="00B13635">
        <w:rPr>
          <w:color w:val="222222"/>
          <w:shd w:val="clear" w:color="auto" w:fill="FFFFFF"/>
          <w:lang w:val="en-US"/>
        </w:rPr>
        <w:t>, H. M. (20</w:t>
      </w:r>
      <w:r>
        <w:rPr>
          <w:color w:val="222222"/>
          <w:shd w:val="clear" w:color="auto" w:fill="FFFFFF"/>
          <w:lang w:val="en-US"/>
        </w:rPr>
        <w:t>09</w:t>
      </w:r>
      <w:r w:rsidRPr="00B13635">
        <w:rPr>
          <w:color w:val="222222"/>
          <w:shd w:val="clear" w:color="auto" w:fill="FFFFFF"/>
          <w:lang w:val="en-US"/>
        </w:rPr>
        <w:t xml:space="preserve">). Viability study of some locally isolated </w:t>
      </w:r>
      <w:proofErr w:type="spellStart"/>
      <w:r w:rsidRPr="00B13635">
        <w:rPr>
          <w:i/>
          <w:color w:val="222222"/>
          <w:shd w:val="clear" w:color="auto" w:fill="FFFFFF"/>
          <w:lang w:val="en-US"/>
        </w:rPr>
        <w:t>Streptomycetes</w:t>
      </w:r>
      <w:proofErr w:type="spellEnd"/>
      <w:r>
        <w:rPr>
          <w:color w:val="222222"/>
          <w:shd w:val="clear" w:color="auto" w:fill="FFFFFF"/>
          <w:lang w:val="en-US"/>
        </w:rPr>
        <w:t xml:space="preserve">. </w:t>
      </w:r>
      <w:r>
        <w:rPr>
          <w:i/>
          <w:color w:val="222222"/>
          <w:shd w:val="clear" w:color="auto" w:fill="FFFFFF"/>
          <w:lang w:val="en-US"/>
        </w:rPr>
        <w:t>Journal of Culture Collections, 6(1), 38-41.</w:t>
      </w:r>
      <w:r>
        <w:rPr>
          <w:color w:val="222222"/>
          <w:shd w:val="clear" w:color="auto" w:fill="FFFFFF"/>
          <w:lang w:val="en-US"/>
        </w:rPr>
        <w:tab/>
      </w:r>
    </w:p>
    <w:p w:rsidR="00AC1F6D" w:rsidRDefault="00AC1F6D" w:rsidP="006E5E6B">
      <w:pPr>
        <w:pStyle w:val="NormalWeb"/>
        <w:ind w:left="450" w:hanging="450"/>
        <w:jc w:val="both"/>
        <w:rPr>
          <w:color w:val="000000"/>
          <w:lang w:val="en-US"/>
        </w:rPr>
      </w:pPr>
      <w:proofErr w:type="spellStart"/>
      <w:proofErr w:type="gramStart"/>
      <w:r w:rsidRPr="00AC1F6D">
        <w:rPr>
          <w:color w:val="000000"/>
          <w:lang w:val="en-US"/>
        </w:rPr>
        <w:t>Sidyakina</w:t>
      </w:r>
      <w:proofErr w:type="spellEnd"/>
      <w:r w:rsidRPr="00AC1F6D">
        <w:rPr>
          <w:color w:val="000000"/>
          <w:lang w:val="en-US"/>
        </w:rPr>
        <w:t>, T. M.</w:t>
      </w:r>
      <w:r w:rsidR="00A33C2D">
        <w:rPr>
          <w:color w:val="000000"/>
          <w:lang w:val="en-US"/>
        </w:rPr>
        <w:t>,</w:t>
      </w:r>
      <w:r w:rsidRPr="00AC1F6D">
        <w:rPr>
          <w:color w:val="000000"/>
          <w:lang w:val="en-US"/>
        </w:rPr>
        <w:t xml:space="preserve"> &amp; </w:t>
      </w:r>
      <w:proofErr w:type="spellStart"/>
      <w:r w:rsidRPr="00AC1F6D">
        <w:rPr>
          <w:color w:val="000000"/>
          <w:lang w:val="en-US"/>
        </w:rPr>
        <w:t>Golimbet</w:t>
      </w:r>
      <w:proofErr w:type="spellEnd"/>
      <w:r w:rsidRPr="00AC1F6D">
        <w:rPr>
          <w:color w:val="000000"/>
          <w:lang w:val="en-US"/>
        </w:rPr>
        <w:t>, V. E. (1991).</w:t>
      </w:r>
      <w:proofErr w:type="gramEnd"/>
      <w:r w:rsidRPr="00AC1F6D">
        <w:rPr>
          <w:color w:val="000000"/>
          <w:lang w:val="en-US"/>
        </w:rPr>
        <w:t xml:space="preserve"> </w:t>
      </w:r>
      <w:proofErr w:type="gramStart"/>
      <w:r w:rsidRPr="00AC1F6D">
        <w:rPr>
          <w:color w:val="000000"/>
          <w:lang w:val="en-US"/>
        </w:rPr>
        <w:t xml:space="preserve">Viability </w:t>
      </w:r>
      <w:r>
        <w:rPr>
          <w:color w:val="000000"/>
          <w:lang w:val="en-US"/>
        </w:rPr>
        <w:t xml:space="preserve">and genetic stability of the bacterium </w:t>
      </w:r>
      <w:r>
        <w:rPr>
          <w:i/>
          <w:color w:val="000000"/>
          <w:lang w:val="en-US"/>
        </w:rPr>
        <w:t xml:space="preserve">Escherichia coli </w:t>
      </w:r>
      <w:r>
        <w:rPr>
          <w:color w:val="000000"/>
          <w:lang w:val="en-US"/>
        </w:rPr>
        <w:t>HB101 with the recombinant plasmid during preservation by various methods.</w:t>
      </w:r>
      <w:proofErr w:type="gramEnd"/>
      <w:r>
        <w:rPr>
          <w:color w:val="000000"/>
          <w:lang w:val="en-US"/>
        </w:rPr>
        <w:t xml:space="preserve"> </w:t>
      </w:r>
      <w:r>
        <w:rPr>
          <w:i/>
          <w:color w:val="000000"/>
          <w:lang w:val="en-US"/>
        </w:rPr>
        <w:t xml:space="preserve">Cryobiology, </w:t>
      </w:r>
      <w:r w:rsidRPr="00A33C2D">
        <w:rPr>
          <w:i/>
          <w:color w:val="000000"/>
          <w:lang w:val="en-US"/>
        </w:rPr>
        <w:t>28</w:t>
      </w:r>
      <w:r>
        <w:rPr>
          <w:color w:val="000000"/>
          <w:lang w:val="en-US"/>
        </w:rPr>
        <w:t>(3), 251-254.</w:t>
      </w:r>
    </w:p>
    <w:p w:rsidR="00BE711E" w:rsidRPr="00BE711E" w:rsidRDefault="00BE711E" w:rsidP="006E5E6B">
      <w:pPr>
        <w:pStyle w:val="NormalWeb"/>
        <w:ind w:left="450" w:hanging="450"/>
        <w:jc w:val="both"/>
        <w:rPr>
          <w:color w:val="000000"/>
          <w:lang w:val="en-US"/>
        </w:rPr>
      </w:pPr>
      <w:proofErr w:type="gramStart"/>
      <w:r w:rsidRPr="00BE711E">
        <w:rPr>
          <w:color w:val="222222"/>
          <w:shd w:val="clear" w:color="auto" w:fill="FFFFFF"/>
          <w:lang w:val="en-US"/>
        </w:rPr>
        <w:t>Trollope, D. R. (1975).</w:t>
      </w:r>
      <w:proofErr w:type="gramEnd"/>
      <w:r w:rsidRPr="00BE711E">
        <w:rPr>
          <w:color w:val="222222"/>
          <w:shd w:val="clear" w:color="auto" w:fill="FFFFFF"/>
          <w:lang w:val="en-US"/>
        </w:rPr>
        <w:t xml:space="preserve"> The preservation of bacteria and fungi on anhydrous silica gel: an assessment of survival over four years.</w:t>
      </w:r>
      <w:r w:rsidRPr="00BE711E">
        <w:rPr>
          <w:rStyle w:val="apple-converted-space"/>
          <w:color w:val="222222"/>
          <w:shd w:val="clear" w:color="auto" w:fill="FFFFFF"/>
          <w:lang w:val="en-US"/>
        </w:rPr>
        <w:t> </w:t>
      </w:r>
      <w:r w:rsidRPr="00BA5B81">
        <w:rPr>
          <w:i/>
          <w:iCs/>
          <w:color w:val="222222"/>
          <w:shd w:val="clear" w:color="auto" w:fill="FFFFFF"/>
          <w:lang w:val="en-US"/>
        </w:rPr>
        <w:t>Journal of Applied Bacteriology</w:t>
      </w:r>
      <w:r w:rsidRPr="00BA5B81">
        <w:rPr>
          <w:color w:val="222222"/>
          <w:shd w:val="clear" w:color="auto" w:fill="FFFFFF"/>
          <w:lang w:val="en-US"/>
        </w:rPr>
        <w:t>,</w:t>
      </w:r>
      <w:r w:rsidRPr="00BA5B81">
        <w:rPr>
          <w:rStyle w:val="apple-converted-space"/>
          <w:color w:val="222222"/>
          <w:shd w:val="clear" w:color="auto" w:fill="FFFFFF"/>
          <w:lang w:val="en-US"/>
        </w:rPr>
        <w:t> </w:t>
      </w:r>
      <w:r w:rsidRPr="00BA5B81">
        <w:rPr>
          <w:i/>
          <w:iCs/>
          <w:color w:val="222222"/>
          <w:shd w:val="clear" w:color="auto" w:fill="FFFFFF"/>
          <w:lang w:val="en-US"/>
        </w:rPr>
        <w:t>38</w:t>
      </w:r>
      <w:r w:rsidRPr="00BA5B81">
        <w:rPr>
          <w:color w:val="222222"/>
          <w:shd w:val="clear" w:color="auto" w:fill="FFFFFF"/>
          <w:lang w:val="en-US"/>
        </w:rPr>
        <w:t>(2), 115-120.</w:t>
      </w:r>
    </w:p>
    <w:p w:rsidR="009A652C" w:rsidRPr="00B054D2" w:rsidRDefault="009A652C" w:rsidP="006E5E6B">
      <w:pPr>
        <w:pStyle w:val="NormalWeb"/>
        <w:ind w:left="450" w:hanging="450"/>
        <w:jc w:val="both"/>
        <w:rPr>
          <w:color w:val="000000"/>
          <w:lang w:val="en-US"/>
        </w:rPr>
      </w:pPr>
      <w:r w:rsidRPr="00EF4420">
        <w:rPr>
          <w:color w:val="000000"/>
          <w:lang w:val="en-US"/>
        </w:rPr>
        <w:t xml:space="preserve">Ventura, M., </w:t>
      </w:r>
      <w:proofErr w:type="spellStart"/>
      <w:r w:rsidRPr="00EF4420">
        <w:rPr>
          <w:color w:val="000000"/>
          <w:lang w:val="en-US"/>
        </w:rPr>
        <w:t>Canchaya</w:t>
      </w:r>
      <w:proofErr w:type="spellEnd"/>
      <w:r w:rsidRPr="00EF4420">
        <w:rPr>
          <w:color w:val="000000"/>
          <w:lang w:val="en-US"/>
        </w:rPr>
        <w:t xml:space="preserve">, C., </w:t>
      </w:r>
      <w:proofErr w:type="spellStart"/>
      <w:r w:rsidRPr="00EF4420">
        <w:rPr>
          <w:color w:val="000000"/>
          <w:lang w:val="en-US"/>
        </w:rPr>
        <w:t>Tauch</w:t>
      </w:r>
      <w:proofErr w:type="spellEnd"/>
      <w:r w:rsidRPr="00EF4420">
        <w:rPr>
          <w:color w:val="000000"/>
          <w:lang w:val="en-US"/>
        </w:rPr>
        <w:t xml:space="preserve">, A., Chandra, G., Fitzgerald, G. F., </w:t>
      </w:r>
      <w:proofErr w:type="spellStart"/>
      <w:r w:rsidRPr="00EF4420">
        <w:rPr>
          <w:color w:val="000000"/>
          <w:lang w:val="en-US"/>
        </w:rPr>
        <w:t>Chater</w:t>
      </w:r>
      <w:proofErr w:type="spellEnd"/>
      <w:r w:rsidRPr="00EF4420">
        <w:rPr>
          <w:color w:val="000000"/>
          <w:lang w:val="en-US"/>
        </w:rPr>
        <w:t>, K. F.</w:t>
      </w:r>
      <w:r w:rsidR="00A33C2D" w:rsidRPr="00EF4420">
        <w:rPr>
          <w:color w:val="000000"/>
          <w:lang w:val="en-US"/>
        </w:rPr>
        <w:t>,</w:t>
      </w:r>
      <w:r w:rsidRPr="00EF4420">
        <w:rPr>
          <w:color w:val="000000"/>
          <w:lang w:val="en-US"/>
        </w:rPr>
        <w:t xml:space="preserve"> &amp; van </w:t>
      </w:r>
      <w:proofErr w:type="spellStart"/>
      <w:r w:rsidRPr="00EF4420">
        <w:rPr>
          <w:color w:val="000000"/>
          <w:lang w:val="en-US"/>
        </w:rPr>
        <w:t>Sinderen</w:t>
      </w:r>
      <w:proofErr w:type="spellEnd"/>
      <w:r w:rsidRPr="00EF4420">
        <w:rPr>
          <w:color w:val="000000"/>
          <w:lang w:val="en-US"/>
        </w:rPr>
        <w:t xml:space="preserve">, D. (2007). </w:t>
      </w:r>
      <w:r w:rsidR="00414E52" w:rsidRPr="00B054D2">
        <w:rPr>
          <w:i/>
          <w:color w:val="000000"/>
          <w:lang w:val="en-US"/>
        </w:rPr>
        <w:t>Microbiology and Molecular Biology Reviews</w:t>
      </w:r>
      <w:r w:rsidRPr="00B054D2">
        <w:rPr>
          <w:i/>
          <w:color w:val="000000"/>
          <w:lang w:val="en-US"/>
        </w:rPr>
        <w:t>, 71</w:t>
      </w:r>
      <w:r w:rsidRPr="00B054D2">
        <w:rPr>
          <w:color w:val="000000"/>
          <w:lang w:val="en-US"/>
        </w:rPr>
        <w:t>(3), 495-548.</w:t>
      </w:r>
    </w:p>
    <w:p w:rsidR="00EC0D6F" w:rsidRPr="005606D2" w:rsidRDefault="00D24903" w:rsidP="005606D2">
      <w:pPr>
        <w:pStyle w:val="NormalWeb"/>
        <w:ind w:left="450" w:hanging="450"/>
        <w:jc w:val="both"/>
        <w:rPr>
          <w:color w:val="000000"/>
          <w:lang w:val="es-CO"/>
        </w:rPr>
      </w:pPr>
      <w:proofErr w:type="spellStart"/>
      <w:r w:rsidRPr="00B054D2">
        <w:rPr>
          <w:color w:val="000000"/>
          <w:lang w:val="en-US"/>
        </w:rPr>
        <w:t>Yocheva</w:t>
      </w:r>
      <w:proofErr w:type="spellEnd"/>
      <w:r w:rsidRPr="00B054D2">
        <w:rPr>
          <w:color w:val="000000"/>
          <w:lang w:val="en-US"/>
        </w:rPr>
        <w:t xml:space="preserve">, L., </w:t>
      </w:r>
      <w:proofErr w:type="spellStart"/>
      <w:r w:rsidRPr="00B054D2">
        <w:rPr>
          <w:color w:val="000000"/>
          <w:lang w:val="en-US"/>
        </w:rPr>
        <w:t>Najdenova</w:t>
      </w:r>
      <w:proofErr w:type="spellEnd"/>
      <w:r w:rsidRPr="00B054D2">
        <w:rPr>
          <w:color w:val="000000"/>
          <w:lang w:val="en-US"/>
        </w:rPr>
        <w:t xml:space="preserve">, M., </w:t>
      </w:r>
      <w:proofErr w:type="spellStart"/>
      <w:r w:rsidRPr="00B054D2">
        <w:rPr>
          <w:color w:val="000000"/>
          <w:lang w:val="en-US"/>
        </w:rPr>
        <w:t>Doncheva</w:t>
      </w:r>
      <w:proofErr w:type="spellEnd"/>
      <w:r w:rsidRPr="00B054D2">
        <w:rPr>
          <w:color w:val="000000"/>
          <w:lang w:val="en-US"/>
        </w:rPr>
        <w:t xml:space="preserve">, D., &amp; </w:t>
      </w:r>
      <w:proofErr w:type="spellStart"/>
      <w:r w:rsidRPr="00B054D2">
        <w:rPr>
          <w:color w:val="000000"/>
          <w:lang w:val="en-US"/>
        </w:rPr>
        <w:t>Antonova-Nikolova</w:t>
      </w:r>
      <w:proofErr w:type="spellEnd"/>
      <w:r w:rsidRPr="00B054D2">
        <w:rPr>
          <w:color w:val="000000"/>
          <w:lang w:val="en-US"/>
        </w:rPr>
        <w:t>, S. (2002).</w:t>
      </w:r>
      <w:r w:rsidR="00383200" w:rsidRPr="00B054D2">
        <w:rPr>
          <w:color w:val="000000"/>
          <w:lang w:val="en-US"/>
        </w:rPr>
        <w:t xml:space="preserve"> </w:t>
      </w:r>
      <w:r w:rsidR="00383200" w:rsidRPr="00EF4420">
        <w:rPr>
          <w:color w:val="000000"/>
          <w:lang w:val="en-US"/>
        </w:rPr>
        <w:t xml:space="preserve">Influence of the long-term preservation on some biological features of three </w:t>
      </w:r>
      <w:proofErr w:type="spellStart"/>
      <w:r w:rsidR="00383200" w:rsidRPr="00EF4420">
        <w:rPr>
          <w:i/>
          <w:color w:val="000000"/>
          <w:lang w:val="en-US"/>
        </w:rPr>
        <w:t>streptomycetes</w:t>
      </w:r>
      <w:proofErr w:type="spellEnd"/>
      <w:r w:rsidR="00383200" w:rsidRPr="00EF4420">
        <w:rPr>
          <w:i/>
          <w:color w:val="000000"/>
          <w:lang w:val="en-US"/>
        </w:rPr>
        <w:t xml:space="preserve"> strains</w:t>
      </w:r>
      <w:r w:rsidR="00383200" w:rsidRPr="00EF4420">
        <w:rPr>
          <w:color w:val="000000"/>
          <w:lang w:val="en-US"/>
        </w:rPr>
        <w:t xml:space="preserve">, producers of antibiotic substances. </w:t>
      </w:r>
      <w:proofErr w:type="spellStart"/>
      <w:r w:rsidR="00383200" w:rsidRPr="00A33C2D">
        <w:rPr>
          <w:i/>
          <w:color w:val="000000"/>
          <w:lang w:val="es-CO"/>
        </w:rPr>
        <w:t>Journal</w:t>
      </w:r>
      <w:proofErr w:type="spellEnd"/>
      <w:r w:rsidR="00383200" w:rsidRPr="00A33C2D">
        <w:rPr>
          <w:i/>
          <w:color w:val="000000"/>
          <w:lang w:val="es-CO"/>
        </w:rPr>
        <w:t xml:space="preserve"> of </w:t>
      </w:r>
      <w:proofErr w:type="spellStart"/>
      <w:r w:rsidR="00383200" w:rsidRPr="00A33C2D">
        <w:rPr>
          <w:i/>
          <w:color w:val="000000"/>
          <w:lang w:val="es-CO"/>
        </w:rPr>
        <w:t>Culture</w:t>
      </w:r>
      <w:proofErr w:type="spellEnd"/>
      <w:r w:rsidR="00383200" w:rsidRPr="00A33C2D">
        <w:rPr>
          <w:i/>
          <w:color w:val="000000"/>
          <w:lang w:val="es-CO"/>
        </w:rPr>
        <w:t xml:space="preserve"> </w:t>
      </w:r>
      <w:proofErr w:type="spellStart"/>
      <w:r w:rsidR="00383200" w:rsidRPr="00A33C2D">
        <w:rPr>
          <w:i/>
          <w:color w:val="000000"/>
          <w:lang w:val="es-CO"/>
        </w:rPr>
        <w:t>Collections</w:t>
      </w:r>
      <w:proofErr w:type="spellEnd"/>
      <w:r w:rsidR="00383200" w:rsidRPr="00A33C2D">
        <w:rPr>
          <w:i/>
          <w:color w:val="000000"/>
          <w:lang w:val="es-CO"/>
        </w:rPr>
        <w:t>, 3</w:t>
      </w:r>
      <w:r w:rsidR="00383200" w:rsidRPr="00A33C2D">
        <w:rPr>
          <w:color w:val="000000"/>
          <w:lang w:val="es-CO"/>
        </w:rPr>
        <w:t>, 25-32</w:t>
      </w:r>
      <w:r w:rsidR="005606D2">
        <w:rPr>
          <w:color w:val="000000"/>
          <w:lang w:val="es-CO"/>
        </w:rPr>
        <w:t>.</w:t>
      </w:r>
    </w:p>
    <w:sectPr w:rsidR="00EC0D6F" w:rsidRPr="005606D2" w:rsidSect="00F27A57">
      <w:type w:val="continuous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91E98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55B" w:rsidRDefault="0095055B" w:rsidP="00EC0D6F">
      <w:pPr>
        <w:spacing w:after="0" w:line="240" w:lineRule="auto"/>
      </w:pPr>
      <w:r>
        <w:separator/>
      </w:r>
    </w:p>
  </w:endnote>
  <w:endnote w:type="continuationSeparator" w:id="0">
    <w:p w:rsidR="0095055B" w:rsidRDefault="0095055B" w:rsidP="00EC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E52" w:rsidRPr="00FB1B85" w:rsidRDefault="00414E52" w:rsidP="00271072">
    <w:pPr>
      <w:pStyle w:val="Piedepgina"/>
      <w:rPr>
        <w:sz w:val="20"/>
        <w:szCs w:val="20"/>
      </w:rPr>
    </w:pPr>
  </w:p>
  <w:p w:rsidR="00414E52" w:rsidRDefault="00414E5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55B" w:rsidRDefault="0095055B" w:rsidP="00EC0D6F">
      <w:pPr>
        <w:spacing w:after="0" w:line="240" w:lineRule="auto"/>
      </w:pPr>
      <w:r>
        <w:separator/>
      </w:r>
    </w:p>
  </w:footnote>
  <w:footnote w:type="continuationSeparator" w:id="0">
    <w:p w:rsidR="0095055B" w:rsidRDefault="0095055B" w:rsidP="00EC0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2408F"/>
    <w:multiLevelType w:val="hybridMultilevel"/>
    <w:tmpl w:val="24CE7ABC"/>
    <w:lvl w:ilvl="0" w:tplc="A794750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B493A"/>
    <w:multiLevelType w:val="hybridMultilevel"/>
    <w:tmpl w:val="BFE8CB3E"/>
    <w:lvl w:ilvl="0" w:tplc="7C3C709E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55621"/>
    <w:multiLevelType w:val="hybridMultilevel"/>
    <w:tmpl w:val="6BE4731A"/>
    <w:lvl w:ilvl="0" w:tplc="86144C52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5782B"/>
    <w:multiLevelType w:val="hybridMultilevel"/>
    <w:tmpl w:val="B4084EF4"/>
    <w:lvl w:ilvl="0" w:tplc="9A7E5664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E57D0"/>
    <w:multiLevelType w:val="hybridMultilevel"/>
    <w:tmpl w:val="0A607A26"/>
    <w:lvl w:ilvl="0" w:tplc="A794750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is Daniel Prada S">
    <w15:presenceInfo w15:providerId="None" w15:userId="Luis Daniel Prada 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0MjY1sDC1tLQwtDQzMTJQ0lEKTi0uzszPAykwrAUA15TefywAAAA="/>
  </w:docVars>
  <w:rsids>
    <w:rsidRoot w:val="00EC0D6F"/>
    <w:rsid w:val="000027EC"/>
    <w:rsid w:val="00006877"/>
    <w:rsid w:val="000163EE"/>
    <w:rsid w:val="00043C8D"/>
    <w:rsid w:val="000531B4"/>
    <w:rsid w:val="00064B9B"/>
    <w:rsid w:val="00081FAC"/>
    <w:rsid w:val="00084986"/>
    <w:rsid w:val="000B1B4C"/>
    <w:rsid w:val="000D7899"/>
    <w:rsid w:val="000F52A4"/>
    <w:rsid w:val="001244BF"/>
    <w:rsid w:val="00137C0F"/>
    <w:rsid w:val="00142B39"/>
    <w:rsid w:val="00142D58"/>
    <w:rsid w:val="00172107"/>
    <w:rsid w:val="00173C39"/>
    <w:rsid w:val="001765E9"/>
    <w:rsid w:val="0018152E"/>
    <w:rsid w:val="001A5FA7"/>
    <w:rsid w:val="001B00C8"/>
    <w:rsid w:val="001B22DE"/>
    <w:rsid w:val="001C620F"/>
    <w:rsid w:val="001E2148"/>
    <w:rsid w:val="001F4240"/>
    <w:rsid w:val="00215459"/>
    <w:rsid w:val="00237996"/>
    <w:rsid w:val="002407D2"/>
    <w:rsid w:val="00251376"/>
    <w:rsid w:val="002528F6"/>
    <w:rsid w:val="002579E5"/>
    <w:rsid w:val="0026164E"/>
    <w:rsid w:val="00266895"/>
    <w:rsid w:val="00270AD9"/>
    <w:rsid w:val="00271072"/>
    <w:rsid w:val="002834DA"/>
    <w:rsid w:val="00292F2C"/>
    <w:rsid w:val="002A07E1"/>
    <w:rsid w:val="002B5773"/>
    <w:rsid w:val="002D0E14"/>
    <w:rsid w:val="002D12E3"/>
    <w:rsid w:val="002D68D0"/>
    <w:rsid w:val="00303BA7"/>
    <w:rsid w:val="0030717F"/>
    <w:rsid w:val="00307BD0"/>
    <w:rsid w:val="003235B5"/>
    <w:rsid w:val="00330C91"/>
    <w:rsid w:val="0033359E"/>
    <w:rsid w:val="00335423"/>
    <w:rsid w:val="00343920"/>
    <w:rsid w:val="00343EB6"/>
    <w:rsid w:val="0034734E"/>
    <w:rsid w:val="003537B7"/>
    <w:rsid w:val="003574F9"/>
    <w:rsid w:val="00374631"/>
    <w:rsid w:val="00383200"/>
    <w:rsid w:val="003837B8"/>
    <w:rsid w:val="003A5210"/>
    <w:rsid w:val="003B7AEF"/>
    <w:rsid w:val="003C1CED"/>
    <w:rsid w:val="003C22D4"/>
    <w:rsid w:val="003D17E6"/>
    <w:rsid w:val="003E08C8"/>
    <w:rsid w:val="003E234A"/>
    <w:rsid w:val="003E67BC"/>
    <w:rsid w:val="00410A27"/>
    <w:rsid w:val="00414E52"/>
    <w:rsid w:val="00426F9A"/>
    <w:rsid w:val="004320B1"/>
    <w:rsid w:val="00432FE5"/>
    <w:rsid w:val="0043478F"/>
    <w:rsid w:val="00447F48"/>
    <w:rsid w:val="00476BB7"/>
    <w:rsid w:val="00480069"/>
    <w:rsid w:val="00484131"/>
    <w:rsid w:val="00493F67"/>
    <w:rsid w:val="004952ED"/>
    <w:rsid w:val="004D40D1"/>
    <w:rsid w:val="004E35E7"/>
    <w:rsid w:val="004E4EEF"/>
    <w:rsid w:val="004E5B61"/>
    <w:rsid w:val="004E72CC"/>
    <w:rsid w:val="00504304"/>
    <w:rsid w:val="005210ED"/>
    <w:rsid w:val="0052666B"/>
    <w:rsid w:val="0055243A"/>
    <w:rsid w:val="00556A64"/>
    <w:rsid w:val="005606D2"/>
    <w:rsid w:val="00584B23"/>
    <w:rsid w:val="005911E9"/>
    <w:rsid w:val="005C29EA"/>
    <w:rsid w:val="005C6ADA"/>
    <w:rsid w:val="005E60FB"/>
    <w:rsid w:val="005E73B3"/>
    <w:rsid w:val="005F2A15"/>
    <w:rsid w:val="0060624E"/>
    <w:rsid w:val="00612246"/>
    <w:rsid w:val="006169D9"/>
    <w:rsid w:val="00632DF0"/>
    <w:rsid w:val="006631F6"/>
    <w:rsid w:val="006637ED"/>
    <w:rsid w:val="006657B4"/>
    <w:rsid w:val="006A21DB"/>
    <w:rsid w:val="006A3981"/>
    <w:rsid w:val="006A7007"/>
    <w:rsid w:val="006B02E0"/>
    <w:rsid w:val="006B36D6"/>
    <w:rsid w:val="006D5447"/>
    <w:rsid w:val="006E5E6B"/>
    <w:rsid w:val="006F10E2"/>
    <w:rsid w:val="0071230B"/>
    <w:rsid w:val="007346D4"/>
    <w:rsid w:val="00750FA9"/>
    <w:rsid w:val="007516D3"/>
    <w:rsid w:val="00761E40"/>
    <w:rsid w:val="0078354E"/>
    <w:rsid w:val="00796741"/>
    <w:rsid w:val="00796F11"/>
    <w:rsid w:val="007B3341"/>
    <w:rsid w:val="007C045E"/>
    <w:rsid w:val="007D0E3E"/>
    <w:rsid w:val="007E263A"/>
    <w:rsid w:val="007E3E84"/>
    <w:rsid w:val="007E7E92"/>
    <w:rsid w:val="007F25A4"/>
    <w:rsid w:val="007F450C"/>
    <w:rsid w:val="008018FF"/>
    <w:rsid w:val="008102E8"/>
    <w:rsid w:val="0081519A"/>
    <w:rsid w:val="00837167"/>
    <w:rsid w:val="00842A18"/>
    <w:rsid w:val="00855C5C"/>
    <w:rsid w:val="00884136"/>
    <w:rsid w:val="008966C9"/>
    <w:rsid w:val="008A08A7"/>
    <w:rsid w:val="008A5495"/>
    <w:rsid w:val="008B0A58"/>
    <w:rsid w:val="008B350A"/>
    <w:rsid w:val="008B457D"/>
    <w:rsid w:val="008B6565"/>
    <w:rsid w:val="008C7BB9"/>
    <w:rsid w:val="008D438D"/>
    <w:rsid w:val="00924B86"/>
    <w:rsid w:val="00931B17"/>
    <w:rsid w:val="00932A9C"/>
    <w:rsid w:val="009369DD"/>
    <w:rsid w:val="00943003"/>
    <w:rsid w:val="0094427E"/>
    <w:rsid w:val="0095055B"/>
    <w:rsid w:val="00964699"/>
    <w:rsid w:val="0096756D"/>
    <w:rsid w:val="00975D66"/>
    <w:rsid w:val="009A51E7"/>
    <w:rsid w:val="009A652C"/>
    <w:rsid w:val="009B732C"/>
    <w:rsid w:val="009D27EB"/>
    <w:rsid w:val="009E45E1"/>
    <w:rsid w:val="00A31A6F"/>
    <w:rsid w:val="00A32033"/>
    <w:rsid w:val="00A33C2D"/>
    <w:rsid w:val="00A512CE"/>
    <w:rsid w:val="00A60364"/>
    <w:rsid w:val="00A66C7D"/>
    <w:rsid w:val="00A7623D"/>
    <w:rsid w:val="00A83BD3"/>
    <w:rsid w:val="00AA4435"/>
    <w:rsid w:val="00AB4D66"/>
    <w:rsid w:val="00AB5AD0"/>
    <w:rsid w:val="00AC1F6D"/>
    <w:rsid w:val="00AD79F5"/>
    <w:rsid w:val="00AE4610"/>
    <w:rsid w:val="00AE51FB"/>
    <w:rsid w:val="00B0279A"/>
    <w:rsid w:val="00B054D2"/>
    <w:rsid w:val="00B13635"/>
    <w:rsid w:val="00B2355E"/>
    <w:rsid w:val="00B25B77"/>
    <w:rsid w:val="00B30DC9"/>
    <w:rsid w:val="00B40E2E"/>
    <w:rsid w:val="00B477A9"/>
    <w:rsid w:val="00B515A1"/>
    <w:rsid w:val="00B5366F"/>
    <w:rsid w:val="00B6267D"/>
    <w:rsid w:val="00B76637"/>
    <w:rsid w:val="00B82617"/>
    <w:rsid w:val="00B9507F"/>
    <w:rsid w:val="00B9728F"/>
    <w:rsid w:val="00BA51FF"/>
    <w:rsid w:val="00BA5B81"/>
    <w:rsid w:val="00BB186F"/>
    <w:rsid w:val="00BC25EB"/>
    <w:rsid w:val="00BD2F91"/>
    <w:rsid w:val="00BE711E"/>
    <w:rsid w:val="00BF54EC"/>
    <w:rsid w:val="00C00FD7"/>
    <w:rsid w:val="00C05B34"/>
    <w:rsid w:val="00C252EE"/>
    <w:rsid w:val="00C3075D"/>
    <w:rsid w:val="00C338D9"/>
    <w:rsid w:val="00C508CB"/>
    <w:rsid w:val="00C5725A"/>
    <w:rsid w:val="00C812FA"/>
    <w:rsid w:val="00CA1C20"/>
    <w:rsid w:val="00CC624F"/>
    <w:rsid w:val="00CF68B3"/>
    <w:rsid w:val="00D24903"/>
    <w:rsid w:val="00D466C4"/>
    <w:rsid w:val="00D47543"/>
    <w:rsid w:val="00D942F5"/>
    <w:rsid w:val="00DA36E5"/>
    <w:rsid w:val="00DB2577"/>
    <w:rsid w:val="00DE04F5"/>
    <w:rsid w:val="00DE37A6"/>
    <w:rsid w:val="00DF770E"/>
    <w:rsid w:val="00E05B75"/>
    <w:rsid w:val="00E10C5A"/>
    <w:rsid w:val="00E23A3C"/>
    <w:rsid w:val="00E26DE2"/>
    <w:rsid w:val="00E4089D"/>
    <w:rsid w:val="00E44D35"/>
    <w:rsid w:val="00E674C7"/>
    <w:rsid w:val="00EC0D6F"/>
    <w:rsid w:val="00EC0E41"/>
    <w:rsid w:val="00EC2100"/>
    <w:rsid w:val="00EC2DDB"/>
    <w:rsid w:val="00EC3794"/>
    <w:rsid w:val="00EE108F"/>
    <w:rsid w:val="00EE5AA0"/>
    <w:rsid w:val="00EF4420"/>
    <w:rsid w:val="00F137BB"/>
    <w:rsid w:val="00F208A4"/>
    <w:rsid w:val="00F2123A"/>
    <w:rsid w:val="00F27A57"/>
    <w:rsid w:val="00F37475"/>
    <w:rsid w:val="00F4579B"/>
    <w:rsid w:val="00F50ADA"/>
    <w:rsid w:val="00F62A3C"/>
    <w:rsid w:val="00F646D3"/>
    <w:rsid w:val="00F664E7"/>
    <w:rsid w:val="00F71166"/>
    <w:rsid w:val="00FA1DE2"/>
    <w:rsid w:val="00FA4F1D"/>
    <w:rsid w:val="00FB1B85"/>
    <w:rsid w:val="00FB3717"/>
    <w:rsid w:val="00FB372F"/>
    <w:rsid w:val="00FB3AEC"/>
    <w:rsid w:val="00FC1538"/>
    <w:rsid w:val="00FD1F0C"/>
    <w:rsid w:val="00FD2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C0D6F"/>
    <w:pPr>
      <w:spacing w:after="0" w:line="240" w:lineRule="auto"/>
    </w:pPr>
  </w:style>
  <w:style w:type="character" w:customStyle="1" w:styleId="hps">
    <w:name w:val="hps"/>
    <w:basedOn w:val="Fuentedeprrafopredeter"/>
    <w:rsid w:val="00EC0D6F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0D6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0D6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C0D6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C0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0D6F"/>
  </w:style>
  <w:style w:type="paragraph" w:styleId="Piedepgina">
    <w:name w:val="footer"/>
    <w:basedOn w:val="Normal"/>
    <w:link w:val="PiedepginaCar"/>
    <w:uiPriority w:val="99"/>
    <w:unhideWhenUsed/>
    <w:rsid w:val="00EC0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D6F"/>
  </w:style>
  <w:style w:type="paragraph" w:styleId="Prrafodelista">
    <w:name w:val="List Paragraph"/>
    <w:basedOn w:val="Normal"/>
    <w:uiPriority w:val="34"/>
    <w:qFormat/>
    <w:rsid w:val="00837167"/>
    <w:pPr>
      <w:ind w:left="720"/>
      <w:contextualSpacing/>
    </w:pPr>
  </w:style>
  <w:style w:type="paragraph" w:customStyle="1" w:styleId="Default">
    <w:name w:val="Default"/>
    <w:rsid w:val="008371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merodelnea">
    <w:name w:val="line number"/>
    <w:basedOn w:val="Fuentedeprrafopredeter"/>
    <w:uiPriority w:val="99"/>
    <w:semiHidden/>
    <w:unhideWhenUsed/>
    <w:rsid w:val="00E4089D"/>
  </w:style>
  <w:style w:type="character" w:styleId="Hipervnculo">
    <w:name w:val="Hyperlink"/>
    <w:basedOn w:val="Fuentedeprrafopredeter"/>
    <w:uiPriority w:val="99"/>
    <w:unhideWhenUsed/>
    <w:rsid w:val="006E5E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E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6E5E6B"/>
  </w:style>
  <w:style w:type="paragraph" w:styleId="Textodeglobo">
    <w:name w:val="Balloon Text"/>
    <w:basedOn w:val="Normal"/>
    <w:link w:val="TextodegloboCar"/>
    <w:uiPriority w:val="99"/>
    <w:semiHidden/>
    <w:unhideWhenUsed/>
    <w:rsid w:val="00493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F6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50A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0A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0A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0A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0AD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884136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646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46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46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C0D6F"/>
    <w:pPr>
      <w:spacing w:after="0" w:line="240" w:lineRule="auto"/>
    </w:pPr>
  </w:style>
  <w:style w:type="character" w:customStyle="1" w:styleId="hps">
    <w:name w:val="hps"/>
    <w:basedOn w:val="Fuentedeprrafopredeter"/>
    <w:rsid w:val="00EC0D6F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0D6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0D6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C0D6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C0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0D6F"/>
  </w:style>
  <w:style w:type="paragraph" w:styleId="Piedepgina">
    <w:name w:val="footer"/>
    <w:basedOn w:val="Normal"/>
    <w:link w:val="PiedepginaCar"/>
    <w:uiPriority w:val="99"/>
    <w:unhideWhenUsed/>
    <w:rsid w:val="00EC0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D6F"/>
  </w:style>
  <w:style w:type="paragraph" w:styleId="Prrafodelista">
    <w:name w:val="List Paragraph"/>
    <w:basedOn w:val="Normal"/>
    <w:uiPriority w:val="34"/>
    <w:qFormat/>
    <w:rsid w:val="00837167"/>
    <w:pPr>
      <w:ind w:left="720"/>
      <w:contextualSpacing/>
    </w:pPr>
  </w:style>
  <w:style w:type="paragraph" w:customStyle="1" w:styleId="Default">
    <w:name w:val="Default"/>
    <w:rsid w:val="008371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merodelnea">
    <w:name w:val="line number"/>
    <w:basedOn w:val="Fuentedeprrafopredeter"/>
    <w:uiPriority w:val="99"/>
    <w:semiHidden/>
    <w:unhideWhenUsed/>
    <w:rsid w:val="00E4089D"/>
  </w:style>
  <w:style w:type="character" w:styleId="Hipervnculo">
    <w:name w:val="Hyperlink"/>
    <w:basedOn w:val="Fuentedeprrafopredeter"/>
    <w:uiPriority w:val="99"/>
    <w:unhideWhenUsed/>
    <w:rsid w:val="006E5E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E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6E5E6B"/>
  </w:style>
  <w:style w:type="paragraph" w:styleId="Textodeglobo">
    <w:name w:val="Balloon Text"/>
    <w:basedOn w:val="Normal"/>
    <w:link w:val="TextodegloboCar"/>
    <w:uiPriority w:val="99"/>
    <w:semiHidden/>
    <w:unhideWhenUsed/>
    <w:rsid w:val="00493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F6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50A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0A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0A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0A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0AD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884136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646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46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46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DEFF5-11BA-43E4-AD51-56BAAC82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5468</Words>
  <Characters>30074</Characters>
  <Application>Microsoft Office Word</Application>
  <DocSecurity>0</DocSecurity>
  <Lines>250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sebastian ocampo murillo</dc:creator>
  <cp:lastModifiedBy>revista</cp:lastModifiedBy>
  <cp:revision>12</cp:revision>
  <cp:lastPrinted>2015-04-17T20:27:00Z</cp:lastPrinted>
  <dcterms:created xsi:type="dcterms:W3CDTF">2016-11-24T15:21:00Z</dcterms:created>
  <dcterms:modified xsi:type="dcterms:W3CDTF">2016-11-24T15:32:00Z</dcterms:modified>
</cp:coreProperties>
</file>