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EB0" w:rsidRDefault="00CC3EB0" w:rsidP="006F2C2B">
      <w:pPr>
        <w:pStyle w:val="Sinespaciado"/>
        <w:jc w:val="both"/>
        <w:rPr>
          <w:rFonts w:ascii="Arial" w:hAnsi="Arial"/>
          <w:b/>
          <w:sz w:val="24"/>
          <w:szCs w:val="24"/>
        </w:rPr>
      </w:pPr>
      <w:r w:rsidRPr="0031297B">
        <w:rPr>
          <w:rFonts w:ascii="Arial" w:hAnsi="Arial"/>
          <w:b/>
          <w:sz w:val="24"/>
          <w:szCs w:val="24"/>
        </w:rPr>
        <w:t>Comparación</w:t>
      </w:r>
      <w:r w:rsidR="00D21192" w:rsidRPr="0031297B">
        <w:rPr>
          <w:rFonts w:ascii="Arial" w:hAnsi="Arial"/>
          <w:b/>
          <w:sz w:val="24"/>
          <w:szCs w:val="24"/>
        </w:rPr>
        <w:t xml:space="preserve"> </w:t>
      </w:r>
      <w:r w:rsidR="0031297B" w:rsidRPr="0031297B">
        <w:rPr>
          <w:rFonts w:ascii="Arial" w:hAnsi="Arial"/>
          <w:b/>
          <w:sz w:val="24"/>
          <w:szCs w:val="24"/>
        </w:rPr>
        <w:t>del potencial oxidativo de</w:t>
      </w:r>
      <w:r w:rsidR="009D2B66">
        <w:rPr>
          <w:rFonts w:ascii="Arial" w:hAnsi="Arial"/>
          <w:b/>
          <w:sz w:val="24"/>
          <w:szCs w:val="24"/>
        </w:rPr>
        <w:t xml:space="preserve"> </w:t>
      </w:r>
      <w:r w:rsidRPr="0031297B">
        <w:rPr>
          <w:rFonts w:ascii="Arial" w:hAnsi="Arial"/>
          <w:b/>
          <w:i/>
          <w:sz w:val="24"/>
          <w:szCs w:val="24"/>
        </w:rPr>
        <w:t>Acidithiobacillus ferrooxidans</w:t>
      </w:r>
      <w:r w:rsidR="00F67756" w:rsidRPr="0031297B">
        <w:rPr>
          <w:rFonts w:ascii="Arial" w:hAnsi="Arial"/>
          <w:b/>
          <w:i/>
          <w:sz w:val="24"/>
          <w:szCs w:val="24"/>
        </w:rPr>
        <w:t>,</w:t>
      </w:r>
      <w:r w:rsidRPr="0031297B">
        <w:rPr>
          <w:rFonts w:ascii="Arial" w:hAnsi="Arial"/>
          <w:b/>
          <w:sz w:val="24"/>
          <w:szCs w:val="24"/>
        </w:rPr>
        <w:t xml:space="preserve"> en</w:t>
      </w:r>
      <w:r w:rsidR="00D21192" w:rsidRPr="0031297B">
        <w:rPr>
          <w:rFonts w:ascii="Arial" w:hAnsi="Arial"/>
          <w:b/>
          <w:sz w:val="24"/>
          <w:szCs w:val="24"/>
        </w:rPr>
        <w:t xml:space="preserve"> un</w:t>
      </w:r>
      <w:r w:rsidRPr="0031297B">
        <w:rPr>
          <w:rFonts w:ascii="Arial" w:hAnsi="Arial"/>
          <w:b/>
          <w:sz w:val="24"/>
          <w:szCs w:val="24"/>
        </w:rPr>
        <w:t xml:space="preserve"> </w:t>
      </w:r>
      <w:r w:rsidR="00D21192" w:rsidRPr="0031297B">
        <w:rPr>
          <w:rFonts w:ascii="Arial" w:hAnsi="Arial"/>
          <w:b/>
          <w:sz w:val="24"/>
          <w:szCs w:val="24"/>
        </w:rPr>
        <w:t>proceso</w:t>
      </w:r>
      <w:r w:rsidRPr="0031297B">
        <w:rPr>
          <w:rFonts w:ascii="Arial" w:hAnsi="Arial"/>
          <w:b/>
          <w:sz w:val="24"/>
          <w:szCs w:val="24"/>
        </w:rPr>
        <w:t xml:space="preserve"> de biodesulfurización de carbón</w:t>
      </w:r>
    </w:p>
    <w:p w:rsidR="00D623FD" w:rsidRPr="0031297B" w:rsidRDefault="00D623FD" w:rsidP="006F2C2B">
      <w:pPr>
        <w:pStyle w:val="Sinespaciado"/>
        <w:jc w:val="both"/>
        <w:rPr>
          <w:rFonts w:ascii="Arial" w:hAnsi="Arial"/>
          <w:b/>
          <w:sz w:val="24"/>
          <w:szCs w:val="24"/>
        </w:rPr>
      </w:pPr>
    </w:p>
    <w:p w:rsidR="00CC3EB0" w:rsidRDefault="00A874FA" w:rsidP="006F2C2B">
      <w:pPr>
        <w:pStyle w:val="Sinespaciado"/>
        <w:jc w:val="both"/>
        <w:rPr>
          <w:rFonts w:ascii="Arial" w:hAnsi="Arial"/>
          <w:b/>
          <w:sz w:val="24"/>
          <w:szCs w:val="24"/>
          <w:lang w:val="en-US"/>
        </w:rPr>
      </w:pPr>
      <w:r w:rsidRPr="008F4545">
        <w:rPr>
          <w:rFonts w:ascii="Arial" w:hAnsi="Arial"/>
          <w:b/>
          <w:sz w:val="24"/>
          <w:szCs w:val="24"/>
          <w:lang w:val="en-US"/>
        </w:rPr>
        <w:t xml:space="preserve">Comparison of the oxidative potential </w:t>
      </w:r>
      <w:r w:rsidR="00D21192" w:rsidRPr="008F4545">
        <w:rPr>
          <w:rFonts w:ascii="Arial" w:hAnsi="Arial"/>
          <w:b/>
          <w:sz w:val="24"/>
          <w:szCs w:val="24"/>
          <w:lang w:val="en-US"/>
        </w:rPr>
        <w:t xml:space="preserve">of </w:t>
      </w:r>
      <w:proofErr w:type="spellStart"/>
      <w:r w:rsidR="00D21192" w:rsidRPr="008F4545">
        <w:rPr>
          <w:rFonts w:ascii="Arial" w:hAnsi="Arial"/>
          <w:b/>
          <w:i/>
          <w:sz w:val="24"/>
          <w:szCs w:val="24"/>
          <w:lang w:val="en-US"/>
        </w:rPr>
        <w:t>Acidithiobacillus</w:t>
      </w:r>
      <w:proofErr w:type="spellEnd"/>
      <w:r w:rsidR="00D21192" w:rsidRPr="008F4545">
        <w:rPr>
          <w:rFonts w:ascii="Arial" w:hAnsi="Arial"/>
          <w:b/>
          <w:i/>
          <w:sz w:val="24"/>
          <w:szCs w:val="24"/>
          <w:lang w:val="en-US"/>
        </w:rPr>
        <w:t xml:space="preserve"> </w:t>
      </w:r>
      <w:proofErr w:type="spellStart"/>
      <w:r w:rsidR="00D21192" w:rsidRPr="008F4545">
        <w:rPr>
          <w:rFonts w:ascii="Arial" w:hAnsi="Arial"/>
          <w:b/>
          <w:i/>
          <w:sz w:val="24"/>
          <w:szCs w:val="24"/>
          <w:lang w:val="en-US"/>
        </w:rPr>
        <w:t>ferrooxidans</w:t>
      </w:r>
      <w:proofErr w:type="spellEnd"/>
      <w:r w:rsidR="00F67756" w:rsidRPr="008F4545">
        <w:rPr>
          <w:rFonts w:ascii="Arial" w:hAnsi="Arial"/>
          <w:b/>
          <w:i/>
          <w:sz w:val="24"/>
          <w:szCs w:val="24"/>
          <w:lang w:val="en-US"/>
        </w:rPr>
        <w:t>,</w:t>
      </w:r>
      <w:r w:rsidR="00D21192" w:rsidRPr="008F4545">
        <w:rPr>
          <w:rFonts w:ascii="Arial" w:hAnsi="Arial"/>
          <w:b/>
          <w:i/>
          <w:sz w:val="24"/>
          <w:szCs w:val="24"/>
          <w:lang w:val="en-US"/>
        </w:rPr>
        <w:t xml:space="preserve"> </w:t>
      </w:r>
      <w:r w:rsidR="00D21192" w:rsidRPr="008F4545">
        <w:rPr>
          <w:rFonts w:ascii="Arial" w:hAnsi="Arial"/>
          <w:b/>
          <w:sz w:val="24"/>
          <w:szCs w:val="24"/>
          <w:lang w:val="en-US"/>
        </w:rPr>
        <w:t xml:space="preserve">in </w:t>
      </w:r>
      <w:proofErr w:type="spellStart"/>
      <w:r w:rsidR="00D21192" w:rsidRPr="008F4545">
        <w:rPr>
          <w:rFonts w:ascii="Arial" w:hAnsi="Arial"/>
          <w:b/>
          <w:sz w:val="24"/>
          <w:szCs w:val="24"/>
          <w:lang w:val="en-US"/>
        </w:rPr>
        <w:t>biodesulphurization</w:t>
      </w:r>
      <w:proofErr w:type="spellEnd"/>
      <w:r w:rsidR="00D21192" w:rsidRPr="008F4545">
        <w:rPr>
          <w:rFonts w:ascii="Arial" w:hAnsi="Arial"/>
          <w:b/>
          <w:sz w:val="24"/>
          <w:szCs w:val="24"/>
          <w:lang w:val="en-US"/>
        </w:rPr>
        <w:t xml:space="preserve"> process of coal</w:t>
      </w:r>
    </w:p>
    <w:p w:rsidR="00B704A7" w:rsidRDefault="00B704A7" w:rsidP="006F2C2B">
      <w:pPr>
        <w:pStyle w:val="Sinespaciado"/>
        <w:jc w:val="center"/>
        <w:rPr>
          <w:rFonts w:ascii="Arial" w:hAnsi="Arial"/>
          <w:b/>
          <w:sz w:val="24"/>
          <w:szCs w:val="24"/>
          <w:lang w:val="en-US"/>
        </w:rPr>
      </w:pPr>
    </w:p>
    <w:p w:rsidR="006A3843" w:rsidRPr="006A3843" w:rsidRDefault="006A3843" w:rsidP="006F2C2B">
      <w:pPr>
        <w:pStyle w:val="Sinespaciado"/>
        <w:rPr>
          <w:rFonts w:ascii="Arial" w:hAnsi="Arial"/>
          <w:b/>
          <w:sz w:val="24"/>
          <w:szCs w:val="24"/>
        </w:rPr>
      </w:pPr>
      <w:r w:rsidRPr="006A3843">
        <w:rPr>
          <w:rFonts w:ascii="Arial" w:hAnsi="Arial"/>
          <w:b/>
          <w:sz w:val="24"/>
          <w:szCs w:val="24"/>
        </w:rPr>
        <w:t xml:space="preserve">Título corto: </w:t>
      </w:r>
      <w:r w:rsidRPr="0031297B">
        <w:rPr>
          <w:rFonts w:ascii="Arial" w:hAnsi="Arial"/>
          <w:b/>
          <w:sz w:val="24"/>
          <w:szCs w:val="24"/>
        </w:rPr>
        <w:t>Comparación del potencial oxidativo de</w:t>
      </w:r>
      <w:r>
        <w:rPr>
          <w:rFonts w:ascii="Arial" w:hAnsi="Arial"/>
          <w:b/>
          <w:sz w:val="24"/>
          <w:szCs w:val="24"/>
        </w:rPr>
        <w:t xml:space="preserve"> </w:t>
      </w:r>
      <w:r w:rsidRPr="0031297B">
        <w:rPr>
          <w:rFonts w:ascii="Arial" w:hAnsi="Arial"/>
          <w:b/>
          <w:i/>
          <w:sz w:val="24"/>
          <w:szCs w:val="24"/>
        </w:rPr>
        <w:t>Acidithiobacillus ferrooxidans</w:t>
      </w:r>
    </w:p>
    <w:p w:rsidR="006A3843" w:rsidRPr="006A3843" w:rsidRDefault="006A3843" w:rsidP="006F2C2B">
      <w:pPr>
        <w:pStyle w:val="Sinespaciado"/>
        <w:jc w:val="center"/>
        <w:rPr>
          <w:rFonts w:ascii="Arial" w:hAnsi="Arial"/>
          <w:b/>
          <w:sz w:val="24"/>
          <w:szCs w:val="24"/>
        </w:rPr>
      </w:pPr>
    </w:p>
    <w:p w:rsidR="00C42F92" w:rsidRDefault="001A0579" w:rsidP="006F2C2B">
      <w:pPr>
        <w:pStyle w:val="Sinespaciado"/>
        <w:rPr>
          <w:rFonts w:ascii="Arial" w:hAnsi="Arial"/>
          <w:sz w:val="20"/>
          <w:szCs w:val="20"/>
        </w:rPr>
      </w:pPr>
      <w:r w:rsidRPr="00AC51CD">
        <w:rPr>
          <w:rFonts w:ascii="Arial" w:hAnsi="Arial"/>
          <w:sz w:val="20"/>
          <w:szCs w:val="20"/>
        </w:rPr>
        <w:t>Maria Prada Fonseca</w:t>
      </w:r>
      <w:r w:rsidR="00D623FD">
        <w:rPr>
          <w:rStyle w:val="Refdenotaalpie"/>
        </w:rPr>
        <w:footnoteRef/>
      </w:r>
      <w:r w:rsidRPr="00AC51CD">
        <w:rPr>
          <w:rFonts w:ascii="Arial" w:hAnsi="Arial"/>
          <w:sz w:val="20"/>
          <w:szCs w:val="20"/>
        </w:rPr>
        <w:t>, Gerardo Caicedo Pineda</w:t>
      </w:r>
      <w:r w:rsidR="00D623FD">
        <w:rPr>
          <w:rStyle w:val="Refdenotaalpie"/>
        </w:rPr>
        <w:footnoteRef/>
      </w:r>
      <w:r w:rsidR="00D623FD">
        <w:rPr>
          <w:rStyle w:val="Refdenotaalpie"/>
        </w:rPr>
        <w:footnoteRef/>
      </w:r>
      <w:r w:rsidRPr="00AC51CD">
        <w:rPr>
          <w:rFonts w:ascii="Arial" w:hAnsi="Arial"/>
          <w:sz w:val="20"/>
          <w:szCs w:val="20"/>
        </w:rPr>
        <w:t>, Marco Márquez Godoy</w:t>
      </w:r>
      <w:r w:rsidR="00D623FD">
        <w:rPr>
          <w:rStyle w:val="Refdenotaalpie"/>
        </w:rPr>
        <w:footnoteRef/>
      </w:r>
      <w:r w:rsidR="00D623FD">
        <w:rPr>
          <w:rStyle w:val="Refdenotaalpie"/>
        </w:rPr>
        <w:footnoteRef/>
      </w:r>
      <w:r w:rsidR="00D623FD">
        <w:rPr>
          <w:rStyle w:val="Refdenotaalpie"/>
        </w:rPr>
        <w:footnoteRef/>
      </w:r>
    </w:p>
    <w:p w:rsidR="00D623FD" w:rsidRDefault="00D623FD" w:rsidP="006F2C2B">
      <w:pPr>
        <w:pStyle w:val="Sinespaciado"/>
        <w:rPr>
          <w:rFonts w:ascii="Arial" w:hAnsi="Arial"/>
          <w:sz w:val="20"/>
          <w:szCs w:val="20"/>
        </w:rPr>
      </w:pPr>
    </w:p>
    <w:p w:rsidR="00D623FD" w:rsidRDefault="00D623FD" w:rsidP="006F2C2B">
      <w:pPr>
        <w:pStyle w:val="Textonotapie"/>
      </w:pPr>
      <w:r>
        <w:rPr>
          <w:rStyle w:val="Refdenotaalpie"/>
        </w:rPr>
        <w:footnoteRef/>
      </w:r>
      <w:r>
        <w:t xml:space="preserve"> </w:t>
      </w:r>
      <w:r w:rsidR="00F90075">
        <w:t>MSc. Ingeniería de Materiales y Procesos</w:t>
      </w:r>
      <w:bookmarkStart w:id="0" w:name="_GoBack"/>
      <w:bookmarkEnd w:id="0"/>
      <w:r>
        <w:t>, Universidad Nacional de Colombia –Sede Medellín, Calle 51 # 78 A - 73, mcprada@unal.edu.co</w:t>
      </w:r>
    </w:p>
    <w:p w:rsidR="00D623FD" w:rsidRDefault="00D623FD" w:rsidP="006F2C2B">
      <w:pPr>
        <w:pStyle w:val="Textonotapie"/>
      </w:pPr>
      <w:r>
        <w:rPr>
          <w:rStyle w:val="Refdenotaalpie"/>
        </w:rPr>
        <w:footnoteRef/>
      </w:r>
      <w:r>
        <w:rPr>
          <w:rStyle w:val="Refdenotaalpie"/>
        </w:rPr>
        <w:footnoteRef/>
      </w:r>
      <w:r>
        <w:t xml:space="preserve"> PhD. Ingeniería ciencia y tecnología de los materiales, Universidad Nacional de Colombia – Sede Medellín, Calle 10 A # 43D -96, gacaiced@unal.edu.co</w:t>
      </w:r>
    </w:p>
    <w:p w:rsidR="00D623FD" w:rsidRDefault="00D623FD" w:rsidP="006F2C2B">
      <w:pPr>
        <w:pStyle w:val="Sinespaciado"/>
        <w:jc w:val="both"/>
        <w:rPr>
          <w:rFonts w:ascii="Arial" w:hAnsi="Arial"/>
          <w:sz w:val="20"/>
          <w:szCs w:val="20"/>
        </w:rPr>
      </w:pPr>
      <w:r>
        <w:rPr>
          <w:rStyle w:val="Refdenotaalpie"/>
        </w:rPr>
        <w:footnoteRef/>
      </w:r>
      <w:r>
        <w:rPr>
          <w:rStyle w:val="Refdenotaalpie"/>
        </w:rPr>
        <w:footnoteRef/>
      </w:r>
      <w:r>
        <w:rPr>
          <w:rStyle w:val="Refdenotaalpie"/>
        </w:rPr>
        <w:footnoteRef/>
      </w:r>
      <w:r>
        <w:t xml:space="preserve"> PhD. Mineralogía, Universidad Nacional de Colombia – Sede Medellín, Carrera 80 # 65 -223, mmarquez@unal.edu.co</w:t>
      </w:r>
    </w:p>
    <w:p w:rsidR="00D623FD" w:rsidRPr="001A0579" w:rsidRDefault="00D623FD" w:rsidP="006F2C2B">
      <w:pPr>
        <w:pStyle w:val="Sinespaciado"/>
        <w:jc w:val="center"/>
        <w:rPr>
          <w:rFonts w:ascii="Arial" w:hAnsi="Arial"/>
          <w:sz w:val="20"/>
          <w:szCs w:val="20"/>
        </w:rPr>
      </w:pPr>
    </w:p>
    <w:p w:rsidR="001578C5" w:rsidRPr="0031297B" w:rsidRDefault="001578C5" w:rsidP="006F2C2B">
      <w:pPr>
        <w:pStyle w:val="Sinespaciado"/>
        <w:jc w:val="both"/>
        <w:rPr>
          <w:rFonts w:ascii="Arial" w:hAnsi="Arial"/>
          <w:b/>
          <w:sz w:val="24"/>
          <w:szCs w:val="24"/>
        </w:rPr>
      </w:pPr>
      <w:r w:rsidRPr="0031297B">
        <w:rPr>
          <w:rFonts w:ascii="Arial" w:hAnsi="Arial"/>
          <w:b/>
          <w:sz w:val="24"/>
          <w:szCs w:val="24"/>
        </w:rPr>
        <w:t xml:space="preserve">Resumen </w:t>
      </w:r>
    </w:p>
    <w:p w:rsidR="003F4C10" w:rsidRDefault="002C5501" w:rsidP="006F2C2B">
      <w:pPr>
        <w:pStyle w:val="HTMLconformatoprevio"/>
        <w:shd w:val="clear" w:color="auto" w:fill="FFFFFF"/>
        <w:jc w:val="both"/>
        <w:rPr>
          <w:rFonts w:ascii="Arial" w:hAnsi="Arial"/>
          <w:sz w:val="24"/>
          <w:szCs w:val="24"/>
          <w:lang w:val="es-CO"/>
        </w:rPr>
      </w:pPr>
      <w:r w:rsidRPr="005F4654">
        <w:rPr>
          <w:rFonts w:ascii="Arial" w:hAnsi="Arial"/>
          <w:sz w:val="24"/>
          <w:szCs w:val="24"/>
          <w:lang w:val="es-CO"/>
        </w:rPr>
        <w:t xml:space="preserve">En este estudio se </w:t>
      </w:r>
      <w:r w:rsidR="00532404" w:rsidRPr="005F4654">
        <w:rPr>
          <w:rFonts w:ascii="Arial" w:hAnsi="Arial"/>
          <w:sz w:val="24"/>
          <w:szCs w:val="24"/>
          <w:lang w:val="es-CO"/>
        </w:rPr>
        <w:t>comparó</w:t>
      </w:r>
      <w:r w:rsidRPr="005F4654">
        <w:rPr>
          <w:rFonts w:ascii="Arial" w:hAnsi="Arial"/>
          <w:sz w:val="24"/>
          <w:szCs w:val="24"/>
          <w:lang w:val="es-CO"/>
        </w:rPr>
        <w:t xml:space="preserve"> la actividad oxidativa de </w:t>
      </w:r>
      <w:r w:rsidR="003F6E4B" w:rsidRPr="005F4654">
        <w:rPr>
          <w:rFonts w:ascii="Arial" w:hAnsi="Arial"/>
          <w:sz w:val="24"/>
          <w:szCs w:val="24"/>
          <w:lang w:val="es-CO"/>
        </w:rPr>
        <w:t xml:space="preserve">dos cepas de </w:t>
      </w:r>
      <w:r w:rsidR="003F6E4B" w:rsidRPr="005F4654">
        <w:rPr>
          <w:rFonts w:ascii="Arial" w:hAnsi="Arial"/>
          <w:i/>
          <w:sz w:val="24"/>
          <w:szCs w:val="24"/>
          <w:lang w:val="es-CO"/>
        </w:rPr>
        <w:t>Acidithiobacillus ferrooxidans</w:t>
      </w:r>
      <w:r w:rsidR="003F6E4B" w:rsidRPr="005F4654">
        <w:rPr>
          <w:rFonts w:ascii="Arial" w:hAnsi="Arial"/>
          <w:sz w:val="24"/>
          <w:szCs w:val="24"/>
          <w:lang w:val="es-CO"/>
        </w:rPr>
        <w:t xml:space="preserve"> </w:t>
      </w:r>
      <w:r w:rsidR="00532404" w:rsidRPr="005F4654">
        <w:rPr>
          <w:rFonts w:ascii="Arial" w:hAnsi="Arial"/>
          <w:sz w:val="24"/>
          <w:szCs w:val="24"/>
          <w:lang w:val="es-CO"/>
        </w:rPr>
        <w:t>en un proceso de desulfurización, empleando un carbón</w:t>
      </w:r>
      <w:r w:rsidR="0003161B">
        <w:rPr>
          <w:rFonts w:ascii="Arial" w:hAnsi="Arial"/>
          <w:sz w:val="24"/>
          <w:szCs w:val="24"/>
          <w:lang w:val="es-CO"/>
        </w:rPr>
        <w:t xml:space="preserve"> sub-</w:t>
      </w:r>
      <w:r w:rsidR="003F6E4B" w:rsidRPr="005F4654">
        <w:rPr>
          <w:rFonts w:ascii="Arial" w:hAnsi="Arial"/>
          <w:sz w:val="24"/>
          <w:szCs w:val="24"/>
          <w:lang w:val="es-CO"/>
        </w:rPr>
        <w:t>bituminoso</w:t>
      </w:r>
      <w:r w:rsidR="001A3D3B">
        <w:rPr>
          <w:rFonts w:ascii="Arial" w:hAnsi="Arial"/>
          <w:sz w:val="24"/>
          <w:szCs w:val="24"/>
          <w:lang w:val="es-CO"/>
        </w:rPr>
        <w:t xml:space="preserve"> </w:t>
      </w:r>
      <w:r w:rsidR="00F67756" w:rsidRPr="005F4654">
        <w:rPr>
          <w:rFonts w:ascii="Arial" w:hAnsi="Arial"/>
          <w:sz w:val="24"/>
          <w:szCs w:val="24"/>
          <w:lang w:val="es-CO"/>
        </w:rPr>
        <w:t xml:space="preserve">alto en azufre </w:t>
      </w:r>
      <w:r w:rsidR="003F6E4B" w:rsidRPr="005F4654">
        <w:rPr>
          <w:rFonts w:ascii="Arial" w:hAnsi="Arial"/>
          <w:sz w:val="24"/>
          <w:szCs w:val="24"/>
          <w:lang w:val="es-CO"/>
        </w:rPr>
        <w:t>(</w:t>
      </w:r>
      <w:r w:rsidR="007B5F11" w:rsidRPr="00D623FD">
        <w:rPr>
          <w:rFonts w:ascii="Arial" w:hAnsi="Arial" w:cs="Arial"/>
          <w:sz w:val="24"/>
          <w:szCs w:val="24"/>
          <w:lang w:val="es-CO"/>
        </w:rPr>
        <w:t>2.30% de azufre total, con 1.06% pirítico, 1.10% orgánico y 0.14% de sulfatos</w:t>
      </w:r>
      <w:r w:rsidR="003F6E4B" w:rsidRPr="005F4654">
        <w:rPr>
          <w:rFonts w:ascii="Arial" w:hAnsi="Arial"/>
          <w:sz w:val="24"/>
          <w:szCs w:val="24"/>
          <w:lang w:val="es-CO"/>
        </w:rPr>
        <w:t>),</w:t>
      </w:r>
      <w:r w:rsidR="00532404" w:rsidRPr="005F4654">
        <w:rPr>
          <w:rFonts w:ascii="Arial" w:hAnsi="Arial"/>
          <w:sz w:val="24"/>
          <w:szCs w:val="24"/>
          <w:lang w:val="es-CO"/>
        </w:rPr>
        <w:t xml:space="preserve"> proveniente de la mina “La Guacamaya”</w:t>
      </w:r>
      <w:r w:rsidR="0067456C">
        <w:rPr>
          <w:rFonts w:ascii="Arial" w:hAnsi="Arial"/>
          <w:sz w:val="24"/>
          <w:szCs w:val="24"/>
          <w:lang w:val="es-CO"/>
        </w:rPr>
        <w:t xml:space="preserve"> ubicada</w:t>
      </w:r>
      <w:r w:rsidR="00CF3394">
        <w:rPr>
          <w:rFonts w:ascii="Arial" w:hAnsi="Arial"/>
          <w:sz w:val="24"/>
          <w:szCs w:val="24"/>
          <w:lang w:val="es-CO"/>
        </w:rPr>
        <w:t xml:space="preserve"> en Puerto Libertador –Córdoba, </w:t>
      </w:r>
      <w:r w:rsidR="003F6E4B" w:rsidRPr="005F4654">
        <w:rPr>
          <w:rFonts w:ascii="Arial" w:hAnsi="Arial"/>
          <w:sz w:val="24"/>
          <w:szCs w:val="24"/>
          <w:lang w:val="es-CO"/>
        </w:rPr>
        <w:t>Colombia</w:t>
      </w:r>
      <w:r w:rsidR="00532404" w:rsidRPr="005F4654">
        <w:rPr>
          <w:rFonts w:ascii="Arial" w:hAnsi="Arial"/>
          <w:sz w:val="24"/>
          <w:szCs w:val="24"/>
          <w:lang w:val="es-CO"/>
        </w:rPr>
        <w:t xml:space="preserve">. </w:t>
      </w:r>
      <w:r w:rsidR="001677CF" w:rsidRPr="005F4654">
        <w:rPr>
          <w:rFonts w:ascii="Arial" w:hAnsi="Arial"/>
          <w:sz w:val="24"/>
          <w:szCs w:val="24"/>
          <w:lang w:val="es-CO"/>
        </w:rPr>
        <w:t>Se realizaro</w:t>
      </w:r>
      <w:r w:rsidR="00D642F3">
        <w:rPr>
          <w:rFonts w:ascii="Arial" w:hAnsi="Arial"/>
          <w:sz w:val="24"/>
          <w:szCs w:val="24"/>
          <w:lang w:val="es-CO"/>
        </w:rPr>
        <w:t xml:space="preserve">n ensayos a nivel de erlenmeyer, la concentración de hierro </w:t>
      </w:r>
      <w:r w:rsidR="008C799A">
        <w:rPr>
          <w:rFonts w:ascii="Arial" w:hAnsi="Arial"/>
          <w:sz w:val="24"/>
          <w:szCs w:val="24"/>
          <w:lang w:val="es-CO"/>
        </w:rPr>
        <w:t xml:space="preserve">total </w:t>
      </w:r>
      <w:r w:rsidR="00D642F3">
        <w:rPr>
          <w:rFonts w:ascii="Arial" w:hAnsi="Arial"/>
          <w:sz w:val="24"/>
          <w:szCs w:val="24"/>
          <w:lang w:val="es-CO"/>
        </w:rPr>
        <w:t xml:space="preserve">en la solución </w:t>
      </w:r>
      <w:r w:rsidR="00A46315">
        <w:rPr>
          <w:rFonts w:ascii="Arial" w:hAnsi="Arial"/>
          <w:sz w:val="24"/>
          <w:szCs w:val="24"/>
          <w:lang w:val="es-CO"/>
        </w:rPr>
        <w:t xml:space="preserve">fue de </w:t>
      </w:r>
      <w:r w:rsidR="00E2519C">
        <w:rPr>
          <w:rFonts w:ascii="Arial" w:hAnsi="Arial"/>
          <w:sz w:val="24"/>
          <w:szCs w:val="24"/>
          <w:lang w:val="es-CO"/>
        </w:rPr>
        <w:t>200 mg/L y</w:t>
      </w:r>
      <w:r w:rsidR="005110B9">
        <w:rPr>
          <w:rFonts w:ascii="Arial" w:hAnsi="Arial"/>
          <w:sz w:val="24"/>
          <w:szCs w:val="24"/>
          <w:lang w:val="es-CO"/>
        </w:rPr>
        <w:t xml:space="preserve"> </w:t>
      </w:r>
      <w:r w:rsidR="00D642F3">
        <w:rPr>
          <w:rFonts w:ascii="Arial" w:hAnsi="Arial"/>
          <w:sz w:val="24"/>
          <w:szCs w:val="24"/>
          <w:lang w:val="es-CO"/>
        </w:rPr>
        <w:t>1200 mg/L</w:t>
      </w:r>
      <w:r w:rsidR="00A46315">
        <w:rPr>
          <w:rFonts w:ascii="Arial" w:hAnsi="Arial"/>
          <w:sz w:val="24"/>
          <w:szCs w:val="24"/>
          <w:lang w:val="es-CO"/>
        </w:rPr>
        <w:t xml:space="preserve"> respectivamente</w:t>
      </w:r>
      <w:r w:rsidR="001677CF" w:rsidRPr="005F4654">
        <w:rPr>
          <w:rFonts w:ascii="Arial" w:hAnsi="Arial"/>
          <w:sz w:val="24"/>
          <w:szCs w:val="24"/>
          <w:lang w:val="es-CO"/>
        </w:rPr>
        <w:t xml:space="preserve">, empleando sulfato ferroso. El proceso fue monitoreado mediante mediciones periódicas de los principales factores </w:t>
      </w:r>
      <w:r w:rsidR="00670B5E">
        <w:rPr>
          <w:rFonts w:ascii="Arial" w:hAnsi="Arial"/>
          <w:sz w:val="24"/>
          <w:szCs w:val="24"/>
          <w:lang w:val="es-CO"/>
        </w:rPr>
        <w:t>físico-</w:t>
      </w:r>
      <w:r w:rsidR="001677CF" w:rsidRPr="005F4654">
        <w:rPr>
          <w:rFonts w:ascii="Arial" w:hAnsi="Arial"/>
          <w:sz w:val="24"/>
          <w:szCs w:val="24"/>
          <w:lang w:val="es-CO"/>
        </w:rPr>
        <w:t xml:space="preserve">químicos implicados (pH, </w:t>
      </w:r>
      <w:r w:rsidR="00D247B7" w:rsidRPr="00D623FD">
        <w:rPr>
          <w:rFonts w:ascii="Arial" w:hAnsi="Arial"/>
          <w:sz w:val="24"/>
          <w:szCs w:val="24"/>
          <w:lang w:val="es-CO"/>
        </w:rPr>
        <w:t>poten</w:t>
      </w:r>
      <w:r w:rsidR="00E77E37">
        <w:rPr>
          <w:rFonts w:ascii="Arial" w:hAnsi="Arial"/>
          <w:sz w:val="24"/>
          <w:szCs w:val="24"/>
          <w:lang w:val="es-CO"/>
        </w:rPr>
        <w:t>c</w:t>
      </w:r>
      <w:r w:rsidR="00D247B7" w:rsidRPr="00D623FD">
        <w:rPr>
          <w:rFonts w:ascii="Arial" w:hAnsi="Arial"/>
          <w:sz w:val="24"/>
          <w:szCs w:val="24"/>
          <w:lang w:val="es-CO"/>
        </w:rPr>
        <w:t>ial de óxido-reducción (</w:t>
      </w:r>
      <w:r w:rsidR="001677CF" w:rsidRPr="005F4654">
        <w:rPr>
          <w:rFonts w:ascii="Arial" w:hAnsi="Arial"/>
          <w:sz w:val="24"/>
          <w:szCs w:val="24"/>
          <w:lang w:val="es-CO"/>
        </w:rPr>
        <w:t>Eh</w:t>
      </w:r>
      <w:r w:rsidR="00D247B7">
        <w:rPr>
          <w:rFonts w:ascii="Arial" w:hAnsi="Arial"/>
          <w:sz w:val="24"/>
          <w:szCs w:val="24"/>
          <w:lang w:val="es-CO"/>
        </w:rPr>
        <w:t>)</w:t>
      </w:r>
      <w:r w:rsidR="001677CF" w:rsidRPr="005F4654">
        <w:rPr>
          <w:rFonts w:ascii="Arial" w:hAnsi="Arial"/>
          <w:sz w:val="24"/>
          <w:szCs w:val="24"/>
          <w:lang w:val="es-CO"/>
        </w:rPr>
        <w:t xml:space="preserve">, </w:t>
      </w:r>
      <w:r w:rsidR="00055C68">
        <w:rPr>
          <w:rFonts w:ascii="Arial" w:hAnsi="Arial"/>
          <w:sz w:val="24"/>
          <w:szCs w:val="24"/>
          <w:lang w:val="es-CO"/>
        </w:rPr>
        <w:t xml:space="preserve">hierro en solución y </w:t>
      </w:r>
      <w:r w:rsidR="001677CF" w:rsidRPr="005F4654">
        <w:rPr>
          <w:rFonts w:ascii="Arial" w:hAnsi="Arial"/>
          <w:sz w:val="24"/>
          <w:szCs w:val="24"/>
          <w:lang w:val="es-CO"/>
        </w:rPr>
        <w:t xml:space="preserve">concentración </w:t>
      </w:r>
      <w:r w:rsidR="00055C68">
        <w:rPr>
          <w:rFonts w:ascii="Arial" w:hAnsi="Arial"/>
          <w:sz w:val="24"/>
          <w:szCs w:val="24"/>
          <w:lang w:val="es-CO"/>
        </w:rPr>
        <w:t>celular)</w:t>
      </w:r>
      <w:r w:rsidR="001677CF" w:rsidRPr="005F4654">
        <w:rPr>
          <w:rFonts w:ascii="Arial" w:hAnsi="Arial"/>
          <w:sz w:val="24"/>
          <w:szCs w:val="24"/>
          <w:lang w:val="es-CO"/>
        </w:rPr>
        <w:t xml:space="preserve">. </w:t>
      </w:r>
      <w:r w:rsidR="004F5C3B" w:rsidRPr="005F4654">
        <w:rPr>
          <w:rFonts w:ascii="Arial" w:hAnsi="Arial"/>
          <w:sz w:val="24"/>
          <w:szCs w:val="24"/>
          <w:lang w:val="es-CO"/>
        </w:rPr>
        <w:t>Según los resultados obtenidos,</w:t>
      </w:r>
      <w:r w:rsidR="000F1510" w:rsidRPr="005F4654">
        <w:rPr>
          <w:rFonts w:ascii="Arial" w:hAnsi="Arial"/>
          <w:sz w:val="24"/>
          <w:szCs w:val="24"/>
          <w:lang w:val="es-CO"/>
        </w:rPr>
        <w:t xml:space="preserve"> la mayor eficiencia del proceso se logró</w:t>
      </w:r>
      <w:r w:rsidR="0098463C" w:rsidRPr="005F4654">
        <w:rPr>
          <w:rFonts w:ascii="Arial" w:hAnsi="Arial"/>
          <w:sz w:val="24"/>
          <w:szCs w:val="24"/>
          <w:lang w:val="es-CO"/>
        </w:rPr>
        <w:t>, al</w:t>
      </w:r>
      <w:r w:rsidR="004F5C3B" w:rsidRPr="005F4654">
        <w:rPr>
          <w:rFonts w:ascii="Arial" w:hAnsi="Arial"/>
          <w:sz w:val="24"/>
          <w:szCs w:val="24"/>
          <w:lang w:val="es-CO"/>
        </w:rPr>
        <w:t xml:space="preserve"> trabajar con microorganismos compatibles con </w:t>
      </w:r>
      <w:r w:rsidR="004F5C3B" w:rsidRPr="005F4654">
        <w:rPr>
          <w:rFonts w:ascii="Arial" w:hAnsi="Arial"/>
          <w:i/>
          <w:sz w:val="24"/>
          <w:szCs w:val="24"/>
          <w:lang w:val="es-CO"/>
        </w:rPr>
        <w:t>Acidithiobacillus ferrooxidans</w:t>
      </w:r>
      <w:r w:rsidR="00591A45" w:rsidRPr="005F4654">
        <w:rPr>
          <w:rFonts w:ascii="Arial" w:hAnsi="Arial"/>
          <w:i/>
          <w:sz w:val="24"/>
          <w:szCs w:val="24"/>
          <w:lang w:val="es-CO"/>
        </w:rPr>
        <w:t xml:space="preserve"> </w:t>
      </w:r>
      <w:r w:rsidR="00B82988">
        <w:rPr>
          <w:rFonts w:ascii="Arial" w:hAnsi="Arial"/>
          <w:sz w:val="24"/>
          <w:szCs w:val="24"/>
          <w:lang w:val="es-CO"/>
        </w:rPr>
        <w:t xml:space="preserve">y una </w:t>
      </w:r>
      <w:r w:rsidR="00591A45" w:rsidRPr="005F4654">
        <w:rPr>
          <w:rFonts w:ascii="Arial" w:hAnsi="Arial"/>
          <w:sz w:val="24"/>
          <w:szCs w:val="24"/>
          <w:lang w:val="es-CO"/>
        </w:rPr>
        <w:t>concentrac</w:t>
      </w:r>
      <w:r w:rsidR="00B82988">
        <w:rPr>
          <w:rFonts w:ascii="Arial" w:hAnsi="Arial"/>
          <w:sz w:val="24"/>
          <w:szCs w:val="24"/>
          <w:lang w:val="es-CO"/>
        </w:rPr>
        <w:t>ión de sulfato ferroso inicial de 1200 mg/L</w:t>
      </w:r>
      <w:r w:rsidR="00051556">
        <w:rPr>
          <w:rFonts w:ascii="Arial" w:hAnsi="Arial"/>
          <w:sz w:val="24"/>
          <w:szCs w:val="24"/>
          <w:lang w:val="es-CO"/>
        </w:rPr>
        <w:t>,</w:t>
      </w:r>
      <w:r w:rsidR="003B7E4E">
        <w:rPr>
          <w:rFonts w:ascii="Arial" w:hAnsi="Arial"/>
          <w:sz w:val="24"/>
          <w:szCs w:val="24"/>
          <w:lang w:val="es-CO"/>
        </w:rPr>
        <w:t xml:space="preserve"> </w:t>
      </w:r>
      <w:r w:rsidR="0082612C">
        <w:rPr>
          <w:rFonts w:ascii="Arial" w:hAnsi="Arial"/>
          <w:sz w:val="24"/>
          <w:szCs w:val="24"/>
          <w:lang w:val="es-CO"/>
        </w:rPr>
        <w:t>el cual</w:t>
      </w:r>
      <w:r w:rsidR="003B7E4E">
        <w:rPr>
          <w:rFonts w:ascii="Arial" w:hAnsi="Arial"/>
          <w:sz w:val="24"/>
          <w:szCs w:val="24"/>
          <w:lang w:val="es-CO"/>
        </w:rPr>
        <w:t xml:space="preserve"> </w:t>
      </w:r>
      <w:r w:rsidR="00682446">
        <w:rPr>
          <w:rFonts w:ascii="Arial" w:hAnsi="Arial"/>
          <w:sz w:val="24"/>
          <w:szCs w:val="24"/>
          <w:lang w:val="es-CO"/>
        </w:rPr>
        <w:t>obtuvo la mayor tasa de oxidación de pirita</w:t>
      </w:r>
      <w:r w:rsidR="001D5351">
        <w:rPr>
          <w:rFonts w:ascii="Arial" w:hAnsi="Arial"/>
          <w:sz w:val="24"/>
          <w:szCs w:val="24"/>
          <w:lang w:val="es-CO"/>
        </w:rPr>
        <w:t xml:space="preserve"> (Py oxidada)</w:t>
      </w:r>
      <w:r w:rsidR="00196B74">
        <w:rPr>
          <w:rFonts w:ascii="Arial" w:hAnsi="Arial"/>
          <w:sz w:val="24"/>
          <w:szCs w:val="24"/>
          <w:lang w:val="es-CO"/>
        </w:rPr>
        <w:t xml:space="preserve"> (68%), así como, mejores condiciones en el</w:t>
      </w:r>
      <w:r w:rsidR="0098463C" w:rsidRPr="005F4654">
        <w:rPr>
          <w:rFonts w:ascii="Arial" w:hAnsi="Arial"/>
          <w:sz w:val="24"/>
          <w:szCs w:val="24"/>
          <w:lang w:val="es-CO"/>
        </w:rPr>
        <w:t xml:space="preserve"> medio</w:t>
      </w:r>
      <w:r w:rsidR="00AA421A">
        <w:rPr>
          <w:rFonts w:ascii="Arial" w:hAnsi="Arial"/>
          <w:sz w:val="24"/>
          <w:szCs w:val="24"/>
          <w:lang w:val="es-CO"/>
        </w:rPr>
        <w:t xml:space="preserve"> lixiviante</w:t>
      </w:r>
      <w:r w:rsidR="0098463C" w:rsidRPr="005F4654">
        <w:rPr>
          <w:rFonts w:ascii="Arial" w:hAnsi="Arial"/>
          <w:sz w:val="24"/>
          <w:szCs w:val="24"/>
          <w:lang w:val="es-CO"/>
        </w:rPr>
        <w:t xml:space="preserve"> </w:t>
      </w:r>
      <w:r w:rsidR="00591A45" w:rsidRPr="005F4654">
        <w:rPr>
          <w:rFonts w:ascii="Arial" w:hAnsi="Arial"/>
          <w:sz w:val="24"/>
          <w:szCs w:val="24"/>
          <w:lang w:val="es-CO"/>
        </w:rPr>
        <w:t>(pH:</w:t>
      </w:r>
      <w:r w:rsidR="000F1510" w:rsidRPr="005F4654">
        <w:rPr>
          <w:rFonts w:ascii="Arial" w:hAnsi="Arial"/>
          <w:sz w:val="24"/>
          <w:szCs w:val="24"/>
          <w:lang w:val="es-CO"/>
        </w:rPr>
        <w:t xml:space="preserve"> </w:t>
      </w:r>
      <w:r w:rsidR="002E2CB4">
        <w:rPr>
          <w:rFonts w:ascii="Arial" w:hAnsi="Arial"/>
          <w:sz w:val="24"/>
          <w:szCs w:val="24"/>
          <w:lang w:val="es-CO"/>
        </w:rPr>
        <w:t>1,</w:t>
      </w:r>
      <w:r w:rsidR="00591A45" w:rsidRPr="005F4654">
        <w:rPr>
          <w:rFonts w:ascii="Arial" w:hAnsi="Arial"/>
          <w:sz w:val="24"/>
          <w:szCs w:val="24"/>
          <w:lang w:val="es-CO"/>
        </w:rPr>
        <w:t xml:space="preserve">47; Eh: 625 mV; </w:t>
      </w:r>
      <w:r w:rsidR="00591A45" w:rsidRPr="005F4654">
        <w:rPr>
          <w:rFonts w:ascii="Arial" w:hAnsi="Arial"/>
          <w:sz w:val="24"/>
          <w:lang w:val="es-CO"/>
        </w:rPr>
        <w:t>6.3×10</w:t>
      </w:r>
      <w:r w:rsidR="00591A45" w:rsidRPr="005F4654">
        <w:rPr>
          <w:rFonts w:ascii="Arial" w:hAnsi="Arial"/>
          <w:sz w:val="24"/>
          <w:vertAlign w:val="superscript"/>
          <w:lang w:val="es-CO"/>
        </w:rPr>
        <w:t>8</w:t>
      </w:r>
      <w:r w:rsidR="001527AE">
        <w:rPr>
          <w:rFonts w:ascii="Arial" w:hAnsi="Arial"/>
          <w:sz w:val="24"/>
          <w:lang w:val="es-CO"/>
        </w:rPr>
        <w:t xml:space="preserve"> células/mL</w:t>
      </w:r>
      <w:r w:rsidR="00591A45" w:rsidRPr="005F4654">
        <w:rPr>
          <w:rFonts w:ascii="Arial" w:hAnsi="Arial"/>
          <w:sz w:val="24"/>
          <w:szCs w:val="24"/>
          <w:lang w:val="es-CO"/>
        </w:rPr>
        <w:t>)</w:t>
      </w:r>
      <w:r w:rsidR="006A3CBD">
        <w:rPr>
          <w:rFonts w:ascii="Arial" w:hAnsi="Arial"/>
          <w:sz w:val="24"/>
          <w:szCs w:val="24"/>
          <w:lang w:val="es-CO"/>
        </w:rPr>
        <w:t xml:space="preserve"> </w:t>
      </w:r>
      <w:r w:rsidR="001E431A">
        <w:rPr>
          <w:rFonts w:ascii="Arial" w:hAnsi="Arial"/>
          <w:sz w:val="24"/>
          <w:szCs w:val="24"/>
          <w:lang w:val="es-CO"/>
        </w:rPr>
        <w:t>en</w:t>
      </w:r>
      <w:r w:rsidR="001E431A" w:rsidRPr="00C42F92">
        <w:rPr>
          <w:rFonts w:ascii="Arial" w:hAnsi="Arial"/>
          <w:sz w:val="24"/>
          <w:szCs w:val="24"/>
          <w:lang w:val="es-CO"/>
        </w:rPr>
        <w:t xml:space="preserve"> comparación con el cultivo axénico a las mismas condiciones </w:t>
      </w:r>
      <w:r w:rsidR="001E431A">
        <w:rPr>
          <w:rFonts w:ascii="Arial" w:hAnsi="Arial"/>
          <w:sz w:val="24"/>
          <w:szCs w:val="24"/>
          <w:lang w:val="es-CO"/>
        </w:rPr>
        <w:t>(Py oxidada: 52</w:t>
      </w:r>
      <w:r w:rsidR="001E431A" w:rsidRPr="005F4654">
        <w:rPr>
          <w:rFonts w:ascii="Arial" w:hAnsi="Arial"/>
          <w:sz w:val="24"/>
          <w:szCs w:val="24"/>
          <w:lang w:val="es-CO"/>
        </w:rPr>
        <w:t>%</w:t>
      </w:r>
      <w:r w:rsidR="000B314C">
        <w:rPr>
          <w:rFonts w:ascii="Arial" w:hAnsi="Arial"/>
          <w:sz w:val="24"/>
          <w:szCs w:val="24"/>
          <w:lang w:val="es-CO"/>
        </w:rPr>
        <w:t>,</w:t>
      </w:r>
      <w:r w:rsidR="001E431A">
        <w:rPr>
          <w:rFonts w:ascii="Arial" w:hAnsi="Arial"/>
          <w:sz w:val="24"/>
          <w:szCs w:val="24"/>
          <w:lang w:val="es-CO"/>
        </w:rPr>
        <w:t xml:space="preserve"> </w:t>
      </w:r>
      <w:r w:rsidR="001E431A" w:rsidRPr="005F4654">
        <w:rPr>
          <w:rFonts w:ascii="Arial" w:hAnsi="Arial"/>
          <w:sz w:val="24"/>
          <w:szCs w:val="24"/>
          <w:lang w:val="es-CO"/>
        </w:rPr>
        <w:t xml:space="preserve">pH: </w:t>
      </w:r>
      <w:r w:rsidR="004B53B4">
        <w:rPr>
          <w:rFonts w:ascii="Arial" w:hAnsi="Arial"/>
          <w:sz w:val="24"/>
          <w:szCs w:val="24"/>
          <w:lang w:val="es-CO"/>
        </w:rPr>
        <w:t>1,</w:t>
      </w:r>
      <w:r w:rsidR="000B314C">
        <w:rPr>
          <w:rFonts w:ascii="Arial" w:hAnsi="Arial"/>
          <w:sz w:val="24"/>
          <w:szCs w:val="24"/>
          <w:lang w:val="es-CO"/>
        </w:rPr>
        <w:t>63,</w:t>
      </w:r>
      <w:r w:rsidR="001E431A">
        <w:rPr>
          <w:rFonts w:ascii="Arial" w:hAnsi="Arial"/>
          <w:sz w:val="24"/>
          <w:szCs w:val="24"/>
          <w:lang w:val="es-CO"/>
        </w:rPr>
        <w:t xml:space="preserve"> Eh: 580</w:t>
      </w:r>
      <w:r w:rsidR="000B314C">
        <w:rPr>
          <w:rFonts w:ascii="Arial" w:hAnsi="Arial"/>
          <w:sz w:val="24"/>
          <w:szCs w:val="24"/>
          <w:lang w:val="es-CO"/>
        </w:rPr>
        <w:t xml:space="preserve"> mV,</w:t>
      </w:r>
      <w:r w:rsidR="001E431A" w:rsidRPr="005F4654">
        <w:rPr>
          <w:rFonts w:ascii="Arial" w:hAnsi="Arial"/>
          <w:sz w:val="24"/>
          <w:szCs w:val="24"/>
          <w:lang w:val="es-CO"/>
        </w:rPr>
        <w:t xml:space="preserve"> </w:t>
      </w:r>
      <w:r w:rsidR="001E431A" w:rsidRPr="00C42F92">
        <w:rPr>
          <w:rFonts w:ascii="Arial" w:hAnsi="Arial"/>
          <w:sz w:val="24"/>
          <w:szCs w:val="24"/>
          <w:lang w:val="es-CO"/>
        </w:rPr>
        <w:t>5.1</w:t>
      </w:r>
      <w:r w:rsidR="001E431A" w:rsidRPr="005F4654">
        <w:rPr>
          <w:rFonts w:ascii="Arial" w:hAnsi="Arial"/>
          <w:sz w:val="24"/>
          <w:lang w:val="es-CO"/>
        </w:rPr>
        <w:t>×10</w:t>
      </w:r>
      <w:r w:rsidR="001E431A" w:rsidRPr="005F4654">
        <w:rPr>
          <w:rFonts w:ascii="Arial" w:hAnsi="Arial"/>
          <w:sz w:val="24"/>
          <w:vertAlign w:val="superscript"/>
          <w:lang w:val="es-CO"/>
        </w:rPr>
        <w:t>8</w:t>
      </w:r>
      <w:r w:rsidR="001E431A">
        <w:rPr>
          <w:rFonts w:ascii="Arial" w:hAnsi="Arial"/>
          <w:sz w:val="24"/>
          <w:lang w:val="es-CO"/>
        </w:rPr>
        <w:t xml:space="preserve"> células/mL</w:t>
      </w:r>
      <w:r w:rsidR="001E431A">
        <w:rPr>
          <w:rFonts w:ascii="Arial" w:hAnsi="Arial"/>
          <w:sz w:val="24"/>
          <w:szCs w:val="24"/>
          <w:lang w:val="es-CO"/>
        </w:rPr>
        <w:t>),</w:t>
      </w:r>
      <w:r w:rsidR="001E431A" w:rsidRPr="005F4654">
        <w:rPr>
          <w:rFonts w:ascii="Arial" w:hAnsi="Arial"/>
          <w:sz w:val="24"/>
          <w:szCs w:val="24"/>
          <w:lang w:val="es-CO"/>
        </w:rPr>
        <w:t xml:space="preserve"> después de 12 días de experimentación.</w:t>
      </w:r>
    </w:p>
    <w:p w:rsidR="00C070D9" w:rsidRDefault="00C070D9" w:rsidP="006F2C2B">
      <w:pPr>
        <w:pStyle w:val="HTMLconformatoprevio"/>
        <w:shd w:val="clear" w:color="auto" w:fill="FFFFFF"/>
        <w:jc w:val="both"/>
        <w:rPr>
          <w:rFonts w:ascii="Arial" w:hAnsi="Arial"/>
          <w:sz w:val="24"/>
          <w:szCs w:val="24"/>
          <w:lang w:val="es-CO"/>
        </w:rPr>
      </w:pPr>
    </w:p>
    <w:p w:rsidR="00AC51CD" w:rsidRDefault="00B704A7" w:rsidP="006F2C2B">
      <w:pPr>
        <w:pStyle w:val="HTMLconformatoprevio"/>
        <w:shd w:val="clear" w:color="auto" w:fill="FFFFFF"/>
        <w:jc w:val="both"/>
        <w:rPr>
          <w:rFonts w:ascii="Arial" w:hAnsi="Arial"/>
          <w:sz w:val="24"/>
          <w:szCs w:val="24"/>
          <w:lang w:val="es-CO"/>
        </w:rPr>
      </w:pPr>
      <w:r w:rsidRPr="00C42F92">
        <w:rPr>
          <w:rFonts w:ascii="Arial" w:hAnsi="Arial"/>
          <w:b/>
          <w:sz w:val="24"/>
          <w:szCs w:val="24"/>
          <w:lang w:val="es-CO"/>
        </w:rPr>
        <w:t xml:space="preserve">Palabras clave: </w:t>
      </w:r>
      <w:r w:rsidRPr="00C42F92">
        <w:rPr>
          <w:rFonts w:ascii="Arial" w:hAnsi="Arial"/>
          <w:sz w:val="24"/>
          <w:szCs w:val="24"/>
          <w:lang w:val="es-CO"/>
        </w:rPr>
        <w:t>Bacteria</w:t>
      </w:r>
      <w:r w:rsidRPr="00C42F92">
        <w:rPr>
          <w:rFonts w:ascii="Arial" w:hAnsi="Arial"/>
          <w:b/>
          <w:sz w:val="24"/>
          <w:szCs w:val="24"/>
          <w:lang w:val="es-CO"/>
        </w:rPr>
        <w:t xml:space="preserve">, </w:t>
      </w:r>
      <w:r w:rsidRPr="00C42F92">
        <w:rPr>
          <w:rFonts w:ascii="Arial" w:hAnsi="Arial"/>
          <w:sz w:val="24"/>
          <w:szCs w:val="24"/>
          <w:lang w:val="es-CO"/>
        </w:rPr>
        <w:t>pirita, biolixiviación, sulfato ferroso.</w:t>
      </w:r>
    </w:p>
    <w:p w:rsidR="0056448E" w:rsidRPr="00AB4662" w:rsidRDefault="0056448E" w:rsidP="006F2C2B">
      <w:pPr>
        <w:pStyle w:val="HTMLconformatoprevio"/>
        <w:shd w:val="clear" w:color="auto" w:fill="FFFFFF"/>
        <w:jc w:val="both"/>
        <w:rPr>
          <w:rFonts w:asciiTheme="minorHAnsi" w:hAnsiTheme="minorHAnsi" w:cs="Arial"/>
          <w:sz w:val="24"/>
          <w:szCs w:val="24"/>
          <w:lang w:val="es-CO"/>
        </w:rPr>
      </w:pPr>
    </w:p>
    <w:p w:rsidR="007E313C" w:rsidRPr="008F4545" w:rsidRDefault="001C0869" w:rsidP="006F2C2B">
      <w:pPr>
        <w:pStyle w:val="Sinespaciado"/>
        <w:jc w:val="both"/>
        <w:rPr>
          <w:rFonts w:ascii="Arial" w:hAnsi="Arial"/>
          <w:b/>
          <w:sz w:val="24"/>
          <w:szCs w:val="24"/>
          <w:lang w:val="en-US"/>
        </w:rPr>
      </w:pPr>
      <w:r w:rsidRPr="008F4545">
        <w:rPr>
          <w:rFonts w:ascii="Arial" w:hAnsi="Arial"/>
          <w:b/>
          <w:sz w:val="24"/>
          <w:szCs w:val="24"/>
          <w:lang w:val="en-US"/>
        </w:rPr>
        <w:t>Abstract</w:t>
      </w:r>
    </w:p>
    <w:p w:rsidR="0082612C" w:rsidRDefault="00294185" w:rsidP="006F2C2B">
      <w:pPr>
        <w:shd w:val="clear" w:color="auto" w:fill="FFFFFF"/>
        <w:spacing w:after="0" w:line="240" w:lineRule="auto"/>
        <w:jc w:val="both"/>
        <w:rPr>
          <w:rFonts w:ascii="Arial" w:eastAsia="Times New Roman" w:hAnsi="Arial" w:cs="Arial"/>
          <w:color w:val="222222"/>
          <w:sz w:val="24"/>
          <w:szCs w:val="24"/>
          <w:lang w:val="en-US" w:eastAsia="es-CO"/>
        </w:rPr>
      </w:pPr>
      <w:r>
        <w:rPr>
          <w:rFonts w:ascii="Arial" w:eastAsia="Times New Roman" w:hAnsi="Arial" w:cs="Arial"/>
          <w:color w:val="222222"/>
          <w:sz w:val="24"/>
          <w:szCs w:val="24"/>
          <w:lang w:val="en-US" w:eastAsia="es-CO"/>
        </w:rPr>
        <w:t xml:space="preserve">This study aimed comparing </w:t>
      </w:r>
      <w:r w:rsidR="00BA7C3F" w:rsidRPr="008F4545">
        <w:rPr>
          <w:rFonts w:ascii="Arial" w:eastAsia="Times New Roman" w:hAnsi="Arial" w:cs="Arial"/>
          <w:color w:val="222222"/>
          <w:sz w:val="24"/>
          <w:szCs w:val="24"/>
          <w:lang w:val="en-US" w:eastAsia="es-CO"/>
        </w:rPr>
        <w:t xml:space="preserve">the oxidative activity of two strains </w:t>
      </w:r>
      <w:r w:rsidR="00067808">
        <w:rPr>
          <w:rFonts w:ascii="Arial" w:eastAsia="Times New Roman" w:hAnsi="Arial" w:cs="Arial"/>
          <w:color w:val="222222"/>
          <w:sz w:val="24"/>
          <w:szCs w:val="24"/>
          <w:lang w:val="en-US" w:eastAsia="es-CO"/>
        </w:rPr>
        <w:t xml:space="preserve">of </w:t>
      </w:r>
      <w:r w:rsidR="00067808" w:rsidRPr="00FE19B7">
        <w:rPr>
          <w:rFonts w:ascii="Arial" w:eastAsia="Times New Roman" w:hAnsi="Arial" w:cs="Arial"/>
          <w:i/>
          <w:color w:val="222222"/>
          <w:sz w:val="24"/>
          <w:szCs w:val="24"/>
          <w:lang w:val="en-US" w:eastAsia="es-CO"/>
        </w:rPr>
        <w:t>Acidithiobacillus ferrooxidans</w:t>
      </w:r>
      <w:r w:rsidR="00067808">
        <w:rPr>
          <w:rFonts w:ascii="Arial" w:eastAsia="Times New Roman" w:hAnsi="Arial" w:cs="Arial"/>
          <w:color w:val="222222"/>
          <w:sz w:val="24"/>
          <w:szCs w:val="24"/>
          <w:lang w:val="en-US" w:eastAsia="es-CO"/>
        </w:rPr>
        <w:t xml:space="preserve"> in a </w:t>
      </w:r>
      <w:r w:rsidR="00F8370A">
        <w:rPr>
          <w:rFonts w:ascii="Arial" w:eastAsia="Times New Roman" w:hAnsi="Arial" w:cs="Arial"/>
          <w:color w:val="222222"/>
          <w:sz w:val="24"/>
          <w:szCs w:val="24"/>
          <w:lang w:val="en-US" w:eastAsia="es-CO"/>
        </w:rPr>
        <w:t xml:space="preserve">desulphurization process, </w:t>
      </w:r>
      <w:r w:rsidR="00183536">
        <w:rPr>
          <w:rFonts w:ascii="Arial" w:eastAsia="Times New Roman" w:hAnsi="Arial" w:cs="Arial"/>
          <w:color w:val="222222"/>
          <w:sz w:val="24"/>
          <w:szCs w:val="24"/>
          <w:lang w:val="en-US" w:eastAsia="es-CO"/>
        </w:rPr>
        <w:t>using a sub-bituminous coal</w:t>
      </w:r>
      <w:r w:rsidR="00A871F9">
        <w:rPr>
          <w:rFonts w:ascii="Arial" w:eastAsia="Times New Roman" w:hAnsi="Arial" w:cs="Arial"/>
          <w:color w:val="222222"/>
          <w:sz w:val="24"/>
          <w:szCs w:val="24"/>
          <w:lang w:val="en-US" w:eastAsia="es-CO"/>
        </w:rPr>
        <w:t xml:space="preserve"> with a high sulf</w:t>
      </w:r>
      <w:r w:rsidR="00F8370A">
        <w:rPr>
          <w:rFonts w:ascii="Arial" w:eastAsia="Times New Roman" w:hAnsi="Arial" w:cs="Arial"/>
          <w:color w:val="222222"/>
          <w:sz w:val="24"/>
          <w:szCs w:val="24"/>
          <w:lang w:val="en-US" w:eastAsia="es-CO"/>
        </w:rPr>
        <w:t xml:space="preserve">ur content </w:t>
      </w:r>
      <w:r w:rsidR="007B5F11">
        <w:rPr>
          <w:rFonts w:ascii="Arial" w:eastAsia="Times New Roman" w:hAnsi="Arial" w:cs="Arial"/>
          <w:color w:val="222222"/>
          <w:sz w:val="24"/>
          <w:szCs w:val="24"/>
          <w:lang w:val="en-US" w:eastAsia="es-CO"/>
        </w:rPr>
        <w:t>(</w:t>
      </w:r>
      <w:r w:rsidR="007B5F11" w:rsidRPr="00D623FD">
        <w:rPr>
          <w:rFonts w:ascii="Arial" w:hAnsi="Arial" w:cs="Arial"/>
          <w:sz w:val="24"/>
          <w:szCs w:val="24"/>
          <w:lang w:val="en-US"/>
        </w:rPr>
        <w:t>2.30</w:t>
      </w:r>
      <w:r w:rsidR="00A871F9" w:rsidRPr="00D623FD">
        <w:rPr>
          <w:rFonts w:ascii="Arial" w:hAnsi="Arial" w:cs="Arial"/>
          <w:sz w:val="24"/>
          <w:szCs w:val="24"/>
          <w:lang w:val="en-US"/>
        </w:rPr>
        <w:t>% total sulf</w:t>
      </w:r>
      <w:r w:rsidR="007B5F11" w:rsidRPr="00D623FD">
        <w:rPr>
          <w:rFonts w:ascii="Arial" w:hAnsi="Arial" w:cs="Arial"/>
          <w:sz w:val="24"/>
          <w:szCs w:val="24"/>
          <w:lang w:val="en-US"/>
        </w:rPr>
        <w:t xml:space="preserve">ur: 1.06% as pyritic, 1.10% as organic and 0.14% from sulfates) </w:t>
      </w:r>
      <w:r w:rsidR="00BA7C3F" w:rsidRPr="008F4545">
        <w:rPr>
          <w:rFonts w:ascii="Arial" w:eastAsia="Times New Roman" w:hAnsi="Arial" w:cs="Arial"/>
          <w:color w:val="222222"/>
          <w:sz w:val="24"/>
          <w:szCs w:val="24"/>
          <w:lang w:val="en-US" w:eastAsia="es-CO"/>
        </w:rPr>
        <w:t xml:space="preserve">from </w:t>
      </w:r>
      <w:r w:rsidR="00067808">
        <w:rPr>
          <w:rFonts w:ascii="Arial" w:eastAsia="Times New Roman" w:hAnsi="Arial" w:cs="Arial"/>
          <w:color w:val="222222"/>
          <w:sz w:val="24"/>
          <w:szCs w:val="24"/>
          <w:lang w:val="en-US" w:eastAsia="es-CO"/>
        </w:rPr>
        <w:t>“La </w:t>
      </w:r>
      <w:proofErr w:type="spellStart"/>
      <w:r w:rsidR="00067808">
        <w:rPr>
          <w:rFonts w:ascii="Arial" w:eastAsia="Times New Roman" w:hAnsi="Arial" w:cs="Arial"/>
          <w:color w:val="222222"/>
          <w:sz w:val="24"/>
          <w:szCs w:val="24"/>
          <w:lang w:val="en-US" w:eastAsia="es-CO"/>
        </w:rPr>
        <w:t>Guacamaya</w:t>
      </w:r>
      <w:proofErr w:type="spellEnd"/>
      <w:r w:rsidR="00067808">
        <w:rPr>
          <w:rFonts w:ascii="Arial" w:eastAsia="Times New Roman" w:hAnsi="Arial" w:cs="Arial"/>
          <w:color w:val="222222"/>
          <w:sz w:val="24"/>
          <w:szCs w:val="24"/>
          <w:lang w:val="en-US" w:eastAsia="es-CO"/>
        </w:rPr>
        <w:t xml:space="preserve">” mine, located in Puerto </w:t>
      </w:r>
      <w:proofErr w:type="spellStart"/>
      <w:r w:rsidR="00067808">
        <w:rPr>
          <w:rFonts w:ascii="Arial" w:eastAsia="Times New Roman" w:hAnsi="Arial" w:cs="Arial"/>
          <w:color w:val="222222"/>
          <w:sz w:val="24"/>
          <w:szCs w:val="24"/>
          <w:lang w:val="en-US" w:eastAsia="es-CO"/>
        </w:rPr>
        <w:t>Libertador</w:t>
      </w:r>
      <w:proofErr w:type="spellEnd"/>
      <w:r w:rsidR="00067808">
        <w:rPr>
          <w:rFonts w:ascii="Arial" w:eastAsia="Times New Roman" w:hAnsi="Arial" w:cs="Arial"/>
          <w:color w:val="222222"/>
          <w:sz w:val="24"/>
          <w:szCs w:val="24"/>
          <w:lang w:val="en-US" w:eastAsia="es-CO"/>
        </w:rPr>
        <w:t xml:space="preserve"> - Cordoba</w:t>
      </w:r>
      <w:r w:rsidR="00BA7C3F" w:rsidRPr="008F4545">
        <w:rPr>
          <w:rFonts w:ascii="Arial" w:eastAsia="Times New Roman" w:hAnsi="Arial" w:cs="Arial"/>
          <w:color w:val="222222"/>
          <w:sz w:val="24"/>
          <w:szCs w:val="24"/>
          <w:lang w:val="en-US" w:eastAsia="es-CO"/>
        </w:rPr>
        <w:t>, Colombia. </w:t>
      </w:r>
      <w:r w:rsidR="00C017B5">
        <w:rPr>
          <w:rFonts w:ascii="Arial" w:eastAsia="Times New Roman" w:hAnsi="Arial" w:cs="Arial"/>
          <w:color w:val="222222"/>
          <w:sz w:val="24"/>
          <w:szCs w:val="24"/>
          <w:lang w:val="en-US" w:eastAsia="es-CO"/>
        </w:rPr>
        <w:t>Several a</w:t>
      </w:r>
      <w:r w:rsidR="00067796" w:rsidRPr="00067796">
        <w:rPr>
          <w:rFonts w:ascii="Arial" w:eastAsia="Times New Roman" w:hAnsi="Arial" w:cs="Arial"/>
          <w:color w:val="222222"/>
          <w:sz w:val="24"/>
          <w:szCs w:val="24"/>
          <w:lang w:val="en-US" w:eastAsia="es-CO"/>
        </w:rPr>
        <w:t>ssays were performed in Erlenmeyer flasks, the</w:t>
      </w:r>
      <w:r w:rsidR="008C799A">
        <w:rPr>
          <w:rFonts w:ascii="Arial" w:eastAsia="Times New Roman" w:hAnsi="Arial" w:cs="Arial"/>
          <w:color w:val="222222"/>
          <w:sz w:val="24"/>
          <w:szCs w:val="24"/>
          <w:lang w:val="en-US" w:eastAsia="es-CO"/>
        </w:rPr>
        <w:t xml:space="preserve"> total</w:t>
      </w:r>
      <w:r w:rsidR="00067796" w:rsidRPr="00067796">
        <w:rPr>
          <w:rFonts w:ascii="Arial" w:eastAsia="Times New Roman" w:hAnsi="Arial" w:cs="Arial"/>
          <w:color w:val="222222"/>
          <w:sz w:val="24"/>
          <w:szCs w:val="24"/>
          <w:lang w:val="en-US" w:eastAsia="es-CO"/>
        </w:rPr>
        <w:t xml:space="preserve"> iron </w:t>
      </w:r>
      <w:r w:rsidR="00067796" w:rsidRPr="00067796">
        <w:rPr>
          <w:rFonts w:ascii="Arial" w:eastAsia="Times New Roman" w:hAnsi="Arial" w:cs="Arial"/>
          <w:color w:val="222222"/>
          <w:sz w:val="24"/>
          <w:szCs w:val="24"/>
          <w:lang w:val="en-US" w:eastAsia="es-CO"/>
        </w:rPr>
        <w:lastRenderedPageBreak/>
        <w:t>concentration used in solution were 200 mg/L and 1200 mg/L respectively,</w:t>
      </w:r>
      <w:r w:rsidR="00067796">
        <w:rPr>
          <w:rFonts w:ascii="Arial" w:eastAsia="Times New Roman" w:hAnsi="Arial" w:cs="Arial"/>
          <w:color w:val="222222"/>
          <w:sz w:val="24"/>
          <w:szCs w:val="24"/>
          <w:lang w:val="en-US" w:eastAsia="es-CO"/>
        </w:rPr>
        <w:t xml:space="preserve"> using ferrous </w:t>
      </w:r>
      <w:r w:rsidR="000E0D11">
        <w:rPr>
          <w:rFonts w:ascii="Arial" w:eastAsia="Times New Roman" w:hAnsi="Arial" w:cs="Arial"/>
          <w:color w:val="222222"/>
          <w:sz w:val="24"/>
          <w:szCs w:val="24"/>
          <w:lang w:val="en-US" w:eastAsia="es-CO"/>
        </w:rPr>
        <w:t>sulf</w:t>
      </w:r>
      <w:r w:rsidR="000E0D11" w:rsidRPr="00067796">
        <w:rPr>
          <w:rFonts w:ascii="Arial" w:eastAsia="Times New Roman" w:hAnsi="Arial" w:cs="Arial"/>
          <w:color w:val="222222"/>
          <w:sz w:val="24"/>
          <w:szCs w:val="24"/>
          <w:lang w:val="en-US" w:eastAsia="es-CO"/>
        </w:rPr>
        <w:t>ate</w:t>
      </w:r>
      <w:r w:rsidR="000E0D11">
        <w:rPr>
          <w:rFonts w:ascii="Arial" w:eastAsia="Times New Roman" w:hAnsi="Arial" w:cs="Arial"/>
          <w:color w:val="222222"/>
          <w:sz w:val="24"/>
          <w:szCs w:val="24"/>
          <w:lang w:val="en-US" w:eastAsia="es-CO"/>
        </w:rPr>
        <w:t>. The</w:t>
      </w:r>
      <w:r w:rsidR="00952561">
        <w:rPr>
          <w:rFonts w:ascii="Arial" w:eastAsia="Times New Roman" w:hAnsi="Arial" w:cs="Arial"/>
          <w:color w:val="222222"/>
          <w:sz w:val="24"/>
          <w:szCs w:val="24"/>
          <w:lang w:val="en-US" w:eastAsia="es-CO"/>
        </w:rPr>
        <w:t xml:space="preserve"> process was monitored </w:t>
      </w:r>
      <w:r w:rsidR="00952561" w:rsidRPr="00952561">
        <w:rPr>
          <w:rFonts w:ascii="Arial" w:eastAsia="Times New Roman" w:hAnsi="Arial" w:cs="Arial"/>
          <w:color w:val="000000" w:themeColor="text1"/>
          <w:sz w:val="24"/>
          <w:szCs w:val="24"/>
          <w:lang w:val="en-US" w:eastAsia="es-CO"/>
        </w:rPr>
        <w:t xml:space="preserve">by periodically measuring </w:t>
      </w:r>
      <w:r w:rsidR="00067796">
        <w:rPr>
          <w:rFonts w:ascii="Arial" w:eastAsia="Times New Roman" w:hAnsi="Arial" w:cs="Arial"/>
          <w:color w:val="222222"/>
          <w:sz w:val="24"/>
          <w:szCs w:val="24"/>
          <w:lang w:val="en-US" w:eastAsia="es-CO"/>
        </w:rPr>
        <w:t>the main physic</w:t>
      </w:r>
      <w:r w:rsidR="00BA7C3F" w:rsidRPr="008F4545">
        <w:rPr>
          <w:rFonts w:ascii="Arial" w:eastAsia="Times New Roman" w:hAnsi="Arial" w:cs="Arial"/>
          <w:color w:val="222222"/>
          <w:sz w:val="24"/>
          <w:szCs w:val="24"/>
          <w:lang w:val="en-US" w:eastAsia="es-CO"/>
        </w:rPr>
        <w:t xml:space="preserve">ochemical factors </w:t>
      </w:r>
      <w:r w:rsidR="00952561">
        <w:rPr>
          <w:rFonts w:ascii="Arial" w:eastAsia="Times New Roman" w:hAnsi="Arial" w:cs="Arial"/>
          <w:color w:val="222222"/>
          <w:sz w:val="24"/>
          <w:szCs w:val="24"/>
          <w:lang w:val="en-US" w:eastAsia="es-CO"/>
        </w:rPr>
        <w:t>i</w:t>
      </w:r>
      <w:r w:rsidR="00810C2C" w:rsidRPr="008F4545">
        <w:rPr>
          <w:rFonts w:ascii="Arial" w:eastAsia="Times New Roman" w:hAnsi="Arial" w:cs="Arial"/>
          <w:color w:val="222222"/>
          <w:sz w:val="24"/>
          <w:szCs w:val="24"/>
          <w:lang w:val="en-US" w:eastAsia="es-CO"/>
        </w:rPr>
        <w:t>nvolved</w:t>
      </w:r>
      <w:r w:rsidR="00067796">
        <w:rPr>
          <w:rFonts w:ascii="Arial" w:eastAsia="Times New Roman" w:hAnsi="Arial" w:cs="Arial"/>
          <w:color w:val="222222"/>
          <w:sz w:val="24"/>
          <w:szCs w:val="24"/>
          <w:lang w:val="en-US" w:eastAsia="es-CO"/>
        </w:rPr>
        <w:t xml:space="preserve"> </w:t>
      </w:r>
      <w:r w:rsidR="00BA7C3F" w:rsidRPr="008F4545">
        <w:rPr>
          <w:rFonts w:ascii="Arial" w:eastAsia="Times New Roman" w:hAnsi="Arial" w:cs="Arial"/>
          <w:color w:val="222222"/>
          <w:sz w:val="24"/>
          <w:szCs w:val="24"/>
          <w:lang w:val="en-US" w:eastAsia="es-CO"/>
        </w:rPr>
        <w:t>(</w:t>
      </w:r>
      <w:r w:rsidR="00C20F22" w:rsidRPr="00C20F22">
        <w:rPr>
          <w:rFonts w:ascii="Arial" w:eastAsia="Times New Roman" w:hAnsi="Arial" w:cs="Arial"/>
          <w:color w:val="222222"/>
          <w:sz w:val="24"/>
          <w:szCs w:val="24"/>
          <w:lang w:val="en-US" w:eastAsia="es-CO"/>
        </w:rPr>
        <w:t>pH, Eh,</w:t>
      </w:r>
      <w:r w:rsidR="00C20F22" w:rsidRPr="00D623FD">
        <w:rPr>
          <w:rFonts w:eastAsia="Times New Roman" w:cs="Arial"/>
          <w:sz w:val="24"/>
          <w:szCs w:val="24"/>
          <w:lang w:val="en-US" w:eastAsia="es-CO"/>
        </w:rPr>
        <w:t> </w:t>
      </w:r>
      <w:r w:rsidR="00C20F22" w:rsidRPr="00C20F22">
        <w:rPr>
          <w:rFonts w:ascii="Arial" w:eastAsia="Times New Roman" w:hAnsi="Arial" w:cs="Arial"/>
          <w:color w:val="222222"/>
          <w:sz w:val="24"/>
          <w:szCs w:val="24"/>
          <w:lang w:val="en-US" w:eastAsia="es-CO"/>
        </w:rPr>
        <w:t>cell population</w:t>
      </w:r>
      <w:r w:rsidR="00C20F22" w:rsidRPr="00D623FD">
        <w:rPr>
          <w:rFonts w:eastAsia="Times New Roman" w:cs="Arial"/>
          <w:color w:val="222222"/>
          <w:sz w:val="24"/>
          <w:szCs w:val="24"/>
          <w:lang w:val="en-US" w:eastAsia="es-CO"/>
        </w:rPr>
        <w:t> </w:t>
      </w:r>
      <w:r w:rsidR="00C20F22" w:rsidRPr="00C20F22">
        <w:rPr>
          <w:rFonts w:ascii="Arial" w:eastAsia="Times New Roman" w:hAnsi="Arial" w:cs="Arial"/>
          <w:color w:val="222222"/>
          <w:sz w:val="24"/>
          <w:szCs w:val="24"/>
          <w:lang w:val="en-US" w:eastAsia="es-CO"/>
        </w:rPr>
        <w:t>and iron in solution</w:t>
      </w:r>
      <w:r w:rsidR="00BA7C3F" w:rsidRPr="008F4545">
        <w:rPr>
          <w:rFonts w:ascii="Arial" w:eastAsia="Times New Roman" w:hAnsi="Arial" w:cs="Arial"/>
          <w:color w:val="222222"/>
          <w:sz w:val="24"/>
          <w:szCs w:val="24"/>
          <w:lang w:val="en-US" w:eastAsia="es-CO"/>
        </w:rPr>
        <w:t>).</w:t>
      </w:r>
      <w:r w:rsidR="00B42EF8" w:rsidRPr="008F4545">
        <w:rPr>
          <w:rFonts w:ascii="Arial" w:eastAsia="Times New Roman" w:hAnsi="Arial" w:cs="Arial"/>
          <w:color w:val="222222"/>
          <w:sz w:val="24"/>
          <w:szCs w:val="24"/>
          <w:lang w:val="en-US" w:eastAsia="es-CO"/>
        </w:rPr>
        <w:t xml:space="preserve"> </w:t>
      </w:r>
      <w:r w:rsidR="0082612C" w:rsidRPr="0082612C">
        <w:rPr>
          <w:rFonts w:ascii="Arial" w:eastAsia="Times New Roman" w:hAnsi="Arial" w:cs="Arial"/>
          <w:color w:val="222222"/>
          <w:sz w:val="24"/>
          <w:szCs w:val="24"/>
          <w:lang w:val="en-US" w:eastAsia="es-CO"/>
        </w:rPr>
        <w:t xml:space="preserve">According to the results obtained, the highest efficiency of the process was achieved by working with microorganisms compatible with </w:t>
      </w:r>
      <w:r w:rsidR="0082612C" w:rsidRPr="0082612C">
        <w:rPr>
          <w:rFonts w:ascii="Arial" w:eastAsia="Times New Roman" w:hAnsi="Arial" w:cs="Arial"/>
          <w:i/>
          <w:color w:val="222222"/>
          <w:sz w:val="24"/>
          <w:szCs w:val="24"/>
          <w:lang w:val="en-US" w:eastAsia="es-CO"/>
        </w:rPr>
        <w:t xml:space="preserve">Acidithiobacillus ferrooxidans </w:t>
      </w:r>
      <w:r w:rsidR="0082612C">
        <w:rPr>
          <w:rFonts w:ascii="Arial" w:eastAsia="Times New Roman" w:hAnsi="Arial" w:cs="Arial"/>
          <w:color w:val="222222"/>
          <w:sz w:val="24"/>
          <w:szCs w:val="24"/>
          <w:lang w:val="en-US" w:eastAsia="es-CO"/>
        </w:rPr>
        <w:t xml:space="preserve">and initial concentration of </w:t>
      </w:r>
      <w:r w:rsidR="0082612C" w:rsidRPr="0082612C">
        <w:rPr>
          <w:rFonts w:ascii="Arial" w:eastAsia="Times New Roman" w:hAnsi="Arial" w:cs="Arial"/>
          <w:color w:val="222222"/>
          <w:sz w:val="24"/>
          <w:szCs w:val="24"/>
          <w:lang w:val="en-US" w:eastAsia="es-CO"/>
        </w:rPr>
        <w:t>12</w:t>
      </w:r>
      <w:r w:rsidR="0082612C">
        <w:rPr>
          <w:rFonts w:ascii="Arial" w:eastAsia="Times New Roman" w:hAnsi="Arial" w:cs="Arial"/>
          <w:color w:val="222222"/>
          <w:sz w:val="24"/>
          <w:szCs w:val="24"/>
          <w:lang w:val="en-US" w:eastAsia="es-CO"/>
        </w:rPr>
        <w:t xml:space="preserve">00 mg/l of ferrous sulfate, </w:t>
      </w:r>
      <w:r w:rsidR="0082612C" w:rsidRPr="0082612C">
        <w:rPr>
          <w:rFonts w:ascii="Arial" w:eastAsia="Times New Roman" w:hAnsi="Arial" w:cs="Arial"/>
          <w:color w:val="222222"/>
          <w:sz w:val="24"/>
          <w:szCs w:val="24"/>
          <w:lang w:val="en-US" w:eastAsia="es-CO"/>
        </w:rPr>
        <w:t xml:space="preserve">which had higher pyrite oxidation rates (Py oxidized) up to 68% and the best experimental conditions in the leaching </w:t>
      </w:r>
      <w:r w:rsidR="00BD0BD4">
        <w:rPr>
          <w:rFonts w:ascii="Arial" w:eastAsia="Times New Roman" w:hAnsi="Arial" w:cs="Arial"/>
          <w:color w:val="222222"/>
          <w:sz w:val="24"/>
          <w:szCs w:val="24"/>
          <w:lang w:val="en-US" w:eastAsia="es-CO"/>
        </w:rPr>
        <w:t xml:space="preserve">medium </w:t>
      </w:r>
      <w:r w:rsidR="007C2F8A">
        <w:rPr>
          <w:rFonts w:ascii="Arial" w:eastAsia="Times New Roman" w:hAnsi="Arial" w:cs="Arial"/>
          <w:color w:val="222222"/>
          <w:sz w:val="24"/>
          <w:szCs w:val="24"/>
          <w:lang w:val="en-US" w:eastAsia="es-CO"/>
        </w:rPr>
        <w:t>(pH: 1,</w:t>
      </w:r>
      <w:r w:rsidR="0082612C" w:rsidRPr="0082612C">
        <w:rPr>
          <w:rFonts w:ascii="Arial" w:eastAsia="Times New Roman" w:hAnsi="Arial" w:cs="Arial"/>
          <w:color w:val="222222"/>
          <w:sz w:val="24"/>
          <w:szCs w:val="24"/>
          <w:lang w:val="en-US" w:eastAsia="es-CO"/>
        </w:rPr>
        <w:t xml:space="preserve">47; Eh: 625 mV; 6.3×108 cells/mL), in comparison with the axenic culture on the same conditions (Py </w:t>
      </w:r>
      <w:r w:rsidR="00676942" w:rsidRPr="0082612C">
        <w:rPr>
          <w:rFonts w:ascii="Arial" w:eastAsia="Times New Roman" w:hAnsi="Arial" w:cs="Arial"/>
          <w:color w:val="222222"/>
          <w:sz w:val="24"/>
          <w:szCs w:val="24"/>
          <w:lang w:val="en-US" w:eastAsia="es-CO"/>
        </w:rPr>
        <w:t>oxidized</w:t>
      </w:r>
      <w:r w:rsidR="007C2F8A">
        <w:rPr>
          <w:rFonts w:ascii="Arial" w:eastAsia="Times New Roman" w:hAnsi="Arial" w:cs="Arial"/>
          <w:color w:val="222222"/>
          <w:sz w:val="24"/>
          <w:szCs w:val="24"/>
          <w:lang w:val="en-US" w:eastAsia="es-CO"/>
        </w:rPr>
        <w:t>: 52%; pH: 1,</w:t>
      </w:r>
      <w:r w:rsidR="0082612C" w:rsidRPr="0082612C">
        <w:rPr>
          <w:rFonts w:ascii="Arial" w:eastAsia="Times New Roman" w:hAnsi="Arial" w:cs="Arial"/>
          <w:color w:val="222222"/>
          <w:sz w:val="24"/>
          <w:szCs w:val="24"/>
          <w:lang w:val="en-US" w:eastAsia="es-CO"/>
        </w:rPr>
        <w:t xml:space="preserve">63; Eh: 580 mV; 5.1×108cells/mL), </w:t>
      </w:r>
      <w:r w:rsidR="0082612C">
        <w:rPr>
          <w:rFonts w:ascii="Arial" w:eastAsia="Times New Roman" w:hAnsi="Arial" w:cs="Arial"/>
          <w:color w:val="222222"/>
          <w:sz w:val="24"/>
          <w:szCs w:val="24"/>
          <w:lang w:val="en-US" w:eastAsia="es-CO"/>
        </w:rPr>
        <w:t>after 12 days of experiment</w:t>
      </w:r>
      <w:r w:rsidR="001E7EC4">
        <w:rPr>
          <w:rFonts w:ascii="Arial" w:eastAsia="Times New Roman" w:hAnsi="Arial" w:cs="Arial"/>
          <w:color w:val="222222"/>
          <w:sz w:val="24"/>
          <w:szCs w:val="24"/>
          <w:lang w:val="en-US" w:eastAsia="es-CO"/>
        </w:rPr>
        <w:t>ation</w:t>
      </w:r>
      <w:r w:rsidR="0082612C" w:rsidRPr="0082612C">
        <w:rPr>
          <w:rFonts w:ascii="Arial" w:eastAsia="Times New Roman" w:hAnsi="Arial" w:cs="Arial"/>
          <w:color w:val="222222"/>
          <w:sz w:val="24"/>
          <w:szCs w:val="24"/>
          <w:lang w:val="en-US" w:eastAsia="es-CO"/>
        </w:rPr>
        <w:t>.</w:t>
      </w:r>
    </w:p>
    <w:p w:rsidR="00C070D9" w:rsidRPr="00C070D9" w:rsidRDefault="00C070D9" w:rsidP="006F2C2B">
      <w:pPr>
        <w:shd w:val="clear" w:color="auto" w:fill="FFFFFF"/>
        <w:spacing w:after="0" w:line="240" w:lineRule="auto"/>
        <w:jc w:val="both"/>
        <w:rPr>
          <w:rFonts w:ascii="Arial" w:eastAsia="Times New Roman" w:hAnsi="Arial" w:cs="Arial"/>
          <w:color w:val="222222"/>
          <w:sz w:val="24"/>
          <w:szCs w:val="24"/>
          <w:lang w:val="en-US" w:eastAsia="es-CO"/>
        </w:rPr>
      </w:pPr>
    </w:p>
    <w:p w:rsidR="006F2C2B" w:rsidRDefault="007E313C" w:rsidP="006F2C2B">
      <w:pPr>
        <w:pStyle w:val="Sinespaciado"/>
        <w:jc w:val="both"/>
      </w:pPr>
      <w:r w:rsidRPr="008F4545">
        <w:rPr>
          <w:rFonts w:ascii="Arial" w:hAnsi="Arial"/>
          <w:b/>
          <w:sz w:val="24"/>
          <w:szCs w:val="24"/>
          <w:lang w:val="en-US"/>
        </w:rPr>
        <w:t>Key words:</w:t>
      </w:r>
      <w:r w:rsidRPr="008F4545">
        <w:rPr>
          <w:rFonts w:ascii="Arial" w:hAnsi="Arial"/>
          <w:sz w:val="24"/>
          <w:szCs w:val="24"/>
          <w:lang w:val="en-US"/>
        </w:rPr>
        <w:t xml:space="preserve"> </w:t>
      </w:r>
      <w:r w:rsidR="00413B4C">
        <w:rPr>
          <w:rFonts w:ascii="Arial" w:hAnsi="Arial"/>
          <w:sz w:val="24"/>
          <w:szCs w:val="24"/>
          <w:lang w:val="en-US"/>
        </w:rPr>
        <w:t xml:space="preserve">Bacteria, </w:t>
      </w:r>
      <w:r w:rsidRPr="008F4545">
        <w:rPr>
          <w:rFonts w:ascii="Arial" w:hAnsi="Arial"/>
          <w:sz w:val="24"/>
          <w:szCs w:val="24"/>
          <w:lang w:val="en-US"/>
        </w:rPr>
        <w:t xml:space="preserve">pyrite, </w:t>
      </w:r>
      <w:r w:rsidR="00661161" w:rsidRPr="00661161">
        <w:rPr>
          <w:rFonts w:ascii="Arial" w:hAnsi="Arial"/>
          <w:color w:val="000000" w:themeColor="text1"/>
          <w:sz w:val="24"/>
          <w:szCs w:val="24"/>
          <w:lang w:val="en-US"/>
        </w:rPr>
        <w:t>bioleaching</w:t>
      </w:r>
      <w:r w:rsidRPr="008F4545">
        <w:rPr>
          <w:rFonts w:ascii="Arial" w:hAnsi="Arial"/>
          <w:sz w:val="24"/>
          <w:szCs w:val="24"/>
          <w:lang w:val="en-US"/>
        </w:rPr>
        <w:t>,</w:t>
      </w:r>
      <w:r w:rsidR="00413B4C" w:rsidRPr="00413B4C">
        <w:rPr>
          <w:rFonts w:ascii="Arial" w:hAnsi="Arial"/>
          <w:sz w:val="24"/>
          <w:szCs w:val="24"/>
          <w:lang w:val="en-US"/>
        </w:rPr>
        <w:t xml:space="preserve"> </w:t>
      </w:r>
      <w:r w:rsidR="0013532C">
        <w:rPr>
          <w:rFonts w:ascii="Arial" w:hAnsi="Arial"/>
          <w:sz w:val="24"/>
          <w:szCs w:val="24"/>
          <w:lang w:val="en-US"/>
        </w:rPr>
        <w:t>ferrous sulf</w:t>
      </w:r>
      <w:r w:rsidR="00413B4C">
        <w:rPr>
          <w:rFonts w:ascii="Arial" w:hAnsi="Arial"/>
          <w:sz w:val="24"/>
          <w:szCs w:val="24"/>
          <w:lang w:val="en-US"/>
        </w:rPr>
        <w:t>ate</w:t>
      </w:r>
      <w:r w:rsidR="00373E5B" w:rsidRPr="008F4545">
        <w:rPr>
          <w:rFonts w:ascii="Arial" w:hAnsi="Arial"/>
          <w:sz w:val="24"/>
          <w:szCs w:val="24"/>
          <w:lang w:val="en-US"/>
        </w:rPr>
        <w:t xml:space="preserve">. </w:t>
      </w:r>
    </w:p>
    <w:p w:rsidR="006F2C2B" w:rsidRPr="00E11F0A" w:rsidRDefault="00E11F0A" w:rsidP="006F2C2B">
      <w:pPr>
        <w:pStyle w:val="Ttulo3"/>
        <w:rPr>
          <w:b w:val="0"/>
          <w:sz w:val="24"/>
          <w:szCs w:val="24"/>
        </w:rPr>
      </w:pPr>
      <w:r>
        <w:rPr>
          <w:sz w:val="24"/>
          <w:szCs w:val="24"/>
        </w:rPr>
        <w:t xml:space="preserve">Recibido: </w:t>
      </w:r>
      <w:r>
        <w:rPr>
          <w:b w:val="0"/>
          <w:sz w:val="24"/>
          <w:szCs w:val="24"/>
        </w:rPr>
        <w:t>septiembre 16 de 2015</w:t>
      </w:r>
      <w:r w:rsidRPr="00E11F0A">
        <w:rPr>
          <w:rFonts w:eastAsiaTheme="minorHAnsi" w:cstheme="minorBidi"/>
          <w:b w:val="0"/>
          <w:bCs w:val="0"/>
          <w:sz w:val="24"/>
          <w:szCs w:val="24"/>
        </w:rPr>
        <w:tab/>
      </w:r>
      <w:r>
        <w:rPr>
          <w:sz w:val="24"/>
          <w:szCs w:val="24"/>
        </w:rPr>
        <w:tab/>
        <w:t xml:space="preserve">Aprobado: </w:t>
      </w:r>
      <w:r>
        <w:rPr>
          <w:b w:val="0"/>
          <w:sz w:val="24"/>
          <w:szCs w:val="24"/>
        </w:rPr>
        <w:t>abril 26 de 2016</w:t>
      </w:r>
    </w:p>
    <w:p w:rsidR="00373E5B" w:rsidRPr="0031297B" w:rsidRDefault="00373E5B" w:rsidP="006F2C2B">
      <w:pPr>
        <w:pStyle w:val="Ttulo3"/>
        <w:rPr>
          <w:sz w:val="24"/>
          <w:szCs w:val="24"/>
        </w:rPr>
      </w:pPr>
      <w:r w:rsidRPr="0031297B">
        <w:rPr>
          <w:sz w:val="24"/>
          <w:szCs w:val="24"/>
        </w:rPr>
        <w:t xml:space="preserve">Introducción </w:t>
      </w:r>
    </w:p>
    <w:p w:rsidR="005E5E88" w:rsidRDefault="005E5E88" w:rsidP="006F2C2B">
      <w:pPr>
        <w:pStyle w:val="Sinespaciado"/>
        <w:jc w:val="both"/>
        <w:rPr>
          <w:rFonts w:ascii="Arial" w:hAnsi="Arial" w:cs="Arial"/>
          <w:sz w:val="24"/>
          <w:szCs w:val="24"/>
        </w:rPr>
      </w:pPr>
      <w:r w:rsidRPr="005E5E88">
        <w:rPr>
          <w:rFonts w:ascii="Arial" w:hAnsi="Arial" w:cs="Arial"/>
          <w:sz w:val="24"/>
          <w:szCs w:val="24"/>
        </w:rPr>
        <w:t xml:space="preserve">A nivel mundial, el carbón colombiano es reconocido por tener bajo contenido de cenizas, azufre, ser alto en volátiles y tener un alto valor calorífico (UPME, 2007). No obstante, en algunas regiones la cantidad de algunos componentes presentes en </w:t>
      </w:r>
      <w:r w:rsidR="00D92DDC">
        <w:rPr>
          <w:rFonts w:ascii="Arial" w:hAnsi="Arial" w:cs="Arial"/>
          <w:sz w:val="24"/>
          <w:szCs w:val="24"/>
        </w:rPr>
        <w:t xml:space="preserve">este </w:t>
      </w:r>
      <w:r>
        <w:rPr>
          <w:rFonts w:ascii="Arial" w:hAnsi="Arial" w:cs="Arial"/>
          <w:sz w:val="24"/>
          <w:szCs w:val="24"/>
        </w:rPr>
        <w:t>combustible,</w:t>
      </w:r>
      <w:r w:rsidRPr="005E5E88">
        <w:rPr>
          <w:rFonts w:ascii="Arial" w:hAnsi="Arial" w:cs="Arial"/>
          <w:sz w:val="24"/>
          <w:szCs w:val="24"/>
        </w:rPr>
        <w:t xml:space="preserve"> tales como el azufre</w:t>
      </w:r>
      <w:r>
        <w:rPr>
          <w:rFonts w:ascii="Arial" w:hAnsi="Arial" w:cs="Arial"/>
          <w:sz w:val="24"/>
          <w:szCs w:val="24"/>
        </w:rPr>
        <w:t xml:space="preserve"> (orgánico e inorgánico)</w:t>
      </w:r>
      <w:r w:rsidR="00D92DDC">
        <w:rPr>
          <w:rFonts w:ascii="Arial" w:hAnsi="Arial" w:cs="Arial"/>
          <w:sz w:val="24"/>
          <w:szCs w:val="24"/>
        </w:rPr>
        <w:t xml:space="preserve"> </w:t>
      </w:r>
      <w:r w:rsidRPr="005E5E88">
        <w:rPr>
          <w:rFonts w:ascii="Arial" w:hAnsi="Arial" w:cs="Arial"/>
          <w:sz w:val="24"/>
          <w:szCs w:val="24"/>
        </w:rPr>
        <w:t>le restan valor y obligan a la aplicación de t</w:t>
      </w:r>
      <w:r w:rsidR="0032380F">
        <w:rPr>
          <w:rFonts w:ascii="Arial" w:hAnsi="Arial" w:cs="Arial"/>
          <w:sz w:val="24"/>
          <w:szCs w:val="24"/>
        </w:rPr>
        <w:t>ratamientos para su utilización</w:t>
      </w:r>
      <w:r w:rsidR="00D247B7">
        <w:rPr>
          <w:rFonts w:ascii="Arial" w:hAnsi="Arial" w:cs="Arial"/>
          <w:sz w:val="24"/>
          <w:szCs w:val="24"/>
        </w:rPr>
        <w:t xml:space="preserve"> (León, 2006).</w:t>
      </w:r>
    </w:p>
    <w:p w:rsidR="005E5E88" w:rsidRDefault="005E5E88" w:rsidP="006F2C2B">
      <w:pPr>
        <w:pStyle w:val="Sinespaciado"/>
        <w:jc w:val="both"/>
        <w:rPr>
          <w:rFonts w:ascii="Arial" w:hAnsi="Arial" w:cs="Arial"/>
          <w:sz w:val="24"/>
          <w:szCs w:val="24"/>
        </w:rPr>
      </w:pPr>
    </w:p>
    <w:p w:rsidR="00D10F3D" w:rsidRPr="00C26487" w:rsidRDefault="003E7F2D" w:rsidP="006F2C2B">
      <w:pPr>
        <w:pStyle w:val="Sinespaciado"/>
        <w:jc w:val="both"/>
        <w:rPr>
          <w:rFonts w:ascii="Arial" w:hAnsi="Arial" w:cs="Calibri"/>
          <w:sz w:val="24"/>
          <w:szCs w:val="24"/>
        </w:rPr>
      </w:pPr>
      <w:r>
        <w:rPr>
          <w:rFonts w:ascii="Arial" w:hAnsi="Arial" w:cs="Calibri"/>
          <w:sz w:val="24"/>
          <w:szCs w:val="24"/>
        </w:rPr>
        <w:t>E</w:t>
      </w:r>
      <w:r w:rsidR="005E5E88" w:rsidRPr="0031297B">
        <w:rPr>
          <w:rFonts w:ascii="Arial" w:hAnsi="Arial" w:cs="Calibri"/>
          <w:sz w:val="24"/>
          <w:szCs w:val="24"/>
        </w:rPr>
        <w:t xml:space="preserve">l dióxido de azufre </w:t>
      </w:r>
      <w:r w:rsidR="00360F27">
        <w:rPr>
          <w:rFonts w:ascii="Arial" w:hAnsi="Arial" w:cs="Calibri"/>
          <w:sz w:val="24"/>
          <w:szCs w:val="24"/>
        </w:rPr>
        <w:t>(SO</w:t>
      </w:r>
      <w:r w:rsidR="00360F27">
        <w:rPr>
          <w:rFonts w:ascii="Arial" w:hAnsi="Arial" w:cs="Calibri"/>
          <w:sz w:val="24"/>
          <w:szCs w:val="24"/>
          <w:vertAlign w:val="subscript"/>
        </w:rPr>
        <w:t>2</w:t>
      </w:r>
      <w:r w:rsidR="00360F27">
        <w:rPr>
          <w:rFonts w:ascii="Arial" w:hAnsi="Arial" w:cs="Calibri"/>
          <w:sz w:val="24"/>
          <w:szCs w:val="24"/>
        </w:rPr>
        <w:t xml:space="preserve">) </w:t>
      </w:r>
      <w:r w:rsidR="005E5E88" w:rsidRPr="0031297B">
        <w:rPr>
          <w:rFonts w:ascii="Arial" w:hAnsi="Arial" w:cs="Calibri"/>
          <w:sz w:val="24"/>
          <w:szCs w:val="24"/>
        </w:rPr>
        <w:t>es uno de los gases más tóxicos que contaminan el ambiente, formado principalmente como un subprodu</w:t>
      </w:r>
      <w:r w:rsidR="00995F34">
        <w:rPr>
          <w:rFonts w:ascii="Arial" w:hAnsi="Arial" w:cs="Calibri"/>
          <w:sz w:val="24"/>
          <w:szCs w:val="24"/>
        </w:rPr>
        <w:t>cto de la combustión del azufre</w:t>
      </w:r>
      <w:r w:rsidR="00D247B7">
        <w:rPr>
          <w:rFonts w:ascii="Arial" w:hAnsi="Arial" w:cs="Calibri"/>
          <w:sz w:val="24"/>
          <w:szCs w:val="24"/>
        </w:rPr>
        <w:t xml:space="preserve"> (</w:t>
      </w:r>
      <w:proofErr w:type="spellStart"/>
      <w:r w:rsidR="00D247B7">
        <w:rPr>
          <w:rFonts w:ascii="Arial" w:hAnsi="Arial" w:cs="Calibri"/>
          <w:sz w:val="24"/>
          <w:szCs w:val="24"/>
        </w:rPr>
        <w:t>Chou</w:t>
      </w:r>
      <w:proofErr w:type="spellEnd"/>
      <w:r w:rsidR="00D247B7">
        <w:rPr>
          <w:rFonts w:ascii="Arial" w:hAnsi="Arial" w:cs="Calibri"/>
          <w:sz w:val="24"/>
          <w:szCs w:val="24"/>
        </w:rPr>
        <w:t>, 2012)</w:t>
      </w:r>
      <w:r w:rsidR="005E5E88" w:rsidRPr="0031297B">
        <w:rPr>
          <w:rFonts w:ascii="Arial" w:hAnsi="Arial" w:cs="Calibri"/>
          <w:sz w:val="24"/>
          <w:szCs w:val="24"/>
        </w:rPr>
        <w:t xml:space="preserve">. </w:t>
      </w:r>
      <w:r w:rsidR="00A40A1F" w:rsidRPr="0031297B">
        <w:rPr>
          <w:rFonts w:ascii="Arial" w:hAnsi="Arial" w:cs="Calibri"/>
          <w:sz w:val="24"/>
          <w:szCs w:val="24"/>
        </w:rPr>
        <w:t>La necesidad de obtener carbo</w:t>
      </w:r>
      <w:r w:rsidR="00176DDB">
        <w:rPr>
          <w:rFonts w:ascii="Arial" w:hAnsi="Arial" w:cs="Calibri"/>
          <w:sz w:val="24"/>
          <w:szCs w:val="24"/>
        </w:rPr>
        <w:t>nes con bajo contenido de este elemento</w:t>
      </w:r>
      <w:r w:rsidR="00A40A1F" w:rsidRPr="0031297B">
        <w:rPr>
          <w:rFonts w:ascii="Arial" w:hAnsi="Arial" w:cs="Calibri"/>
          <w:sz w:val="24"/>
          <w:szCs w:val="24"/>
        </w:rPr>
        <w:t xml:space="preserve"> a partir de carbones d</w:t>
      </w:r>
      <w:r w:rsidR="00856EDE">
        <w:rPr>
          <w:rFonts w:ascii="Arial" w:hAnsi="Arial" w:cs="Calibri"/>
          <w:sz w:val="24"/>
          <w:szCs w:val="24"/>
        </w:rPr>
        <w:t>e baja calidad</w:t>
      </w:r>
      <w:r w:rsidR="00A40A1F" w:rsidRPr="0031297B">
        <w:rPr>
          <w:rFonts w:ascii="Arial" w:hAnsi="Arial" w:cs="Calibri"/>
          <w:sz w:val="24"/>
          <w:szCs w:val="24"/>
        </w:rPr>
        <w:t xml:space="preserve">, ha dado lugar a una </w:t>
      </w:r>
      <w:r w:rsidR="00D92DDC">
        <w:rPr>
          <w:rFonts w:ascii="Arial" w:hAnsi="Arial" w:cs="Calibri"/>
          <w:sz w:val="24"/>
          <w:szCs w:val="24"/>
        </w:rPr>
        <w:t xml:space="preserve">gran </w:t>
      </w:r>
      <w:r w:rsidR="00A40A1F" w:rsidRPr="0031297B">
        <w:rPr>
          <w:rFonts w:ascii="Arial" w:hAnsi="Arial" w:cs="Calibri"/>
          <w:sz w:val="24"/>
          <w:szCs w:val="24"/>
        </w:rPr>
        <w:t xml:space="preserve">cantidad de métodos de extracción de azufre basados en </w:t>
      </w:r>
      <w:r w:rsidR="00E2638A" w:rsidRPr="0031297B">
        <w:rPr>
          <w:rFonts w:ascii="Arial" w:hAnsi="Arial" w:cs="Calibri"/>
          <w:sz w:val="24"/>
          <w:szCs w:val="24"/>
        </w:rPr>
        <w:t>técnicas física</w:t>
      </w:r>
      <w:r w:rsidR="00A40A1F" w:rsidRPr="0031297B">
        <w:rPr>
          <w:rFonts w:ascii="Arial" w:hAnsi="Arial" w:cs="Calibri"/>
          <w:sz w:val="24"/>
          <w:szCs w:val="24"/>
        </w:rPr>
        <w:t>s y químic</w:t>
      </w:r>
      <w:r w:rsidR="00E2638A" w:rsidRPr="0031297B">
        <w:rPr>
          <w:rFonts w:ascii="Arial" w:hAnsi="Arial" w:cs="Calibri"/>
          <w:sz w:val="24"/>
          <w:szCs w:val="24"/>
        </w:rPr>
        <w:t>a</w:t>
      </w:r>
      <w:r w:rsidR="00A40A1F" w:rsidRPr="0031297B">
        <w:rPr>
          <w:rFonts w:ascii="Arial" w:hAnsi="Arial" w:cs="Calibri"/>
          <w:sz w:val="24"/>
          <w:szCs w:val="24"/>
        </w:rPr>
        <w:t>s, pero su utilización requiere altos capitales de inversión, genera residuos y efluentes contaminantes</w:t>
      </w:r>
      <w:r w:rsidR="00D247B7">
        <w:rPr>
          <w:rFonts w:ascii="Arial" w:hAnsi="Arial" w:cs="Calibri"/>
          <w:sz w:val="24"/>
          <w:szCs w:val="24"/>
        </w:rPr>
        <w:t xml:space="preserve"> (Prayuenyong, 2002)</w:t>
      </w:r>
      <w:r w:rsidR="00A40A1F" w:rsidRPr="0031297B">
        <w:rPr>
          <w:rFonts w:ascii="Arial" w:hAnsi="Arial" w:cs="Calibri"/>
          <w:sz w:val="24"/>
          <w:szCs w:val="24"/>
        </w:rPr>
        <w:t>. Por esta razón, los métodos biológicos han despertado gran interés, debido no solo a</w:t>
      </w:r>
      <w:r w:rsidR="00E2638A" w:rsidRPr="0031297B">
        <w:rPr>
          <w:rFonts w:ascii="Arial" w:hAnsi="Arial" w:cs="Calibri"/>
          <w:sz w:val="24"/>
          <w:szCs w:val="24"/>
        </w:rPr>
        <w:t xml:space="preserve"> </w:t>
      </w:r>
      <w:r w:rsidR="00E06307">
        <w:rPr>
          <w:rFonts w:ascii="Arial" w:hAnsi="Arial" w:cs="Calibri"/>
          <w:sz w:val="24"/>
          <w:szCs w:val="24"/>
        </w:rPr>
        <w:t xml:space="preserve">que </w:t>
      </w:r>
      <w:r w:rsidR="00E2638A" w:rsidRPr="0031297B">
        <w:rPr>
          <w:rFonts w:ascii="Arial" w:hAnsi="Arial" w:cs="Calibri"/>
          <w:sz w:val="24"/>
          <w:szCs w:val="24"/>
        </w:rPr>
        <w:t>presenta altas eficiencias para extraer pir</w:t>
      </w:r>
      <w:r w:rsidR="001B51AA" w:rsidRPr="0031297B">
        <w:rPr>
          <w:rFonts w:ascii="Arial" w:hAnsi="Arial" w:cs="Calibri"/>
          <w:sz w:val="24"/>
          <w:szCs w:val="24"/>
        </w:rPr>
        <w:t>ita del carbó</w:t>
      </w:r>
      <w:r w:rsidR="00995F34">
        <w:rPr>
          <w:rFonts w:ascii="Arial" w:hAnsi="Arial" w:cs="Calibri"/>
          <w:sz w:val="24"/>
          <w:szCs w:val="24"/>
        </w:rPr>
        <w:t>n</w:t>
      </w:r>
      <w:r>
        <w:rPr>
          <w:rFonts w:ascii="Arial" w:hAnsi="Arial" w:cs="Calibri"/>
          <w:sz w:val="24"/>
          <w:szCs w:val="24"/>
        </w:rPr>
        <w:t>,</w:t>
      </w:r>
      <w:r w:rsidR="001B51AA" w:rsidRPr="0031297B">
        <w:rPr>
          <w:rFonts w:ascii="Arial" w:hAnsi="Arial" w:cs="Calibri"/>
          <w:sz w:val="24"/>
          <w:szCs w:val="24"/>
        </w:rPr>
        <w:t xml:space="preserve"> sino </w:t>
      </w:r>
      <w:r w:rsidR="00E06307">
        <w:rPr>
          <w:rFonts w:ascii="Arial" w:hAnsi="Arial" w:cs="Calibri"/>
          <w:sz w:val="24"/>
          <w:szCs w:val="24"/>
        </w:rPr>
        <w:t>porque</w:t>
      </w:r>
      <w:r w:rsidR="001B51AA" w:rsidRPr="0031297B">
        <w:rPr>
          <w:rFonts w:ascii="Arial" w:hAnsi="Arial" w:cs="Calibri"/>
          <w:sz w:val="24"/>
          <w:szCs w:val="24"/>
        </w:rPr>
        <w:t xml:space="preserve"> </w:t>
      </w:r>
      <w:r w:rsidR="00A40A1F" w:rsidRPr="0031297B">
        <w:rPr>
          <w:rFonts w:ascii="Arial" w:hAnsi="Arial" w:cs="Calibri"/>
          <w:sz w:val="24"/>
          <w:szCs w:val="24"/>
        </w:rPr>
        <w:t xml:space="preserve">requiere bajos capitales de inversión y sus subproductos </w:t>
      </w:r>
      <w:r w:rsidR="00D92DDC">
        <w:rPr>
          <w:rFonts w:ascii="Arial" w:hAnsi="Arial" w:cs="Calibri"/>
          <w:sz w:val="24"/>
          <w:szCs w:val="24"/>
        </w:rPr>
        <w:t>no deterioran el ambiente</w:t>
      </w:r>
      <w:r w:rsidR="00D247B7">
        <w:rPr>
          <w:rFonts w:ascii="Arial" w:hAnsi="Arial" w:cs="Calibri"/>
          <w:sz w:val="24"/>
          <w:szCs w:val="24"/>
        </w:rPr>
        <w:t xml:space="preserve"> (Caicedo, 2008).</w:t>
      </w:r>
    </w:p>
    <w:p w:rsidR="00C26487" w:rsidRDefault="00C26487" w:rsidP="006F2C2B">
      <w:pPr>
        <w:pStyle w:val="Sinespaciado"/>
        <w:jc w:val="both"/>
        <w:rPr>
          <w:rFonts w:ascii="Arial" w:hAnsi="Arial"/>
          <w:sz w:val="24"/>
          <w:szCs w:val="24"/>
        </w:rPr>
      </w:pPr>
    </w:p>
    <w:p w:rsidR="00741C8E" w:rsidRDefault="005A6F6B" w:rsidP="006F2C2B">
      <w:pPr>
        <w:pStyle w:val="Sinespaciado"/>
        <w:jc w:val="both"/>
        <w:rPr>
          <w:rFonts w:ascii="Arial" w:hAnsi="Arial"/>
          <w:sz w:val="24"/>
          <w:szCs w:val="24"/>
        </w:rPr>
      </w:pPr>
      <w:r w:rsidRPr="0031297B">
        <w:rPr>
          <w:rFonts w:ascii="Arial" w:hAnsi="Arial"/>
          <w:sz w:val="24"/>
          <w:szCs w:val="24"/>
        </w:rPr>
        <w:t xml:space="preserve">Los procesos de biolixiviación </w:t>
      </w:r>
      <w:r w:rsidR="000F1510" w:rsidRPr="0031297B">
        <w:rPr>
          <w:rFonts w:ascii="Arial" w:hAnsi="Arial"/>
          <w:sz w:val="24"/>
          <w:szCs w:val="24"/>
        </w:rPr>
        <w:t>se basan fundamentalmente en</w:t>
      </w:r>
      <w:r w:rsidRPr="0031297B">
        <w:rPr>
          <w:rFonts w:ascii="Arial" w:hAnsi="Arial"/>
          <w:sz w:val="24"/>
          <w:szCs w:val="24"/>
        </w:rPr>
        <w:t xml:space="preserve"> el uso de microorganismos</w:t>
      </w:r>
      <w:r w:rsidR="00E2638A" w:rsidRPr="0031297B">
        <w:rPr>
          <w:rFonts w:ascii="Arial" w:hAnsi="Arial"/>
          <w:sz w:val="24"/>
          <w:szCs w:val="24"/>
        </w:rPr>
        <w:t xml:space="preserve"> ácidofilos,</w:t>
      </w:r>
      <w:r w:rsidRPr="0031297B">
        <w:rPr>
          <w:rFonts w:ascii="Arial" w:hAnsi="Arial"/>
          <w:sz w:val="24"/>
          <w:szCs w:val="24"/>
        </w:rPr>
        <w:t xml:space="preserve"> capaces de prosperar y</w:t>
      </w:r>
      <w:r w:rsidR="00E2638A" w:rsidRPr="0031297B">
        <w:rPr>
          <w:rFonts w:ascii="Arial" w:hAnsi="Arial"/>
          <w:sz w:val="24"/>
          <w:szCs w:val="24"/>
        </w:rPr>
        <w:t xml:space="preserve"> oxidar sulfuros metálicos insolubles tales como la pirita, en un medio acuoso, con el fin de lixiviar el azufre en forma de sulfatos</w:t>
      </w:r>
      <w:r w:rsidR="00D247B7">
        <w:rPr>
          <w:rFonts w:ascii="Arial" w:hAnsi="Arial"/>
          <w:sz w:val="24"/>
          <w:szCs w:val="24"/>
        </w:rPr>
        <w:t xml:space="preserve"> (Aller </w:t>
      </w:r>
      <w:r w:rsidR="00D247B7" w:rsidRPr="00E42305">
        <w:rPr>
          <w:rFonts w:ascii="Arial" w:hAnsi="Arial"/>
          <w:i/>
          <w:sz w:val="24"/>
          <w:szCs w:val="24"/>
        </w:rPr>
        <w:t>et al</w:t>
      </w:r>
      <w:r w:rsidR="00D247B7">
        <w:rPr>
          <w:rFonts w:ascii="Arial" w:hAnsi="Arial"/>
          <w:sz w:val="24"/>
          <w:szCs w:val="24"/>
        </w:rPr>
        <w:t xml:space="preserve">., 2001; Cara </w:t>
      </w:r>
      <w:r w:rsidR="00D247B7" w:rsidRPr="00E42305">
        <w:rPr>
          <w:rFonts w:ascii="Arial" w:hAnsi="Arial"/>
          <w:i/>
          <w:sz w:val="24"/>
          <w:szCs w:val="24"/>
        </w:rPr>
        <w:t>et al</w:t>
      </w:r>
      <w:r w:rsidR="00D247B7">
        <w:rPr>
          <w:rFonts w:ascii="Arial" w:hAnsi="Arial"/>
          <w:sz w:val="24"/>
          <w:szCs w:val="24"/>
        </w:rPr>
        <w:t xml:space="preserve">., 2005; </w:t>
      </w:r>
      <w:proofErr w:type="spellStart"/>
      <w:r w:rsidR="00D247B7">
        <w:rPr>
          <w:rFonts w:ascii="Arial" w:hAnsi="Arial"/>
          <w:sz w:val="24"/>
          <w:szCs w:val="24"/>
        </w:rPr>
        <w:t>Harneit</w:t>
      </w:r>
      <w:proofErr w:type="spellEnd"/>
      <w:r w:rsidR="00D247B7">
        <w:rPr>
          <w:rFonts w:ascii="Arial" w:hAnsi="Arial"/>
          <w:sz w:val="24"/>
          <w:szCs w:val="24"/>
        </w:rPr>
        <w:t xml:space="preserve"> </w:t>
      </w:r>
      <w:r w:rsidR="00D247B7" w:rsidRPr="00E42305">
        <w:rPr>
          <w:rFonts w:ascii="Arial" w:hAnsi="Arial"/>
          <w:i/>
          <w:sz w:val="24"/>
          <w:szCs w:val="24"/>
        </w:rPr>
        <w:t xml:space="preserve">et al., </w:t>
      </w:r>
      <w:r w:rsidR="00D247B7">
        <w:rPr>
          <w:rFonts w:ascii="Arial" w:hAnsi="Arial"/>
          <w:sz w:val="24"/>
          <w:szCs w:val="24"/>
        </w:rPr>
        <w:t>2006)</w:t>
      </w:r>
      <w:r w:rsidR="0041336F">
        <w:rPr>
          <w:rFonts w:ascii="Arial" w:hAnsi="Arial"/>
          <w:sz w:val="24"/>
          <w:szCs w:val="24"/>
        </w:rPr>
        <w:t xml:space="preserve">. </w:t>
      </w:r>
      <w:r w:rsidR="00D92DDC">
        <w:rPr>
          <w:rFonts w:ascii="Arial" w:hAnsi="Arial"/>
          <w:sz w:val="24"/>
          <w:szCs w:val="24"/>
        </w:rPr>
        <w:t>E</w:t>
      </w:r>
      <w:r w:rsidR="003D692B" w:rsidRPr="0031297B">
        <w:rPr>
          <w:rFonts w:ascii="Arial" w:hAnsi="Arial"/>
          <w:sz w:val="24"/>
          <w:szCs w:val="24"/>
        </w:rPr>
        <w:t xml:space="preserve">studios previos sobre el comportamiento bacteriano en presencia de </w:t>
      </w:r>
      <w:r w:rsidR="00833106" w:rsidRPr="0031297B">
        <w:rPr>
          <w:rFonts w:ascii="Arial" w:hAnsi="Arial"/>
          <w:sz w:val="24"/>
          <w:szCs w:val="24"/>
        </w:rPr>
        <w:t>azufre inorgánico</w:t>
      </w:r>
      <w:r w:rsidR="003D692B" w:rsidRPr="0031297B">
        <w:rPr>
          <w:rFonts w:ascii="Arial" w:hAnsi="Arial"/>
          <w:sz w:val="24"/>
          <w:szCs w:val="24"/>
        </w:rPr>
        <w:t xml:space="preserve"> han sido en su mayoría llevados a cabo empleando </w:t>
      </w:r>
      <w:r w:rsidR="0040566C">
        <w:rPr>
          <w:rFonts w:ascii="Arial" w:hAnsi="Arial"/>
          <w:i/>
          <w:sz w:val="24"/>
          <w:szCs w:val="24"/>
        </w:rPr>
        <w:t>Acidithiobacillus</w:t>
      </w:r>
      <w:r w:rsidR="003D692B" w:rsidRPr="0031297B">
        <w:rPr>
          <w:rFonts w:ascii="Arial" w:hAnsi="Arial"/>
          <w:i/>
          <w:sz w:val="24"/>
          <w:szCs w:val="24"/>
        </w:rPr>
        <w:t xml:space="preserve"> </w:t>
      </w:r>
      <w:proofErr w:type="spellStart"/>
      <w:r w:rsidR="003D692B" w:rsidRPr="0031297B">
        <w:rPr>
          <w:rFonts w:ascii="Arial" w:hAnsi="Arial"/>
          <w:i/>
          <w:sz w:val="24"/>
          <w:szCs w:val="24"/>
        </w:rPr>
        <w:t>ferrooxidans</w:t>
      </w:r>
      <w:proofErr w:type="spellEnd"/>
      <w:r w:rsidR="00D247B7">
        <w:rPr>
          <w:rFonts w:ascii="Arial" w:hAnsi="Arial"/>
          <w:i/>
          <w:sz w:val="24"/>
          <w:szCs w:val="24"/>
        </w:rPr>
        <w:t xml:space="preserve"> </w:t>
      </w:r>
      <w:r w:rsidR="00D247B7">
        <w:rPr>
          <w:rFonts w:ascii="Arial" w:hAnsi="Arial"/>
          <w:sz w:val="24"/>
          <w:szCs w:val="24"/>
        </w:rPr>
        <w:t xml:space="preserve">(Johnson &amp; </w:t>
      </w:r>
      <w:proofErr w:type="spellStart"/>
      <w:r w:rsidR="00D247B7">
        <w:rPr>
          <w:rFonts w:ascii="Arial" w:hAnsi="Arial"/>
          <w:sz w:val="24"/>
          <w:szCs w:val="24"/>
        </w:rPr>
        <w:t>Hallberg</w:t>
      </w:r>
      <w:proofErr w:type="spellEnd"/>
      <w:r w:rsidR="00D247B7">
        <w:rPr>
          <w:rFonts w:ascii="Arial" w:hAnsi="Arial"/>
          <w:sz w:val="24"/>
          <w:szCs w:val="24"/>
        </w:rPr>
        <w:t>, 2003)</w:t>
      </w:r>
      <w:r w:rsidR="007A3EFD">
        <w:rPr>
          <w:rFonts w:ascii="Arial" w:hAnsi="Arial"/>
          <w:sz w:val="24"/>
          <w:szCs w:val="24"/>
        </w:rPr>
        <w:t xml:space="preserve">. </w:t>
      </w:r>
      <w:r w:rsidR="006E6C73" w:rsidRPr="0031297B">
        <w:rPr>
          <w:rFonts w:ascii="Arial" w:hAnsi="Arial"/>
          <w:sz w:val="24"/>
          <w:szCs w:val="24"/>
        </w:rPr>
        <w:t>Los resultados d</w:t>
      </w:r>
      <w:r w:rsidR="00F32CEF" w:rsidRPr="0031297B">
        <w:rPr>
          <w:rFonts w:ascii="Arial" w:hAnsi="Arial"/>
          <w:sz w:val="24"/>
          <w:szCs w:val="24"/>
        </w:rPr>
        <w:t xml:space="preserve">e estos estudios son </w:t>
      </w:r>
      <w:r w:rsidR="007A3EFD">
        <w:rPr>
          <w:rFonts w:ascii="Arial" w:hAnsi="Arial"/>
          <w:sz w:val="24"/>
          <w:szCs w:val="24"/>
        </w:rPr>
        <w:t>variables debido a</w:t>
      </w:r>
      <w:r w:rsidR="00F32CEF" w:rsidRPr="0031297B">
        <w:rPr>
          <w:rFonts w:ascii="Arial" w:hAnsi="Arial"/>
          <w:sz w:val="24"/>
          <w:szCs w:val="24"/>
        </w:rPr>
        <w:t xml:space="preserve"> las co</w:t>
      </w:r>
      <w:r w:rsidR="006D7521" w:rsidRPr="0031297B">
        <w:rPr>
          <w:rFonts w:ascii="Arial" w:hAnsi="Arial"/>
          <w:sz w:val="24"/>
          <w:szCs w:val="24"/>
        </w:rPr>
        <w:t>ndiciones del medio lixiviante. Por ejemplo,</w:t>
      </w:r>
      <w:r w:rsidR="00D247B7">
        <w:rPr>
          <w:rFonts w:ascii="Arial" w:hAnsi="Arial"/>
          <w:sz w:val="24"/>
          <w:szCs w:val="24"/>
        </w:rPr>
        <w:t xml:space="preserve"> (Caicedo &amp; </w:t>
      </w:r>
      <w:proofErr w:type="spellStart"/>
      <w:r w:rsidR="00D247B7">
        <w:rPr>
          <w:rFonts w:ascii="Arial" w:hAnsi="Arial"/>
          <w:sz w:val="24"/>
          <w:szCs w:val="24"/>
        </w:rPr>
        <w:t>Marquéz</w:t>
      </w:r>
      <w:proofErr w:type="spellEnd"/>
      <w:r w:rsidR="00D247B7">
        <w:rPr>
          <w:rFonts w:ascii="Arial" w:hAnsi="Arial"/>
          <w:sz w:val="24"/>
          <w:szCs w:val="24"/>
        </w:rPr>
        <w:t xml:space="preserve">, 2011) </w:t>
      </w:r>
      <w:r w:rsidR="0004795E">
        <w:rPr>
          <w:rFonts w:ascii="Arial" w:hAnsi="Arial"/>
          <w:sz w:val="24"/>
          <w:szCs w:val="24"/>
        </w:rPr>
        <w:t>obtuvieron</w:t>
      </w:r>
      <w:r w:rsidR="00741C8E">
        <w:rPr>
          <w:rFonts w:ascii="Arial" w:hAnsi="Arial"/>
          <w:sz w:val="24"/>
          <w:szCs w:val="24"/>
        </w:rPr>
        <w:t xml:space="preserve"> 50% de oxidación de azufre piritico, </w:t>
      </w:r>
      <w:r w:rsidR="00741C8E" w:rsidRPr="0031297B">
        <w:rPr>
          <w:rFonts w:ascii="Arial" w:hAnsi="Arial"/>
          <w:sz w:val="24"/>
          <w:szCs w:val="24"/>
        </w:rPr>
        <w:t>empleando concentraciones de hierr</w:t>
      </w:r>
      <w:r w:rsidR="0040566C">
        <w:rPr>
          <w:rFonts w:ascii="Arial" w:hAnsi="Arial"/>
          <w:sz w:val="24"/>
          <w:szCs w:val="24"/>
        </w:rPr>
        <w:t xml:space="preserve">o iniciales menores a 1200 mg/L </w:t>
      </w:r>
      <w:r w:rsidR="00741C8E">
        <w:rPr>
          <w:rFonts w:ascii="Arial" w:hAnsi="Arial"/>
          <w:sz w:val="24"/>
          <w:szCs w:val="24"/>
        </w:rPr>
        <w:t xml:space="preserve">y un cultivo celular mixto </w:t>
      </w:r>
      <w:r w:rsidR="00741C8E" w:rsidRPr="0031297B">
        <w:rPr>
          <w:rFonts w:ascii="Arial" w:hAnsi="Arial"/>
          <w:sz w:val="24"/>
          <w:szCs w:val="24"/>
        </w:rPr>
        <w:lastRenderedPageBreak/>
        <w:t>(</w:t>
      </w:r>
      <w:r w:rsidR="0040566C">
        <w:rPr>
          <w:rFonts w:ascii="Arial" w:hAnsi="Arial"/>
          <w:i/>
          <w:sz w:val="24"/>
          <w:szCs w:val="24"/>
        </w:rPr>
        <w:t>Acidithiobacillus</w:t>
      </w:r>
      <w:r w:rsidR="00741C8E" w:rsidRPr="0031297B">
        <w:rPr>
          <w:rFonts w:ascii="Arial" w:hAnsi="Arial"/>
          <w:i/>
          <w:sz w:val="24"/>
          <w:szCs w:val="24"/>
        </w:rPr>
        <w:t xml:space="preserve"> ferro</w:t>
      </w:r>
      <w:r w:rsidR="0040566C">
        <w:rPr>
          <w:rFonts w:ascii="Arial" w:hAnsi="Arial"/>
          <w:i/>
          <w:sz w:val="24"/>
          <w:szCs w:val="24"/>
        </w:rPr>
        <w:t>o</w:t>
      </w:r>
      <w:r w:rsidR="00741C8E" w:rsidRPr="0031297B">
        <w:rPr>
          <w:rFonts w:ascii="Arial" w:hAnsi="Arial"/>
          <w:i/>
          <w:sz w:val="24"/>
          <w:szCs w:val="24"/>
        </w:rPr>
        <w:t>xidans</w:t>
      </w:r>
      <w:r w:rsidR="00741C8E" w:rsidRPr="0031297B">
        <w:rPr>
          <w:rFonts w:ascii="Arial" w:hAnsi="Arial"/>
          <w:sz w:val="24"/>
          <w:szCs w:val="24"/>
        </w:rPr>
        <w:t xml:space="preserve"> y </w:t>
      </w:r>
      <w:r w:rsidR="0040566C">
        <w:rPr>
          <w:rFonts w:ascii="Arial" w:hAnsi="Arial"/>
          <w:i/>
          <w:sz w:val="24"/>
          <w:szCs w:val="24"/>
        </w:rPr>
        <w:t>Acidithiobacillus</w:t>
      </w:r>
      <w:r w:rsidR="00741C8E">
        <w:rPr>
          <w:rFonts w:ascii="Arial" w:hAnsi="Arial"/>
          <w:i/>
          <w:sz w:val="24"/>
          <w:szCs w:val="24"/>
        </w:rPr>
        <w:t xml:space="preserve"> thiooxidans)</w:t>
      </w:r>
      <w:r w:rsidR="00741C8E">
        <w:rPr>
          <w:rFonts w:ascii="Arial" w:hAnsi="Arial"/>
          <w:sz w:val="24"/>
          <w:szCs w:val="24"/>
        </w:rPr>
        <w:t>. Por otra parte,</w:t>
      </w:r>
      <w:r w:rsidR="00D247B7">
        <w:rPr>
          <w:rFonts w:ascii="Arial" w:hAnsi="Arial"/>
          <w:sz w:val="24"/>
          <w:szCs w:val="24"/>
        </w:rPr>
        <w:t xml:space="preserve"> (Cardona, 2008) </w:t>
      </w:r>
      <w:r w:rsidR="00176DDB">
        <w:rPr>
          <w:rFonts w:ascii="Arial" w:hAnsi="Arial"/>
          <w:sz w:val="24"/>
          <w:szCs w:val="24"/>
        </w:rPr>
        <w:t>alcanzó</w:t>
      </w:r>
      <w:r w:rsidR="00B77ADF" w:rsidRPr="0031297B">
        <w:rPr>
          <w:rFonts w:ascii="Arial" w:hAnsi="Arial"/>
          <w:sz w:val="24"/>
          <w:szCs w:val="24"/>
        </w:rPr>
        <w:t xml:space="preserve"> una oxidación de pirita del 85% empleando microorganismos compatibles con </w:t>
      </w:r>
      <w:r w:rsidR="0040566C">
        <w:rPr>
          <w:rFonts w:ascii="Arial" w:hAnsi="Arial"/>
          <w:i/>
          <w:sz w:val="24"/>
          <w:szCs w:val="24"/>
        </w:rPr>
        <w:t>Acidithiobacillus</w:t>
      </w:r>
      <w:r w:rsidR="00B77ADF" w:rsidRPr="0031297B">
        <w:rPr>
          <w:rFonts w:ascii="Arial" w:hAnsi="Arial"/>
          <w:i/>
          <w:sz w:val="24"/>
          <w:szCs w:val="24"/>
        </w:rPr>
        <w:t xml:space="preserve"> ferrooxidans</w:t>
      </w:r>
      <w:r w:rsidR="00B77ADF" w:rsidRPr="0031297B">
        <w:rPr>
          <w:rFonts w:ascii="Arial" w:hAnsi="Arial"/>
          <w:sz w:val="24"/>
          <w:szCs w:val="24"/>
        </w:rPr>
        <w:t xml:space="preserve"> y 95% </w:t>
      </w:r>
      <w:r w:rsidR="00E06307">
        <w:rPr>
          <w:rFonts w:ascii="Arial" w:hAnsi="Arial"/>
          <w:sz w:val="24"/>
          <w:szCs w:val="24"/>
        </w:rPr>
        <w:t>con</w:t>
      </w:r>
      <w:r w:rsidR="00B77ADF" w:rsidRPr="0031297B">
        <w:rPr>
          <w:rFonts w:ascii="Arial" w:hAnsi="Arial"/>
          <w:sz w:val="24"/>
          <w:szCs w:val="24"/>
        </w:rPr>
        <w:t xml:space="preserve"> un cultivo mixto (</w:t>
      </w:r>
      <w:r w:rsidR="0040566C">
        <w:rPr>
          <w:rFonts w:ascii="Arial" w:hAnsi="Arial"/>
          <w:i/>
          <w:sz w:val="24"/>
          <w:szCs w:val="24"/>
        </w:rPr>
        <w:t>Acidithiobacillus</w:t>
      </w:r>
      <w:r w:rsidR="00B77ADF" w:rsidRPr="0031297B">
        <w:rPr>
          <w:rFonts w:ascii="Arial" w:hAnsi="Arial"/>
          <w:i/>
          <w:sz w:val="24"/>
          <w:szCs w:val="24"/>
        </w:rPr>
        <w:t xml:space="preserve"> ferro</w:t>
      </w:r>
      <w:r w:rsidR="0040566C">
        <w:rPr>
          <w:rFonts w:ascii="Arial" w:hAnsi="Arial"/>
          <w:i/>
          <w:sz w:val="24"/>
          <w:szCs w:val="24"/>
        </w:rPr>
        <w:t>o</w:t>
      </w:r>
      <w:r w:rsidR="00B77ADF" w:rsidRPr="0031297B">
        <w:rPr>
          <w:rFonts w:ascii="Arial" w:hAnsi="Arial"/>
          <w:i/>
          <w:sz w:val="24"/>
          <w:szCs w:val="24"/>
        </w:rPr>
        <w:t>xidans</w:t>
      </w:r>
      <w:r w:rsidR="00B77ADF" w:rsidRPr="0031297B">
        <w:rPr>
          <w:rFonts w:ascii="Arial" w:hAnsi="Arial"/>
          <w:sz w:val="24"/>
          <w:szCs w:val="24"/>
        </w:rPr>
        <w:t xml:space="preserve"> y </w:t>
      </w:r>
      <w:r w:rsidR="0040566C">
        <w:rPr>
          <w:rFonts w:ascii="Arial" w:hAnsi="Arial"/>
          <w:i/>
          <w:sz w:val="24"/>
          <w:szCs w:val="24"/>
        </w:rPr>
        <w:t>Acidithiobacillus</w:t>
      </w:r>
      <w:r w:rsidR="00B77ADF" w:rsidRPr="0031297B">
        <w:rPr>
          <w:rFonts w:ascii="Arial" w:hAnsi="Arial"/>
          <w:i/>
          <w:sz w:val="24"/>
          <w:szCs w:val="24"/>
        </w:rPr>
        <w:t xml:space="preserve"> thiooxidans</w:t>
      </w:r>
      <w:r w:rsidR="00B77ADF" w:rsidRPr="0031297B">
        <w:rPr>
          <w:rFonts w:ascii="Arial" w:hAnsi="Arial"/>
          <w:sz w:val="24"/>
          <w:szCs w:val="24"/>
        </w:rPr>
        <w:t>), variando el tamaño de partícula del carbón</w:t>
      </w:r>
      <w:r w:rsidR="006D616E" w:rsidRPr="0031297B">
        <w:rPr>
          <w:rFonts w:ascii="Arial" w:hAnsi="Arial"/>
          <w:sz w:val="24"/>
          <w:szCs w:val="24"/>
        </w:rPr>
        <w:t xml:space="preserve"> y usando una concentració</w:t>
      </w:r>
      <w:r w:rsidR="008921BB">
        <w:rPr>
          <w:rFonts w:ascii="Arial" w:hAnsi="Arial"/>
          <w:sz w:val="24"/>
          <w:szCs w:val="24"/>
        </w:rPr>
        <w:t>n de hierro ferroso de 1000 mg/L</w:t>
      </w:r>
      <w:r w:rsidR="00B77ADF" w:rsidRPr="0031297B">
        <w:rPr>
          <w:rFonts w:ascii="Arial" w:hAnsi="Arial"/>
          <w:sz w:val="24"/>
          <w:szCs w:val="24"/>
        </w:rPr>
        <w:t xml:space="preserve">. </w:t>
      </w:r>
      <w:r w:rsidR="00741C8E">
        <w:rPr>
          <w:rFonts w:ascii="Arial" w:hAnsi="Arial"/>
          <w:sz w:val="24"/>
          <w:szCs w:val="24"/>
        </w:rPr>
        <w:t>Finalmente,</w:t>
      </w:r>
      <w:r w:rsidR="00D247B7">
        <w:rPr>
          <w:rFonts w:ascii="Arial" w:hAnsi="Arial"/>
          <w:sz w:val="24"/>
          <w:szCs w:val="24"/>
        </w:rPr>
        <w:t xml:space="preserve"> (Peláez </w:t>
      </w:r>
      <w:r w:rsidR="00D247B7" w:rsidRPr="008976EB">
        <w:rPr>
          <w:rFonts w:ascii="Arial" w:hAnsi="Arial"/>
          <w:i/>
          <w:sz w:val="24"/>
          <w:szCs w:val="24"/>
        </w:rPr>
        <w:t xml:space="preserve">et al., </w:t>
      </w:r>
      <w:r w:rsidR="00D247B7">
        <w:rPr>
          <w:rFonts w:ascii="Arial" w:hAnsi="Arial"/>
          <w:sz w:val="24"/>
          <w:szCs w:val="24"/>
        </w:rPr>
        <w:t xml:space="preserve">2013) </w:t>
      </w:r>
      <w:r w:rsidR="00CB7B22">
        <w:rPr>
          <w:rFonts w:ascii="Arial" w:hAnsi="Arial"/>
          <w:sz w:val="24"/>
          <w:szCs w:val="24"/>
        </w:rPr>
        <w:t>alcanzaron</w:t>
      </w:r>
      <w:r w:rsidR="00B77ADF" w:rsidRPr="0031297B">
        <w:rPr>
          <w:rFonts w:ascii="Arial" w:hAnsi="Arial"/>
          <w:sz w:val="24"/>
          <w:szCs w:val="24"/>
        </w:rPr>
        <w:t xml:space="preserve"> un 74% de oxidación de pirita empleando una relación inicial de iones Fe</w:t>
      </w:r>
      <w:r w:rsidR="00B77ADF" w:rsidRPr="0031297B">
        <w:rPr>
          <w:rFonts w:ascii="Arial" w:hAnsi="Arial"/>
          <w:sz w:val="24"/>
          <w:szCs w:val="24"/>
          <w:vertAlign w:val="superscript"/>
        </w:rPr>
        <w:t>3+</w:t>
      </w:r>
      <w:r w:rsidR="00B77ADF" w:rsidRPr="0031297B">
        <w:rPr>
          <w:rFonts w:ascii="Arial" w:hAnsi="Arial"/>
          <w:sz w:val="24"/>
          <w:szCs w:val="24"/>
        </w:rPr>
        <w:t>/Fe</w:t>
      </w:r>
      <w:r w:rsidR="00B77ADF" w:rsidRPr="0031297B">
        <w:rPr>
          <w:rFonts w:ascii="Arial" w:hAnsi="Arial"/>
          <w:sz w:val="24"/>
          <w:szCs w:val="24"/>
          <w:vertAlign w:val="superscript"/>
        </w:rPr>
        <w:t>2+</w:t>
      </w:r>
      <w:r w:rsidR="006D616E" w:rsidRPr="0031297B">
        <w:rPr>
          <w:rFonts w:ascii="Arial" w:hAnsi="Arial"/>
          <w:sz w:val="24"/>
          <w:szCs w:val="24"/>
        </w:rPr>
        <w:t xml:space="preserve"> y una concentrac</w:t>
      </w:r>
      <w:r w:rsidR="008921BB">
        <w:rPr>
          <w:rFonts w:ascii="Arial" w:hAnsi="Arial"/>
          <w:sz w:val="24"/>
          <w:szCs w:val="24"/>
        </w:rPr>
        <w:t>ión de hierro total de 1200 mg/L</w:t>
      </w:r>
      <w:r w:rsidR="00B77ADF" w:rsidRPr="0031297B">
        <w:rPr>
          <w:rFonts w:ascii="Arial" w:hAnsi="Arial"/>
          <w:sz w:val="24"/>
          <w:szCs w:val="24"/>
        </w:rPr>
        <w:t xml:space="preserve">, en un proceso de biodesulfurización de carbón empleando un cultivo axénico de </w:t>
      </w:r>
      <w:r w:rsidR="0040566C">
        <w:rPr>
          <w:rFonts w:ascii="Arial" w:hAnsi="Arial"/>
          <w:i/>
          <w:sz w:val="24"/>
          <w:szCs w:val="24"/>
        </w:rPr>
        <w:t>Acidithiobacillus</w:t>
      </w:r>
      <w:r w:rsidR="00741C8E">
        <w:rPr>
          <w:rFonts w:ascii="Arial" w:hAnsi="Arial"/>
          <w:i/>
          <w:sz w:val="24"/>
          <w:szCs w:val="24"/>
        </w:rPr>
        <w:t xml:space="preserve"> ferrooxidans</w:t>
      </w:r>
      <w:r w:rsidR="00741C8E">
        <w:rPr>
          <w:rFonts w:ascii="Arial" w:hAnsi="Arial"/>
          <w:sz w:val="24"/>
          <w:szCs w:val="24"/>
        </w:rPr>
        <w:t>.</w:t>
      </w:r>
    </w:p>
    <w:p w:rsidR="007A3EFD" w:rsidRDefault="007A3EFD" w:rsidP="006F2C2B">
      <w:pPr>
        <w:pStyle w:val="Sinespaciado"/>
        <w:jc w:val="both"/>
        <w:rPr>
          <w:rFonts w:ascii="Arial" w:hAnsi="Arial"/>
          <w:sz w:val="24"/>
          <w:szCs w:val="24"/>
        </w:rPr>
      </w:pPr>
    </w:p>
    <w:p w:rsidR="00076D0D" w:rsidRPr="007A3EFD" w:rsidRDefault="00640EDE" w:rsidP="006F2C2B">
      <w:pPr>
        <w:pStyle w:val="Sinespaciado"/>
        <w:jc w:val="both"/>
        <w:rPr>
          <w:rFonts w:ascii="Arial" w:hAnsi="Arial"/>
          <w:sz w:val="24"/>
          <w:szCs w:val="24"/>
        </w:rPr>
      </w:pPr>
      <w:r w:rsidRPr="0031297B">
        <w:rPr>
          <w:rFonts w:ascii="Arial" w:hAnsi="Arial"/>
          <w:sz w:val="24"/>
          <w:szCs w:val="24"/>
        </w:rPr>
        <w:t xml:space="preserve">Si bien una serie de bacterias han sido descritas como eficientes en los procesos de biooxidación de pirita del carbón, es poco lo que se sabe sobre su comportamiento en ambientes complejos, </w:t>
      </w:r>
      <w:r w:rsidR="00746A1B" w:rsidRPr="0031297B">
        <w:rPr>
          <w:rFonts w:ascii="Arial" w:hAnsi="Arial"/>
          <w:color w:val="000000" w:themeColor="text1"/>
          <w:sz w:val="24"/>
          <w:szCs w:val="24"/>
        </w:rPr>
        <w:t>en particular, la influencia de la actividad oxidativa de las bacterias en presencia de diferentes concentr</w:t>
      </w:r>
      <w:r w:rsidR="00176DDB">
        <w:rPr>
          <w:rFonts w:ascii="Arial" w:hAnsi="Arial"/>
          <w:color w:val="000000" w:themeColor="text1"/>
          <w:sz w:val="24"/>
          <w:szCs w:val="24"/>
        </w:rPr>
        <w:t xml:space="preserve">aciones de hierro ferroso total, </w:t>
      </w:r>
      <w:r w:rsidR="00746A1B" w:rsidRPr="0031297B">
        <w:rPr>
          <w:rFonts w:ascii="Arial" w:hAnsi="Arial"/>
          <w:color w:val="000000" w:themeColor="text1"/>
          <w:sz w:val="24"/>
          <w:szCs w:val="24"/>
        </w:rPr>
        <w:t>como única fuente soluble de energía</w:t>
      </w:r>
      <w:r w:rsidR="00176DDB">
        <w:rPr>
          <w:rFonts w:ascii="Arial" w:hAnsi="Arial"/>
          <w:color w:val="000000" w:themeColor="text1"/>
          <w:sz w:val="24"/>
          <w:szCs w:val="24"/>
        </w:rPr>
        <w:t xml:space="preserve"> </w:t>
      </w:r>
      <w:r w:rsidR="00746A1B" w:rsidRPr="0031297B">
        <w:rPr>
          <w:rFonts w:ascii="Arial" w:hAnsi="Arial"/>
          <w:color w:val="000000" w:themeColor="text1"/>
          <w:sz w:val="24"/>
          <w:szCs w:val="24"/>
        </w:rPr>
        <w:t xml:space="preserve">disponible. </w:t>
      </w:r>
      <w:r w:rsidR="00E649BF" w:rsidRPr="0031297B">
        <w:rPr>
          <w:rFonts w:ascii="Arial" w:hAnsi="Arial"/>
          <w:color w:val="000000" w:themeColor="text1"/>
          <w:sz w:val="24"/>
          <w:szCs w:val="24"/>
        </w:rPr>
        <w:t xml:space="preserve">El propósito de esta investigación es comparar la actividad oxidativa de un cultivo compatible con </w:t>
      </w:r>
      <w:r w:rsidR="0040566C">
        <w:rPr>
          <w:rFonts w:ascii="Arial" w:hAnsi="Arial"/>
          <w:i/>
          <w:color w:val="000000" w:themeColor="text1"/>
          <w:sz w:val="24"/>
          <w:szCs w:val="24"/>
        </w:rPr>
        <w:t>Acidithiobacillus</w:t>
      </w:r>
      <w:r w:rsidR="00E649BF" w:rsidRPr="0031297B">
        <w:rPr>
          <w:rFonts w:ascii="Arial" w:hAnsi="Arial"/>
          <w:i/>
          <w:color w:val="000000" w:themeColor="text1"/>
          <w:sz w:val="24"/>
          <w:szCs w:val="24"/>
        </w:rPr>
        <w:t xml:space="preserve"> ferrooxidans </w:t>
      </w:r>
      <w:r w:rsidR="00FA6425" w:rsidRPr="00FA6425">
        <w:rPr>
          <w:rFonts w:ascii="Arial" w:hAnsi="Arial"/>
          <w:i/>
          <w:color w:val="000000" w:themeColor="text1"/>
          <w:sz w:val="24"/>
          <w:szCs w:val="24"/>
        </w:rPr>
        <w:t>vs.</w:t>
      </w:r>
      <w:r w:rsidR="00FA6425">
        <w:rPr>
          <w:rFonts w:ascii="Arial" w:hAnsi="Arial"/>
          <w:color w:val="000000" w:themeColor="text1"/>
          <w:sz w:val="24"/>
          <w:szCs w:val="24"/>
        </w:rPr>
        <w:t xml:space="preserve"> </w:t>
      </w:r>
      <w:r w:rsidR="00E649BF" w:rsidRPr="0031297B">
        <w:rPr>
          <w:rFonts w:ascii="Arial" w:hAnsi="Arial"/>
          <w:color w:val="000000" w:themeColor="text1"/>
          <w:sz w:val="24"/>
          <w:szCs w:val="24"/>
        </w:rPr>
        <w:t xml:space="preserve">una cepa axénica de </w:t>
      </w:r>
      <w:r w:rsidR="0040566C">
        <w:rPr>
          <w:rFonts w:ascii="Arial" w:hAnsi="Arial"/>
          <w:i/>
          <w:color w:val="000000" w:themeColor="text1"/>
          <w:sz w:val="24"/>
          <w:szCs w:val="24"/>
        </w:rPr>
        <w:t>Acidithiobacillus</w:t>
      </w:r>
      <w:r w:rsidR="00E649BF" w:rsidRPr="0031297B">
        <w:rPr>
          <w:rFonts w:ascii="Arial" w:hAnsi="Arial"/>
          <w:i/>
          <w:color w:val="000000" w:themeColor="text1"/>
          <w:sz w:val="24"/>
          <w:szCs w:val="24"/>
        </w:rPr>
        <w:t xml:space="preserve"> ferrooxidans</w:t>
      </w:r>
      <w:r w:rsidR="00330D2B" w:rsidRPr="0031297B">
        <w:rPr>
          <w:rFonts w:ascii="Arial" w:hAnsi="Arial"/>
          <w:i/>
          <w:color w:val="000000" w:themeColor="text1"/>
          <w:sz w:val="24"/>
          <w:szCs w:val="24"/>
        </w:rPr>
        <w:t>,</w:t>
      </w:r>
      <w:r w:rsidR="00330D2B" w:rsidRPr="0031297B">
        <w:rPr>
          <w:rFonts w:ascii="Arial" w:hAnsi="Arial"/>
          <w:color w:val="000000" w:themeColor="text1"/>
          <w:sz w:val="24"/>
          <w:szCs w:val="24"/>
        </w:rPr>
        <w:t xml:space="preserve"> a nivel de laboratorio</w:t>
      </w:r>
      <w:r w:rsidR="003D348E">
        <w:rPr>
          <w:rFonts w:ascii="Arial" w:hAnsi="Arial"/>
          <w:color w:val="000000" w:themeColor="text1"/>
          <w:sz w:val="24"/>
          <w:szCs w:val="24"/>
        </w:rPr>
        <w:t>,</w:t>
      </w:r>
      <w:r w:rsidR="00176DDB">
        <w:rPr>
          <w:rFonts w:ascii="Arial" w:hAnsi="Arial"/>
          <w:i/>
          <w:color w:val="000000" w:themeColor="text1"/>
          <w:sz w:val="24"/>
          <w:szCs w:val="24"/>
        </w:rPr>
        <w:t xml:space="preserve"> </w:t>
      </w:r>
      <w:r w:rsidR="00076D0D" w:rsidRPr="0031297B">
        <w:rPr>
          <w:rFonts w:ascii="Arial" w:hAnsi="Arial"/>
          <w:color w:val="000000" w:themeColor="text1"/>
          <w:sz w:val="24"/>
          <w:szCs w:val="24"/>
        </w:rPr>
        <w:t>al variar la</w:t>
      </w:r>
      <w:r w:rsidR="00E649BF" w:rsidRPr="0031297B">
        <w:rPr>
          <w:rFonts w:ascii="Arial" w:hAnsi="Arial"/>
          <w:color w:val="000000" w:themeColor="text1"/>
          <w:sz w:val="24"/>
          <w:szCs w:val="24"/>
        </w:rPr>
        <w:t xml:space="preserve"> concentr</w:t>
      </w:r>
      <w:r w:rsidR="00076D0D" w:rsidRPr="0031297B">
        <w:rPr>
          <w:rFonts w:ascii="Arial" w:hAnsi="Arial"/>
          <w:color w:val="000000" w:themeColor="text1"/>
          <w:sz w:val="24"/>
          <w:szCs w:val="24"/>
        </w:rPr>
        <w:t>ación inicial de hierro ferroso en el sistema, y determinar</w:t>
      </w:r>
      <w:r w:rsidR="00330D2B" w:rsidRPr="0031297B">
        <w:rPr>
          <w:rFonts w:ascii="Arial" w:hAnsi="Arial"/>
          <w:color w:val="000000" w:themeColor="text1"/>
          <w:sz w:val="24"/>
          <w:szCs w:val="24"/>
        </w:rPr>
        <w:t xml:space="preserve"> si</w:t>
      </w:r>
      <w:r w:rsidR="00076D0D" w:rsidRPr="0031297B">
        <w:rPr>
          <w:rFonts w:ascii="Arial" w:hAnsi="Arial"/>
          <w:color w:val="000000" w:themeColor="text1"/>
          <w:sz w:val="24"/>
          <w:szCs w:val="24"/>
        </w:rPr>
        <w:t xml:space="preserve"> los iones Fe</w:t>
      </w:r>
      <w:r w:rsidR="00076D0D" w:rsidRPr="0031297B">
        <w:rPr>
          <w:rFonts w:ascii="Arial" w:hAnsi="Arial"/>
          <w:color w:val="000000" w:themeColor="text1"/>
          <w:sz w:val="24"/>
          <w:szCs w:val="24"/>
          <w:vertAlign w:val="superscript"/>
        </w:rPr>
        <w:t>2+</w:t>
      </w:r>
      <w:r w:rsidR="00076D0D" w:rsidRPr="0031297B">
        <w:rPr>
          <w:rFonts w:ascii="Arial" w:hAnsi="Arial"/>
          <w:color w:val="000000" w:themeColor="text1"/>
          <w:sz w:val="24"/>
          <w:szCs w:val="24"/>
        </w:rPr>
        <w:t xml:space="preserve"> adicionados aumentan la</w:t>
      </w:r>
      <w:r w:rsidR="00330D2B" w:rsidRPr="0031297B">
        <w:rPr>
          <w:rFonts w:ascii="Arial" w:hAnsi="Arial"/>
          <w:color w:val="000000" w:themeColor="text1"/>
          <w:sz w:val="24"/>
          <w:szCs w:val="24"/>
        </w:rPr>
        <w:t xml:space="preserve"> eficiencia del proceso de biodesulfurización </w:t>
      </w:r>
      <w:r w:rsidR="009C48C8" w:rsidRPr="0031297B">
        <w:rPr>
          <w:rFonts w:ascii="Arial" w:hAnsi="Arial"/>
          <w:color w:val="000000" w:themeColor="text1"/>
          <w:sz w:val="24"/>
          <w:szCs w:val="24"/>
        </w:rPr>
        <w:t xml:space="preserve">de un carbón proveniente del municipio </w:t>
      </w:r>
      <w:r w:rsidR="00176DDB">
        <w:rPr>
          <w:rFonts w:ascii="Arial" w:hAnsi="Arial"/>
          <w:color w:val="000000" w:themeColor="text1"/>
          <w:sz w:val="24"/>
          <w:szCs w:val="24"/>
        </w:rPr>
        <w:t>de Puerto Libertador – Córdoba, Colombia</w:t>
      </w:r>
      <w:r w:rsidR="00330D2B" w:rsidRPr="0031297B">
        <w:rPr>
          <w:rFonts w:ascii="Arial" w:hAnsi="Arial"/>
          <w:color w:val="000000" w:themeColor="text1"/>
          <w:sz w:val="24"/>
          <w:szCs w:val="24"/>
        </w:rPr>
        <w:t>, es decir, si se incrementa la remoción de azufre inor</w:t>
      </w:r>
      <w:r w:rsidR="0087317D">
        <w:rPr>
          <w:rFonts w:ascii="Arial" w:hAnsi="Arial"/>
          <w:color w:val="000000" w:themeColor="text1"/>
          <w:sz w:val="24"/>
          <w:szCs w:val="24"/>
        </w:rPr>
        <w:t>gánico presente en el carbón.</w:t>
      </w:r>
    </w:p>
    <w:p w:rsidR="00076D0D" w:rsidRPr="0031297B" w:rsidRDefault="00076D0D" w:rsidP="006F2C2B">
      <w:pPr>
        <w:spacing w:line="240" w:lineRule="auto"/>
        <w:jc w:val="both"/>
        <w:rPr>
          <w:rFonts w:ascii="Arial" w:hAnsi="Arial"/>
          <w:color w:val="000000" w:themeColor="text1"/>
          <w:sz w:val="24"/>
          <w:szCs w:val="24"/>
        </w:rPr>
      </w:pPr>
    </w:p>
    <w:p w:rsidR="00330D2B" w:rsidRPr="0031297B" w:rsidRDefault="00330D2B" w:rsidP="006F2C2B">
      <w:pPr>
        <w:spacing w:line="240" w:lineRule="auto"/>
        <w:jc w:val="both"/>
        <w:rPr>
          <w:rFonts w:ascii="Arial" w:hAnsi="Arial"/>
          <w:b/>
          <w:color w:val="000000" w:themeColor="text1"/>
          <w:sz w:val="24"/>
          <w:szCs w:val="24"/>
        </w:rPr>
      </w:pPr>
      <w:r w:rsidRPr="0031297B">
        <w:rPr>
          <w:rFonts w:ascii="Arial" w:hAnsi="Arial"/>
          <w:b/>
          <w:color w:val="000000" w:themeColor="text1"/>
          <w:sz w:val="24"/>
          <w:szCs w:val="24"/>
        </w:rPr>
        <w:t xml:space="preserve">Materiales y métodos </w:t>
      </w:r>
    </w:p>
    <w:p w:rsidR="004544B2" w:rsidRPr="0031297B" w:rsidRDefault="00860809" w:rsidP="006F2C2B">
      <w:pPr>
        <w:pStyle w:val="Sinespaciado"/>
        <w:rPr>
          <w:rFonts w:ascii="Arial" w:hAnsi="Arial"/>
          <w:b/>
          <w:sz w:val="24"/>
          <w:szCs w:val="24"/>
        </w:rPr>
      </w:pPr>
      <w:r w:rsidRPr="0031297B">
        <w:rPr>
          <w:rFonts w:ascii="Arial" w:hAnsi="Arial"/>
          <w:b/>
          <w:sz w:val="24"/>
          <w:szCs w:val="24"/>
        </w:rPr>
        <w:t>Tipo de mu</w:t>
      </w:r>
      <w:r w:rsidR="004544B2" w:rsidRPr="0031297B">
        <w:rPr>
          <w:rFonts w:ascii="Arial" w:hAnsi="Arial"/>
          <w:b/>
          <w:sz w:val="24"/>
          <w:szCs w:val="24"/>
        </w:rPr>
        <w:t xml:space="preserve">estra y preparación del carbón </w:t>
      </w:r>
    </w:p>
    <w:p w:rsidR="00860809" w:rsidRPr="0031297B" w:rsidRDefault="00860809" w:rsidP="006F2C2B">
      <w:pPr>
        <w:pStyle w:val="Sinespaciado"/>
        <w:jc w:val="both"/>
        <w:rPr>
          <w:rFonts w:ascii="Arial" w:hAnsi="Arial"/>
          <w:sz w:val="24"/>
          <w:szCs w:val="24"/>
        </w:rPr>
      </w:pPr>
      <w:r w:rsidRPr="0031297B">
        <w:rPr>
          <w:rFonts w:ascii="Arial" w:hAnsi="Arial"/>
          <w:sz w:val="24"/>
          <w:szCs w:val="24"/>
        </w:rPr>
        <w:t xml:space="preserve">La muestra de carbón </w:t>
      </w:r>
      <w:r w:rsidR="0080281D">
        <w:rPr>
          <w:rFonts w:ascii="Arial" w:hAnsi="Arial"/>
          <w:sz w:val="24"/>
          <w:szCs w:val="24"/>
        </w:rPr>
        <w:t xml:space="preserve">fue </w:t>
      </w:r>
      <w:r w:rsidR="00785D67">
        <w:rPr>
          <w:rFonts w:ascii="Arial" w:hAnsi="Arial"/>
          <w:sz w:val="24"/>
          <w:szCs w:val="24"/>
        </w:rPr>
        <w:t xml:space="preserve">tomada </w:t>
      </w:r>
      <w:r w:rsidR="003E7F2D">
        <w:rPr>
          <w:rFonts w:ascii="Arial" w:hAnsi="Arial"/>
          <w:sz w:val="24"/>
          <w:szCs w:val="24"/>
        </w:rPr>
        <w:t xml:space="preserve">de </w:t>
      </w:r>
      <w:r w:rsidR="00320EB7">
        <w:rPr>
          <w:rFonts w:ascii="Arial" w:hAnsi="Arial"/>
          <w:sz w:val="24"/>
          <w:szCs w:val="24"/>
        </w:rPr>
        <w:t>la mina “La Guacamaya”</w:t>
      </w:r>
      <w:r w:rsidR="0080281D">
        <w:rPr>
          <w:rFonts w:ascii="Arial" w:hAnsi="Arial"/>
          <w:sz w:val="24"/>
          <w:szCs w:val="24"/>
        </w:rPr>
        <w:t xml:space="preserve"> (</w:t>
      </w:r>
      <w:r w:rsidRPr="0031297B">
        <w:rPr>
          <w:rFonts w:ascii="Arial" w:hAnsi="Arial"/>
          <w:sz w:val="24"/>
          <w:szCs w:val="24"/>
        </w:rPr>
        <w:t>Puerto Libertador, Córdoba-Colombia</w:t>
      </w:r>
      <w:r w:rsidR="0080281D">
        <w:rPr>
          <w:rFonts w:ascii="Arial" w:hAnsi="Arial"/>
          <w:sz w:val="24"/>
          <w:szCs w:val="24"/>
        </w:rPr>
        <w:t>)</w:t>
      </w:r>
      <w:r w:rsidRPr="0031297B">
        <w:rPr>
          <w:rFonts w:ascii="Arial" w:hAnsi="Arial"/>
          <w:sz w:val="24"/>
          <w:szCs w:val="24"/>
        </w:rPr>
        <w:t xml:space="preserve">. </w:t>
      </w:r>
      <w:r w:rsidR="003E7F2D">
        <w:rPr>
          <w:rFonts w:ascii="Arial" w:hAnsi="Arial"/>
          <w:sz w:val="24"/>
          <w:szCs w:val="24"/>
        </w:rPr>
        <w:t>A esta se le</w:t>
      </w:r>
      <w:r w:rsidR="00320EB7">
        <w:rPr>
          <w:rFonts w:ascii="Arial" w:hAnsi="Arial"/>
          <w:sz w:val="24"/>
          <w:szCs w:val="24"/>
        </w:rPr>
        <w:t xml:space="preserve"> realizaron cuarteos sucesivos y </w:t>
      </w:r>
      <w:r w:rsidRPr="0031297B">
        <w:rPr>
          <w:rFonts w:ascii="Arial" w:hAnsi="Arial"/>
          <w:sz w:val="24"/>
          <w:szCs w:val="24"/>
        </w:rPr>
        <w:t>se</w:t>
      </w:r>
      <w:r w:rsidR="00320EB7">
        <w:rPr>
          <w:rFonts w:ascii="Arial" w:hAnsi="Arial"/>
          <w:sz w:val="24"/>
          <w:szCs w:val="24"/>
        </w:rPr>
        <w:t xml:space="preserve"> le</w:t>
      </w:r>
      <w:r w:rsidRPr="0031297B">
        <w:rPr>
          <w:rFonts w:ascii="Arial" w:hAnsi="Arial"/>
          <w:sz w:val="24"/>
          <w:szCs w:val="24"/>
        </w:rPr>
        <w:t xml:space="preserve"> redujo el tamaño de grano </w:t>
      </w:r>
      <w:r w:rsidR="00320EB7">
        <w:rPr>
          <w:rFonts w:ascii="Arial" w:hAnsi="Arial"/>
          <w:sz w:val="24"/>
          <w:szCs w:val="24"/>
        </w:rPr>
        <w:t xml:space="preserve">-60# Tyler (0.246 mm = 246 µm), empleando un molino de bolas. </w:t>
      </w:r>
      <w:r w:rsidRPr="0031297B">
        <w:rPr>
          <w:rFonts w:ascii="Arial" w:hAnsi="Arial"/>
          <w:sz w:val="24"/>
          <w:szCs w:val="24"/>
        </w:rPr>
        <w:t>Con el fin de evaluar las propiedades de la muestra tomada, se realizaron análisis de las formas de azufre presentes en el carbón, bajo la norma ASTM D 2492-02, siguiendo los pasos descritos para la medición de azufre total ASTM 4239-14. Así como análisis próximos a la muestra</w:t>
      </w:r>
      <w:r w:rsidR="00A8746C">
        <w:rPr>
          <w:rFonts w:ascii="Arial" w:hAnsi="Arial"/>
          <w:sz w:val="24"/>
          <w:szCs w:val="24"/>
        </w:rPr>
        <w:t xml:space="preserve"> según l</w:t>
      </w:r>
      <w:r w:rsidRPr="0031297B">
        <w:rPr>
          <w:rFonts w:ascii="Arial" w:hAnsi="Arial"/>
          <w:sz w:val="24"/>
          <w:szCs w:val="24"/>
        </w:rPr>
        <w:t>as normas</w:t>
      </w:r>
      <w:r w:rsidR="001644FD">
        <w:rPr>
          <w:rFonts w:ascii="Arial" w:hAnsi="Arial"/>
          <w:sz w:val="24"/>
          <w:szCs w:val="24"/>
        </w:rPr>
        <w:t xml:space="preserve">  </w:t>
      </w:r>
      <w:r w:rsidRPr="0031297B">
        <w:rPr>
          <w:rFonts w:ascii="Arial" w:hAnsi="Arial"/>
          <w:sz w:val="24"/>
          <w:szCs w:val="24"/>
        </w:rPr>
        <w:t>A</w:t>
      </w:r>
      <w:r w:rsidR="003908F6">
        <w:rPr>
          <w:rFonts w:ascii="Arial" w:hAnsi="Arial"/>
          <w:sz w:val="24"/>
          <w:szCs w:val="24"/>
        </w:rPr>
        <w:t>STM D 3173-</w:t>
      </w:r>
      <w:r w:rsidRPr="0031297B">
        <w:rPr>
          <w:rFonts w:ascii="Arial" w:hAnsi="Arial"/>
          <w:sz w:val="24"/>
          <w:szCs w:val="24"/>
        </w:rPr>
        <w:t>11 (Humedad residual), ASTM D 3174 (cenizas), ISO 562 (materia volátil), ASTM D 3172-13 (carbono fijo) y ASTM D 5865 (Capacidad calorífica bruta).</w:t>
      </w:r>
      <w:r w:rsidR="004A6D5A" w:rsidRPr="0031297B">
        <w:rPr>
          <w:rFonts w:ascii="Arial" w:hAnsi="Arial"/>
          <w:sz w:val="24"/>
          <w:szCs w:val="24"/>
        </w:rPr>
        <w:t xml:space="preserve"> </w:t>
      </w:r>
    </w:p>
    <w:p w:rsidR="00CD5BEA" w:rsidRPr="0031297B" w:rsidRDefault="00CD5BEA" w:rsidP="006F2C2B">
      <w:pPr>
        <w:pStyle w:val="Sinespaciado"/>
        <w:jc w:val="both"/>
        <w:rPr>
          <w:rFonts w:ascii="Arial" w:hAnsi="Arial"/>
          <w:sz w:val="24"/>
          <w:szCs w:val="24"/>
        </w:rPr>
      </w:pPr>
    </w:p>
    <w:p w:rsidR="00CD5BEA" w:rsidRPr="0031297B" w:rsidRDefault="00CD5BEA" w:rsidP="006F2C2B">
      <w:pPr>
        <w:pStyle w:val="Sinespaciado"/>
        <w:jc w:val="both"/>
        <w:rPr>
          <w:rFonts w:ascii="Arial" w:hAnsi="Arial"/>
          <w:b/>
          <w:sz w:val="24"/>
          <w:szCs w:val="24"/>
        </w:rPr>
      </w:pPr>
      <w:r w:rsidRPr="0031297B">
        <w:rPr>
          <w:rFonts w:ascii="Arial" w:hAnsi="Arial"/>
          <w:b/>
          <w:sz w:val="24"/>
          <w:szCs w:val="24"/>
        </w:rPr>
        <w:t xml:space="preserve">Microorganismos y medios </w:t>
      </w:r>
    </w:p>
    <w:p w:rsidR="009C48C8" w:rsidRPr="0031297B" w:rsidRDefault="004F155C" w:rsidP="006F2C2B">
      <w:pPr>
        <w:pStyle w:val="Sinespaciado"/>
        <w:jc w:val="both"/>
        <w:rPr>
          <w:rFonts w:ascii="Arial" w:hAnsi="Arial"/>
          <w:sz w:val="24"/>
          <w:szCs w:val="24"/>
        </w:rPr>
      </w:pPr>
      <w:r w:rsidRPr="0031297B">
        <w:rPr>
          <w:rFonts w:ascii="Arial" w:hAnsi="Arial"/>
          <w:sz w:val="24"/>
          <w:szCs w:val="24"/>
        </w:rPr>
        <w:t xml:space="preserve">Del cepario del laboratorio de biominería y biohidrometalurgía de la Universidad Nacional de Colombia, Sede Medellín, se tomó un aislado compatible con </w:t>
      </w:r>
      <w:r w:rsidR="0040566C">
        <w:rPr>
          <w:rFonts w:ascii="Arial" w:hAnsi="Arial"/>
          <w:i/>
          <w:sz w:val="24"/>
          <w:szCs w:val="24"/>
        </w:rPr>
        <w:t>Acidithiobacillus</w:t>
      </w:r>
      <w:r w:rsidRPr="0031297B">
        <w:rPr>
          <w:rFonts w:ascii="Arial" w:hAnsi="Arial"/>
          <w:i/>
          <w:sz w:val="24"/>
          <w:szCs w:val="24"/>
        </w:rPr>
        <w:t xml:space="preserve"> ferrooxidans</w:t>
      </w:r>
      <w:r w:rsidRPr="0031297B">
        <w:rPr>
          <w:rFonts w:ascii="Arial" w:hAnsi="Arial"/>
          <w:sz w:val="24"/>
          <w:szCs w:val="24"/>
        </w:rPr>
        <w:t xml:space="preserve"> proveniente del depósito de carbón de la mina “La Angostura</w:t>
      </w:r>
      <w:r w:rsidR="00CB7B22">
        <w:rPr>
          <w:rFonts w:ascii="Arial" w:hAnsi="Arial"/>
          <w:sz w:val="24"/>
          <w:szCs w:val="24"/>
        </w:rPr>
        <w:t>”</w:t>
      </w:r>
      <w:r w:rsidR="00B76A17">
        <w:rPr>
          <w:rFonts w:ascii="Arial" w:hAnsi="Arial"/>
          <w:sz w:val="24"/>
          <w:szCs w:val="24"/>
        </w:rPr>
        <w:t xml:space="preserve"> (Caicedo, 2008; Cardona, 2008)</w:t>
      </w:r>
      <w:r w:rsidR="00B76A17" w:rsidRPr="0031297B">
        <w:rPr>
          <w:rFonts w:ascii="Arial" w:hAnsi="Arial"/>
          <w:sz w:val="24"/>
          <w:szCs w:val="24"/>
        </w:rPr>
        <w:t xml:space="preserve">, </w:t>
      </w:r>
      <w:r w:rsidR="00230FD2" w:rsidRPr="0031297B">
        <w:rPr>
          <w:rFonts w:ascii="Arial" w:hAnsi="Arial"/>
          <w:sz w:val="24"/>
          <w:szCs w:val="24"/>
        </w:rPr>
        <w:t>para corroborar la compatibilidad de la cepa escogida, se realizó una identificación bioquímica, descrita en el manual de</w:t>
      </w:r>
      <w:r w:rsidR="00230FD2" w:rsidRPr="0031297B">
        <w:rPr>
          <w:rFonts w:ascii="Arial" w:hAnsi="Arial"/>
          <w:i/>
          <w:sz w:val="24"/>
          <w:szCs w:val="24"/>
        </w:rPr>
        <w:t xml:space="preserve"> </w:t>
      </w:r>
      <w:r w:rsidR="00230FD2" w:rsidRPr="0031297B">
        <w:rPr>
          <w:rFonts w:ascii="Arial" w:hAnsi="Arial"/>
          <w:sz w:val="24"/>
          <w:szCs w:val="24"/>
        </w:rPr>
        <w:t>Bergey</w:t>
      </w:r>
      <w:r w:rsidR="00230FD2" w:rsidRPr="0031297B">
        <w:rPr>
          <w:rFonts w:ascii="Arial" w:hAnsi="Arial"/>
          <w:i/>
          <w:sz w:val="24"/>
          <w:szCs w:val="24"/>
        </w:rPr>
        <w:t xml:space="preserve"> </w:t>
      </w:r>
      <w:r w:rsidR="00230FD2" w:rsidRPr="0031297B">
        <w:rPr>
          <w:rFonts w:ascii="Arial" w:hAnsi="Arial"/>
          <w:sz w:val="24"/>
          <w:szCs w:val="24"/>
        </w:rPr>
        <w:t xml:space="preserve">Staley </w:t>
      </w:r>
      <w:r w:rsidR="00230FD2" w:rsidRPr="0031297B">
        <w:rPr>
          <w:rFonts w:ascii="Arial" w:hAnsi="Arial"/>
          <w:i/>
          <w:sz w:val="24"/>
          <w:szCs w:val="24"/>
        </w:rPr>
        <w:t>et al.</w:t>
      </w:r>
      <w:r w:rsidR="00230FD2" w:rsidRPr="0031297B">
        <w:rPr>
          <w:rFonts w:ascii="Arial" w:hAnsi="Arial"/>
          <w:sz w:val="24"/>
          <w:szCs w:val="24"/>
        </w:rPr>
        <w:t>(1994)</w:t>
      </w:r>
      <w:r w:rsidRPr="0031297B">
        <w:rPr>
          <w:rFonts w:ascii="Arial" w:hAnsi="Arial"/>
          <w:sz w:val="24"/>
          <w:szCs w:val="24"/>
        </w:rPr>
        <w:t xml:space="preserve">; y un cepa axénica de </w:t>
      </w:r>
      <w:proofErr w:type="spellStart"/>
      <w:r w:rsidR="0040566C">
        <w:rPr>
          <w:rFonts w:ascii="Arial" w:hAnsi="Arial"/>
          <w:i/>
          <w:sz w:val="24"/>
          <w:szCs w:val="24"/>
        </w:rPr>
        <w:t>Acidithiobacillus</w:t>
      </w:r>
      <w:proofErr w:type="spellEnd"/>
      <w:r w:rsidRPr="0031297B">
        <w:rPr>
          <w:rFonts w:ascii="Arial" w:hAnsi="Arial"/>
          <w:i/>
          <w:sz w:val="24"/>
          <w:szCs w:val="24"/>
        </w:rPr>
        <w:t xml:space="preserve"> </w:t>
      </w:r>
      <w:proofErr w:type="spellStart"/>
      <w:r w:rsidRPr="0031297B">
        <w:rPr>
          <w:rFonts w:ascii="Arial" w:hAnsi="Arial"/>
          <w:i/>
          <w:sz w:val="24"/>
          <w:szCs w:val="24"/>
        </w:rPr>
        <w:t>ferrooxidans</w:t>
      </w:r>
      <w:proofErr w:type="spellEnd"/>
      <w:r w:rsidRPr="0031297B">
        <w:rPr>
          <w:rFonts w:ascii="Arial" w:hAnsi="Arial"/>
          <w:sz w:val="24"/>
          <w:szCs w:val="24"/>
        </w:rPr>
        <w:t xml:space="preserve"> (</w:t>
      </w:r>
      <w:r w:rsidRPr="0031297B">
        <w:rPr>
          <w:rFonts w:ascii="Arial" w:hAnsi="Arial"/>
          <w:i/>
          <w:sz w:val="24"/>
          <w:szCs w:val="24"/>
        </w:rPr>
        <w:t>A</w:t>
      </w:r>
      <w:r w:rsidR="00230FD2" w:rsidRPr="0031297B">
        <w:rPr>
          <w:rFonts w:ascii="Arial" w:hAnsi="Arial"/>
          <w:i/>
          <w:sz w:val="24"/>
          <w:szCs w:val="24"/>
        </w:rPr>
        <w:t xml:space="preserve">merican </w:t>
      </w:r>
      <w:proofErr w:type="spellStart"/>
      <w:r w:rsidRPr="0031297B">
        <w:rPr>
          <w:rFonts w:ascii="Arial" w:hAnsi="Arial"/>
          <w:i/>
          <w:sz w:val="24"/>
          <w:szCs w:val="24"/>
        </w:rPr>
        <w:t>T</w:t>
      </w:r>
      <w:r w:rsidR="00230FD2" w:rsidRPr="0031297B">
        <w:rPr>
          <w:rFonts w:ascii="Arial" w:hAnsi="Arial"/>
          <w:i/>
          <w:sz w:val="24"/>
          <w:szCs w:val="24"/>
        </w:rPr>
        <w:t>ype</w:t>
      </w:r>
      <w:proofErr w:type="spellEnd"/>
      <w:r w:rsidR="00230FD2" w:rsidRPr="0031297B">
        <w:rPr>
          <w:rFonts w:ascii="Arial" w:hAnsi="Arial"/>
          <w:i/>
          <w:sz w:val="24"/>
          <w:szCs w:val="24"/>
        </w:rPr>
        <w:t xml:space="preserve"> </w:t>
      </w:r>
      <w:proofErr w:type="spellStart"/>
      <w:r w:rsidRPr="0031297B">
        <w:rPr>
          <w:rFonts w:ascii="Arial" w:hAnsi="Arial"/>
          <w:i/>
          <w:sz w:val="24"/>
          <w:szCs w:val="24"/>
        </w:rPr>
        <w:t>C</w:t>
      </w:r>
      <w:r w:rsidR="00230FD2" w:rsidRPr="0031297B">
        <w:rPr>
          <w:rFonts w:ascii="Arial" w:hAnsi="Arial"/>
          <w:i/>
          <w:sz w:val="24"/>
          <w:szCs w:val="24"/>
        </w:rPr>
        <w:t>ulture</w:t>
      </w:r>
      <w:proofErr w:type="spellEnd"/>
      <w:r w:rsidR="00230FD2" w:rsidRPr="0031297B">
        <w:rPr>
          <w:rFonts w:ascii="Arial" w:hAnsi="Arial"/>
          <w:i/>
          <w:sz w:val="24"/>
          <w:szCs w:val="24"/>
        </w:rPr>
        <w:t xml:space="preserve"> </w:t>
      </w:r>
      <w:proofErr w:type="spellStart"/>
      <w:r w:rsidRPr="0031297B">
        <w:rPr>
          <w:rFonts w:ascii="Arial" w:hAnsi="Arial"/>
          <w:i/>
          <w:sz w:val="24"/>
          <w:szCs w:val="24"/>
        </w:rPr>
        <w:t>C</w:t>
      </w:r>
      <w:r w:rsidR="00230FD2" w:rsidRPr="0031297B">
        <w:rPr>
          <w:rFonts w:ascii="Arial" w:hAnsi="Arial"/>
          <w:i/>
          <w:sz w:val="24"/>
          <w:szCs w:val="24"/>
        </w:rPr>
        <w:t>ollection</w:t>
      </w:r>
      <w:proofErr w:type="spellEnd"/>
      <w:r w:rsidRPr="0031297B">
        <w:rPr>
          <w:rFonts w:ascii="Arial" w:hAnsi="Arial"/>
          <w:sz w:val="24"/>
          <w:szCs w:val="24"/>
        </w:rPr>
        <w:t xml:space="preserve"> 23270), co</w:t>
      </w:r>
      <w:r w:rsidR="00A35DEA" w:rsidRPr="0031297B">
        <w:rPr>
          <w:rFonts w:ascii="Arial" w:hAnsi="Arial"/>
          <w:sz w:val="24"/>
          <w:szCs w:val="24"/>
        </w:rPr>
        <w:t xml:space="preserve">nservados a 4 ºC ± 1 ºC, las cuales </w:t>
      </w:r>
      <w:r w:rsidR="00A35DEA" w:rsidRPr="0031297B">
        <w:rPr>
          <w:rFonts w:ascii="Arial" w:hAnsi="Arial"/>
          <w:sz w:val="24"/>
          <w:szCs w:val="24"/>
        </w:rPr>
        <w:lastRenderedPageBreak/>
        <w:t>tuvieron una adaptación previa al proceso de biodesulfurización de carbón, bajo un protocol</w:t>
      </w:r>
      <w:r w:rsidR="00CB7B22">
        <w:rPr>
          <w:rFonts w:ascii="Arial" w:hAnsi="Arial"/>
          <w:sz w:val="24"/>
          <w:szCs w:val="24"/>
        </w:rPr>
        <w:t>o preestablecido</w:t>
      </w:r>
      <w:r w:rsidR="00B76A17">
        <w:rPr>
          <w:rFonts w:ascii="Arial" w:hAnsi="Arial"/>
          <w:sz w:val="24"/>
          <w:szCs w:val="24"/>
        </w:rPr>
        <w:t xml:space="preserve"> (Caicedo, 2008)</w:t>
      </w:r>
      <w:r w:rsidR="00B76A17" w:rsidRPr="0031297B">
        <w:rPr>
          <w:rFonts w:ascii="Arial" w:hAnsi="Arial"/>
          <w:sz w:val="24"/>
          <w:szCs w:val="24"/>
        </w:rPr>
        <w:t>.</w:t>
      </w:r>
    </w:p>
    <w:p w:rsidR="005D7C9A" w:rsidRDefault="005D7C9A" w:rsidP="006F2C2B">
      <w:pPr>
        <w:pStyle w:val="Sinespaciado"/>
        <w:jc w:val="both"/>
        <w:rPr>
          <w:rFonts w:ascii="Arial" w:hAnsi="Arial"/>
          <w:sz w:val="24"/>
          <w:szCs w:val="24"/>
        </w:rPr>
      </w:pPr>
    </w:p>
    <w:p w:rsidR="00230FD2" w:rsidRPr="0031297B" w:rsidRDefault="00E35460" w:rsidP="006F2C2B">
      <w:pPr>
        <w:pStyle w:val="Sinespaciado"/>
        <w:jc w:val="both"/>
        <w:rPr>
          <w:rFonts w:ascii="Arial" w:hAnsi="Arial"/>
          <w:b/>
          <w:sz w:val="24"/>
          <w:szCs w:val="24"/>
        </w:rPr>
      </w:pPr>
      <w:r w:rsidRPr="0031297B">
        <w:rPr>
          <w:rFonts w:ascii="Arial" w:hAnsi="Arial"/>
          <w:b/>
          <w:sz w:val="24"/>
          <w:szCs w:val="24"/>
        </w:rPr>
        <w:t>Biodepiritización del carbón</w:t>
      </w:r>
    </w:p>
    <w:p w:rsidR="00EC0313" w:rsidRPr="0031297B" w:rsidRDefault="00031356" w:rsidP="006F2C2B">
      <w:pPr>
        <w:pStyle w:val="Sinespaciado"/>
        <w:jc w:val="both"/>
        <w:rPr>
          <w:rFonts w:ascii="Arial" w:hAnsi="Arial"/>
          <w:sz w:val="24"/>
          <w:szCs w:val="24"/>
          <w:lang w:val="es-ES"/>
        </w:rPr>
      </w:pPr>
      <w:r w:rsidRPr="0031297B">
        <w:rPr>
          <w:rFonts w:ascii="Arial" w:hAnsi="Arial"/>
          <w:sz w:val="24"/>
          <w:szCs w:val="24"/>
          <w:shd w:val="clear" w:color="auto" w:fill="FFFFFF"/>
        </w:rPr>
        <w:t xml:space="preserve">La preparación de los ensayos </w:t>
      </w:r>
      <w:r w:rsidR="00154C00">
        <w:rPr>
          <w:rFonts w:ascii="Arial" w:hAnsi="Arial"/>
          <w:sz w:val="24"/>
          <w:szCs w:val="24"/>
          <w:shd w:val="clear" w:color="auto" w:fill="FFFFFF"/>
        </w:rPr>
        <w:t>se hizo en erlenmeyers de 500 mL</w:t>
      </w:r>
      <w:r w:rsidRPr="0031297B">
        <w:rPr>
          <w:rFonts w:ascii="Arial" w:hAnsi="Arial"/>
          <w:sz w:val="24"/>
          <w:szCs w:val="24"/>
          <w:shd w:val="clear" w:color="auto" w:fill="FFFFFF"/>
        </w:rPr>
        <w:t xml:space="preserve">, </w:t>
      </w:r>
      <w:r w:rsidR="00154C00">
        <w:rPr>
          <w:rFonts w:ascii="Arial" w:hAnsi="Arial"/>
          <w:sz w:val="24"/>
          <w:szCs w:val="24"/>
          <w:lang w:val="es-ES"/>
        </w:rPr>
        <w:t>a un volumen de 200 mL</w:t>
      </w:r>
      <w:r w:rsidRPr="0031297B">
        <w:rPr>
          <w:rFonts w:ascii="Arial" w:hAnsi="Arial"/>
          <w:sz w:val="24"/>
          <w:szCs w:val="24"/>
          <w:lang w:val="es-ES"/>
        </w:rPr>
        <w:t xml:space="preserve">, </w:t>
      </w:r>
      <w:r w:rsidR="00005466">
        <w:rPr>
          <w:rFonts w:ascii="Arial" w:hAnsi="Arial"/>
          <w:sz w:val="24"/>
          <w:szCs w:val="24"/>
          <w:shd w:val="clear" w:color="auto" w:fill="FFFFFF"/>
        </w:rPr>
        <w:t xml:space="preserve">empleando </w:t>
      </w:r>
      <w:r w:rsidR="00A54E9E">
        <w:rPr>
          <w:rFonts w:ascii="Arial" w:hAnsi="Arial"/>
          <w:sz w:val="24"/>
          <w:szCs w:val="24"/>
          <w:shd w:val="clear" w:color="auto" w:fill="FFFFFF"/>
        </w:rPr>
        <w:t xml:space="preserve">el </w:t>
      </w:r>
      <w:r w:rsidRPr="0031297B">
        <w:rPr>
          <w:rFonts w:ascii="Arial" w:hAnsi="Arial"/>
          <w:sz w:val="24"/>
          <w:szCs w:val="24"/>
          <w:shd w:val="clear" w:color="auto" w:fill="FFFFFF"/>
        </w:rPr>
        <w:t>medio</w:t>
      </w:r>
      <w:r w:rsidR="0065046C">
        <w:rPr>
          <w:rFonts w:ascii="Arial" w:hAnsi="Arial"/>
          <w:sz w:val="24"/>
          <w:szCs w:val="24"/>
          <w:shd w:val="clear" w:color="auto" w:fill="FFFFFF"/>
        </w:rPr>
        <w:t xml:space="preserve"> </w:t>
      </w:r>
      <w:r w:rsidR="00005466">
        <w:rPr>
          <w:rFonts w:ascii="Arial" w:hAnsi="Arial"/>
          <w:sz w:val="24"/>
          <w:szCs w:val="24"/>
          <w:shd w:val="clear" w:color="auto" w:fill="FFFFFF"/>
        </w:rPr>
        <w:t xml:space="preserve">de cultivo </w:t>
      </w:r>
      <w:r w:rsidR="00154C00">
        <w:rPr>
          <w:rFonts w:ascii="Arial" w:hAnsi="Arial"/>
          <w:sz w:val="24"/>
          <w:szCs w:val="24"/>
          <w:shd w:val="clear" w:color="auto" w:fill="FFFFFF"/>
        </w:rPr>
        <w:t>T&amp;K modificado (0.5 g/L</w:t>
      </w:r>
      <w:r w:rsidRPr="0031297B">
        <w:rPr>
          <w:rFonts w:ascii="Arial" w:hAnsi="Arial"/>
          <w:sz w:val="24"/>
          <w:szCs w:val="24"/>
          <w:shd w:val="clear" w:color="auto" w:fill="FFFFFF"/>
          <w:vertAlign w:val="superscript"/>
        </w:rPr>
        <w:t xml:space="preserve"> </w:t>
      </w:r>
      <w:r w:rsidRPr="0031297B">
        <w:rPr>
          <w:rFonts w:ascii="Arial" w:hAnsi="Arial"/>
          <w:sz w:val="24"/>
          <w:szCs w:val="24"/>
          <w:shd w:val="clear" w:color="auto" w:fill="FFFFFF"/>
        </w:rPr>
        <w:t xml:space="preserve">de </w:t>
      </w:r>
      <w:r w:rsidRPr="0031297B">
        <w:rPr>
          <w:rFonts w:ascii="Arial" w:hAnsi="Arial"/>
          <w:sz w:val="24"/>
          <w:szCs w:val="24"/>
        </w:rPr>
        <w:t>(NH</w:t>
      </w:r>
      <w:r w:rsidRPr="0031297B">
        <w:rPr>
          <w:rFonts w:ascii="Arial" w:hAnsi="Arial"/>
          <w:sz w:val="24"/>
          <w:szCs w:val="24"/>
          <w:vertAlign w:val="subscript"/>
        </w:rPr>
        <w:t>4</w:t>
      </w:r>
      <w:r w:rsidRPr="0031297B">
        <w:rPr>
          <w:rFonts w:ascii="Arial" w:hAnsi="Arial"/>
          <w:sz w:val="24"/>
          <w:szCs w:val="24"/>
        </w:rPr>
        <w:t>)</w:t>
      </w:r>
      <w:r w:rsidRPr="0031297B">
        <w:rPr>
          <w:rFonts w:ascii="Arial" w:hAnsi="Arial"/>
          <w:sz w:val="24"/>
          <w:szCs w:val="24"/>
          <w:vertAlign w:val="subscript"/>
        </w:rPr>
        <w:t>3</w:t>
      </w:r>
      <w:r w:rsidRPr="0031297B">
        <w:rPr>
          <w:rFonts w:ascii="Arial" w:hAnsi="Arial"/>
          <w:sz w:val="24"/>
          <w:szCs w:val="24"/>
        </w:rPr>
        <w:t>SO</w:t>
      </w:r>
      <w:r w:rsidRPr="0031297B">
        <w:rPr>
          <w:rFonts w:ascii="Arial" w:hAnsi="Arial"/>
          <w:sz w:val="24"/>
          <w:szCs w:val="24"/>
          <w:vertAlign w:val="subscript"/>
        </w:rPr>
        <w:t>4</w:t>
      </w:r>
      <w:r w:rsidR="00154C00">
        <w:rPr>
          <w:rFonts w:ascii="Arial" w:hAnsi="Arial"/>
          <w:sz w:val="24"/>
          <w:szCs w:val="24"/>
          <w:shd w:val="clear" w:color="auto" w:fill="FFFFFF"/>
        </w:rPr>
        <w:t>, 0.5 g/L</w:t>
      </w:r>
      <w:r w:rsidR="001644FD">
        <w:rPr>
          <w:rFonts w:ascii="Arial" w:hAnsi="Arial"/>
          <w:sz w:val="24"/>
          <w:szCs w:val="24"/>
          <w:shd w:val="clear" w:color="auto" w:fill="FFFFFF"/>
        </w:rPr>
        <w:t xml:space="preserve"> </w:t>
      </w:r>
      <w:r w:rsidRPr="0031297B">
        <w:rPr>
          <w:rFonts w:ascii="Arial" w:hAnsi="Arial"/>
          <w:sz w:val="24"/>
          <w:szCs w:val="24"/>
          <w:shd w:val="clear" w:color="auto" w:fill="FFFFFF"/>
        </w:rPr>
        <w:t>de KH</w:t>
      </w:r>
      <w:r w:rsidRPr="0031297B">
        <w:rPr>
          <w:rFonts w:ascii="Arial" w:hAnsi="Arial"/>
          <w:sz w:val="24"/>
          <w:szCs w:val="24"/>
          <w:shd w:val="clear" w:color="auto" w:fill="FFFFFF"/>
          <w:vertAlign w:val="subscript"/>
        </w:rPr>
        <w:t>2</w:t>
      </w:r>
      <w:r w:rsidRPr="0031297B">
        <w:rPr>
          <w:rFonts w:ascii="Arial" w:hAnsi="Arial"/>
          <w:sz w:val="24"/>
          <w:szCs w:val="24"/>
          <w:shd w:val="clear" w:color="auto" w:fill="FFFFFF"/>
        </w:rPr>
        <w:t>PO</w:t>
      </w:r>
      <w:r w:rsidRPr="0031297B">
        <w:rPr>
          <w:rFonts w:ascii="Arial" w:hAnsi="Arial"/>
          <w:sz w:val="24"/>
          <w:szCs w:val="24"/>
          <w:shd w:val="clear" w:color="auto" w:fill="FFFFFF"/>
          <w:vertAlign w:val="subscript"/>
        </w:rPr>
        <w:t>4</w:t>
      </w:r>
      <w:r w:rsidR="00154C00">
        <w:rPr>
          <w:rFonts w:ascii="Arial" w:hAnsi="Arial"/>
          <w:sz w:val="24"/>
          <w:szCs w:val="24"/>
          <w:shd w:val="clear" w:color="auto" w:fill="FFFFFF"/>
        </w:rPr>
        <w:t xml:space="preserve">, 0.5 g/L </w:t>
      </w:r>
      <w:r w:rsidRPr="0031297B">
        <w:rPr>
          <w:rFonts w:ascii="Arial" w:hAnsi="Arial"/>
          <w:sz w:val="24"/>
          <w:szCs w:val="24"/>
          <w:shd w:val="clear" w:color="auto" w:fill="FFFFFF"/>
        </w:rPr>
        <w:t xml:space="preserve">de </w:t>
      </w:r>
      <w:r w:rsidRPr="0031297B">
        <w:rPr>
          <w:rFonts w:ascii="Arial" w:hAnsi="Arial"/>
          <w:sz w:val="24"/>
          <w:szCs w:val="24"/>
        </w:rPr>
        <w:t>MgSO</w:t>
      </w:r>
      <w:r w:rsidRPr="0031297B">
        <w:rPr>
          <w:rFonts w:ascii="Arial" w:hAnsi="Arial"/>
          <w:sz w:val="24"/>
          <w:szCs w:val="24"/>
          <w:vertAlign w:val="subscript"/>
        </w:rPr>
        <w:t>4</w:t>
      </w:r>
      <w:r w:rsidRPr="0031297B">
        <w:rPr>
          <w:rFonts w:ascii="Arial" w:hAnsi="Arial"/>
          <w:sz w:val="24"/>
          <w:szCs w:val="24"/>
          <w:shd w:val="clear" w:color="auto" w:fill="FFFFFF"/>
        </w:rPr>
        <w:t xml:space="preserve"> y FeSO</w:t>
      </w:r>
      <w:r w:rsidRPr="0031297B">
        <w:rPr>
          <w:rFonts w:ascii="Arial" w:hAnsi="Arial"/>
          <w:sz w:val="24"/>
          <w:szCs w:val="24"/>
          <w:shd w:val="clear" w:color="auto" w:fill="FFFFFF"/>
          <w:vertAlign w:val="subscript"/>
        </w:rPr>
        <w:t>4·</w:t>
      </w:r>
      <w:r w:rsidRPr="0031297B">
        <w:rPr>
          <w:rFonts w:ascii="Arial" w:hAnsi="Arial"/>
          <w:sz w:val="24"/>
          <w:szCs w:val="24"/>
          <w:shd w:val="clear" w:color="auto" w:fill="FFFFFF"/>
        </w:rPr>
        <w:t>7H</w:t>
      </w:r>
      <w:r w:rsidRPr="0031297B">
        <w:rPr>
          <w:rFonts w:ascii="Arial" w:hAnsi="Arial"/>
          <w:sz w:val="24"/>
          <w:szCs w:val="24"/>
          <w:shd w:val="clear" w:color="auto" w:fill="FFFFFF"/>
          <w:vertAlign w:val="subscript"/>
        </w:rPr>
        <w:t>2</w:t>
      </w:r>
      <w:r w:rsidR="00154C00">
        <w:rPr>
          <w:rFonts w:ascii="Arial" w:hAnsi="Arial"/>
          <w:sz w:val="24"/>
          <w:szCs w:val="24"/>
          <w:shd w:val="clear" w:color="auto" w:fill="FFFFFF"/>
        </w:rPr>
        <w:t>O al 33.33 % p/v), 10 % p</w:t>
      </w:r>
      <w:r w:rsidRPr="0031297B">
        <w:rPr>
          <w:rFonts w:ascii="Arial" w:hAnsi="Arial"/>
          <w:sz w:val="24"/>
          <w:szCs w:val="24"/>
          <w:shd w:val="clear" w:color="auto" w:fill="FFFFFF"/>
        </w:rPr>
        <w:t xml:space="preserve">/v de carbón y 10% v/v de inoculo </w:t>
      </w:r>
      <w:r w:rsidRPr="0031297B">
        <w:rPr>
          <w:rFonts w:ascii="Arial" w:hAnsi="Arial"/>
          <w:sz w:val="24"/>
          <w:szCs w:val="24"/>
          <w:lang w:val="es-ES"/>
        </w:rPr>
        <w:t>(</w:t>
      </w:r>
      <w:r w:rsidRPr="0031297B">
        <w:rPr>
          <w:rFonts w:ascii="Arial" w:hAnsi="Arial"/>
          <w:sz w:val="24"/>
          <w:szCs w:val="24"/>
          <w:shd w:val="clear" w:color="auto" w:fill="FFFFFF"/>
        </w:rPr>
        <w:t>10</w:t>
      </w:r>
      <w:r w:rsidRPr="0031297B">
        <w:rPr>
          <w:rFonts w:ascii="Arial" w:hAnsi="Arial"/>
          <w:sz w:val="24"/>
          <w:szCs w:val="24"/>
          <w:shd w:val="clear" w:color="auto" w:fill="FFFFFF"/>
          <w:vertAlign w:val="superscript"/>
        </w:rPr>
        <w:t xml:space="preserve">7 </w:t>
      </w:r>
      <w:r w:rsidRPr="0031297B">
        <w:rPr>
          <w:rFonts w:ascii="Arial" w:hAnsi="Arial"/>
          <w:sz w:val="24"/>
          <w:szCs w:val="24"/>
          <w:shd w:val="clear" w:color="auto" w:fill="FFFFFF"/>
        </w:rPr>
        <w:t>– 10</w:t>
      </w:r>
      <w:r w:rsidRPr="0031297B">
        <w:rPr>
          <w:rFonts w:ascii="Arial" w:hAnsi="Arial"/>
          <w:sz w:val="24"/>
          <w:szCs w:val="24"/>
          <w:shd w:val="clear" w:color="auto" w:fill="FFFFFF"/>
          <w:vertAlign w:val="superscript"/>
        </w:rPr>
        <w:t xml:space="preserve">8 </w:t>
      </w:r>
      <w:r w:rsidR="00154C00">
        <w:rPr>
          <w:rFonts w:ascii="Arial" w:hAnsi="Arial"/>
          <w:sz w:val="24"/>
          <w:szCs w:val="24"/>
          <w:shd w:val="clear" w:color="auto" w:fill="FFFFFF"/>
        </w:rPr>
        <w:t>células/mL</w:t>
      </w:r>
      <w:r w:rsidRPr="0031297B">
        <w:rPr>
          <w:rFonts w:ascii="Arial" w:hAnsi="Arial"/>
          <w:sz w:val="24"/>
          <w:szCs w:val="24"/>
          <w:lang w:val="es-ES"/>
        </w:rPr>
        <w:t>).</w:t>
      </w:r>
      <w:r w:rsidR="002056D3">
        <w:rPr>
          <w:rFonts w:ascii="Arial" w:hAnsi="Arial"/>
          <w:sz w:val="24"/>
          <w:szCs w:val="24"/>
          <w:lang w:val="es-ES"/>
        </w:rPr>
        <w:t xml:space="preserve"> El pH del medio se ajustó en 1,</w:t>
      </w:r>
      <w:r w:rsidRPr="0031297B">
        <w:rPr>
          <w:rFonts w:ascii="Arial" w:hAnsi="Arial"/>
          <w:sz w:val="24"/>
          <w:szCs w:val="24"/>
          <w:lang w:val="es-ES"/>
        </w:rPr>
        <w:t>5 con ácido sulfúrico (H</w:t>
      </w:r>
      <w:r w:rsidRPr="0031297B">
        <w:rPr>
          <w:rFonts w:ascii="Arial" w:hAnsi="Arial"/>
          <w:sz w:val="24"/>
          <w:szCs w:val="24"/>
          <w:vertAlign w:val="subscript"/>
          <w:lang w:val="es-ES"/>
        </w:rPr>
        <w:t>S</w:t>
      </w:r>
      <w:r w:rsidRPr="0031297B">
        <w:rPr>
          <w:rFonts w:ascii="Arial" w:hAnsi="Arial"/>
          <w:sz w:val="24"/>
          <w:szCs w:val="24"/>
          <w:lang w:val="es-ES"/>
        </w:rPr>
        <w:t>SO</w:t>
      </w:r>
      <w:r w:rsidRPr="0031297B">
        <w:rPr>
          <w:rFonts w:ascii="Arial" w:hAnsi="Arial"/>
          <w:sz w:val="24"/>
          <w:szCs w:val="24"/>
          <w:vertAlign w:val="subscript"/>
          <w:lang w:val="es-ES"/>
        </w:rPr>
        <w:t>4</w:t>
      </w:r>
      <w:r w:rsidRPr="0031297B">
        <w:rPr>
          <w:rFonts w:ascii="Arial" w:hAnsi="Arial"/>
          <w:sz w:val="24"/>
          <w:szCs w:val="24"/>
          <w:lang w:val="es-ES"/>
        </w:rPr>
        <w:t>) 1N.</w:t>
      </w:r>
      <w:r w:rsidR="004544B2" w:rsidRPr="0031297B">
        <w:rPr>
          <w:rFonts w:ascii="Arial" w:hAnsi="Arial"/>
          <w:sz w:val="24"/>
          <w:szCs w:val="24"/>
          <w:lang w:val="es-ES"/>
        </w:rPr>
        <w:t xml:space="preserve"> </w:t>
      </w:r>
      <w:r w:rsidRPr="0031297B">
        <w:rPr>
          <w:rFonts w:ascii="Arial" w:hAnsi="Arial"/>
          <w:sz w:val="24"/>
          <w:szCs w:val="24"/>
          <w:lang w:val="es-ES"/>
        </w:rPr>
        <w:t>Las v</w:t>
      </w:r>
      <w:r w:rsidR="00A54E9E">
        <w:rPr>
          <w:rFonts w:ascii="Arial" w:hAnsi="Arial"/>
          <w:sz w:val="24"/>
          <w:szCs w:val="24"/>
          <w:lang w:val="es-ES"/>
        </w:rPr>
        <w:t>ariables evaluadas fueron: (i) c</w:t>
      </w:r>
      <w:r w:rsidRPr="0031297B">
        <w:rPr>
          <w:rFonts w:ascii="Arial" w:hAnsi="Arial"/>
          <w:sz w:val="24"/>
          <w:szCs w:val="24"/>
          <w:lang w:val="es-ES"/>
        </w:rPr>
        <w:t>oncentración inicial</w:t>
      </w:r>
      <w:r w:rsidR="00154C00">
        <w:rPr>
          <w:rFonts w:ascii="Arial" w:hAnsi="Arial"/>
          <w:sz w:val="24"/>
          <w:szCs w:val="24"/>
          <w:lang w:val="es-ES"/>
        </w:rPr>
        <w:t xml:space="preserve"> de hierro en solución: 200 mg/L</w:t>
      </w:r>
      <w:r w:rsidRPr="0031297B">
        <w:rPr>
          <w:rFonts w:ascii="Arial" w:hAnsi="Arial"/>
          <w:sz w:val="24"/>
          <w:szCs w:val="24"/>
          <w:lang w:val="es-ES"/>
        </w:rPr>
        <w:t xml:space="preserve"> (C1) y 1200 m</w:t>
      </w:r>
      <w:r w:rsidR="00154C00">
        <w:rPr>
          <w:rFonts w:ascii="Arial" w:hAnsi="Arial"/>
          <w:sz w:val="24"/>
          <w:szCs w:val="24"/>
          <w:lang w:val="es-ES"/>
        </w:rPr>
        <w:t>g/L</w:t>
      </w:r>
      <w:r w:rsidRPr="0031297B">
        <w:rPr>
          <w:rFonts w:ascii="Arial" w:hAnsi="Arial"/>
          <w:sz w:val="24"/>
          <w:szCs w:val="24"/>
          <w:lang w:val="es-ES"/>
        </w:rPr>
        <w:t xml:space="preserve"> (C2</w:t>
      </w:r>
      <w:r w:rsidR="003D348E">
        <w:rPr>
          <w:rFonts w:ascii="Arial" w:hAnsi="Arial"/>
          <w:sz w:val="24"/>
          <w:szCs w:val="24"/>
          <w:lang w:val="es-ES"/>
        </w:rPr>
        <w:t>), mediante la adición de sulfato</w:t>
      </w:r>
      <w:r w:rsidRPr="0031297B">
        <w:rPr>
          <w:rFonts w:ascii="Arial" w:hAnsi="Arial"/>
          <w:sz w:val="24"/>
          <w:szCs w:val="24"/>
          <w:lang w:val="es-ES"/>
        </w:rPr>
        <w:t xml:space="preserve"> ferroso; (ii) cultivo bacteriano: microorganismos compatibles con </w:t>
      </w:r>
      <w:r w:rsidR="0040566C">
        <w:rPr>
          <w:rFonts w:ascii="Arial" w:hAnsi="Arial"/>
          <w:i/>
          <w:sz w:val="24"/>
          <w:szCs w:val="24"/>
          <w:lang w:val="es-ES"/>
        </w:rPr>
        <w:t>Acidithiobacillus</w:t>
      </w:r>
      <w:r w:rsidRPr="0031297B">
        <w:rPr>
          <w:rFonts w:ascii="Arial" w:hAnsi="Arial"/>
          <w:i/>
          <w:sz w:val="24"/>
          <w:szCs w:val="24"/>
          <w:lang w:val="es-ES"/>
        </w:rPr>
        <w:t xml:space="preserve"> ferrooxidans </w:t>
      </w:r>
      <w:r w:rsidRPr="0031297B">
        <w:rPr>
          <w:rFonts w:ascii="Arial" w:hAnsi="Arial"/>
          <w:sz w:val="24"/>
          <w:szCs w:val="24"/>
          <w:lang w:val="es-ES"/>
        </w:rPr>
        <w:t xml:space="preserve">(N) y la cepa ATCC 23270 (P). Los ensayos resultantes fueron: NC1, PC1, NC2, PC2. </w:t>
      </w:r>
      <w:r w:rsidRPr="0031297B">
        <w:rPr>
          <w:rFonts w:ascii="Arial" w:hAnsi="Arial"/>
          <w:sz w:val="24"/>
          <w:szCs w:val="24"/>
          <w:shd w:val="clear" w:color="auto" w:fill="FFFFFF"/>
        </w:rPr>
        <w:t>Cada ensayo se preparó por duplicado más un control negativo (abiótico) con medio nutritivo en condiciones estériles</w:t>
      </w:r>
      <w:r w:rsidR="00AD51CB">
        <w:rPr>
          <w:rFonts w:ascii="Arial" w:hAnsi="Arial"/>
          <w:sz w:val="24"/>
          <w:szCs w:val="24"/>
          <w:shd w:val="clear" w:color="auto" w:fill="FFFFFF"/>
        </w:rPr>
        <w:t xml:space="preserve">. </w:t>
      </w:r>
      <w:r w:rsidR="00AF78B8" w:rsidRPr="0031297B">
        <w:rPr>
          <w:rFonts w:ascii="Arial" w:hAnsi="Arial"/>
          <w:sz w:val="24"/>
          <w:szCs w:val="24"/>
          <w:lang w:val="es-ES"/>
        </w:rPr>
        <w:t xml:space="preserve">Los experimentos fueron incubados </w:t>
      </w:r>
      <w:r w:rsidRPr="0031297B">
        <w:rPr>
          <w:rFonts w:ascii="Arial" w:hAnsi="Arial"/>
          <w:sz w:val="24"/>
          <w:szCs w:val="24"/>
          <w:lang w:val="es-ES"/>
        </w:rPr>
        <w:t xml:space="preserve">a </w:t>
      </w:r>
      <w:r w:rsidRPr="0031297B">
        <w:rPr>
          <w:rFonts w:ascii="Arial" w:hAnsi="Arial"/>
          <w:sz w:val="24"/>
          <w:szCs w:val="24"/>
        </w:rPr>
        <w:t>30 ºC ± 1 ºC, con agitación continua a 180 rpm ± 2 rpm durante 12 días</w:t>
      </w:r>
      <w:r w:rsidR="00EC6E1D" w:rsidRPr="0031297B">
        <w:rPr>
          <w:rFonts w:ascii="Arial" w:hAnsi="Arial"/>
          <w:sz w:val="24"/>
          <w:szCs w:val="24"/>
        </w:rPr>
        <w:t xml:space="preserve">, tiempo en el cual los microorganismos alcanzaron la fase estacionaria. </w:t>
      </w:r>
    </w:p>
    <w:p w:rsidR="007B5119" w:rsidRDefault="007B5119" w:rsidP="006F2C2B">
      <w:pPr>
        <w:pStyle w:val="Sinespaciado"/>
        <w:jc w:val="both"/>
        <w:rPr>
          <w:rFonts w:ascii="Arial" w:hAnsi="Arial"/>
          <w:b/>
          <w:sz w:val="24"/>
          <w:szCs w:val="24"/>
        </w:rPr>
      </w:pPr>
    </w:p>
    <w:p w:rsidR="001B51AA" w:rsidRPr="0031297B" w:rsidRDefault="001B51AA" w:rsidP="006F2C2B">
      <w:pPr>
        <w:pStyle w:val="Sinespaciado"/>
        <w:jc w:val="both"/>
        <w:rPr>
          <w:rFonts w:ascii="Arial" w:hAnsi="Arial"/>
          <w:b/>
          <w:sz w:val="24"/>
          <w:szCs w:val="24"/>
        </w:rPr>
      </w:pPr>
      <w:r w:rsidRPr="0031297B">
        <w:rPr>
          <w:rFonts w:ascii="Arial" w:hAnsi="Arial"/>
          <w:b/>
          <w:sz w:val="24"/>
          <w:szCs w:val="24"/>
        </w:rPr>
        <w:t xml:space="preserve">Procedimientos analíticos </w:t>
      </w:r>
    </w:p>
    <w:p w:rsidR="001B51AA" w:rsidRPr="0031297B" w:rsidRDefault="001B51AA" w:rsidP="006F2C2B">
      <w:pPr>
        <w:pStyle w:val="Sinespaciado"/>
        <w:jc w:val="both"/>
        <w:rPr>
          <w:rFonts w:ascii="Arial" w:hAnsi="Arial" w:cs="Calibri"/>
          <w:sz w:val="24"/>
          <w:szCs w:val="24"/>
          <w:shd w:val="clear" w:color="auto" w:fill="FFFFFF"/>
        </w:rPr>
      </w:pPr>
      <w:r w:rsidRPr="0031297B">
        <w:rPr>
          <w:rFonts w:ascii="Arial" w:hAnsi="Arial"/>
          <w:sz w:val="24"/>
          <w:szCs w:val="24"/>
        </w:rPr>
        <w:t xml:space="preserve">El monitoreo de los experimentos se realizó a partir de mediciones de Eh, empleando un equipo SCHOTT </w:t>
      </w:r>
      <w:proofErr w:type="spellStart"/>
      <w:r w:rsidRPr="0031297B">
        <w:rPr>
          <w:rFonts w:ascii="Arial" w:hAnsi="Arial"/>
          <w:sz w:val="24"/>
          <w:szCs w:val="24"/>
        </w:rPr>
        <w:t>Handylab</w:t>
      </w:r>
      <w:proofErr w:type="spellEnd"/>
      <w:r w:rsidRPr="0031297B">
        <w:rPr>
          <w:rFonts w:ascii="Arial" w:hAnsi="Arial"/>
          <w:sz w:val="24"/>
          <w:szCs w:val="24"/>
        </w:rPr>
        <w:t xml:space="preserve"> con un electrodo ORP </w:t>
      </w:r>
      <w:proofErr w:type="spellStart"/>
      <w:r w:rsidRPr="0031297B">
        <w:rPr>
          <w:rFonts w:ascii="Arial" w:hAnsi="Arial"/>
          <w:sz w:val="24"/>
          <w:szCs w:val="24"/>
        </w:rPr>
        <w:t>Schott</w:t>
      </w:r>
      <w:proofErr w:type="spellEnd"/>
      <w:r w:rsidRPr="0031297B">
        <w:rPr>
          <w:rFonts w:ascii="Arial" w:hAnsi="Arial"/>
          <w:sz w:val="24"/>
          <w:szCs w:val="24"/>
        </w:rPr>
        <w:t xml:space="preserve"> PT6880 de Ag/</w:t>
      </w:r>
      <w:proofErr w:type="spellStart"/>
      <w:r w:rsidRPr="0031297B">
        <w:rPr>
          <w:rFonts w:ascii="Arial" w:hAnsi="Arial"/>
          <w:sz w:val="24"/>
          <w:szCs w:val="24"/>
        </w:rPr>
        <w:t>AgCl</w:t>
      </w:r>
      <w:proofErr w:type="spellEnd"/>
      <w:r w:rsidRPr="0031297B">
        <w:rPr>
          <w:rFonts w:ascii="Arial" w:hAnsi="Arial"/>
          <w:sz w:val="24"/>
          <w:szCs w:val="24"/>
        </w:rPr>
        <w:t xml:space="preserve">, y pH, utilizando equipo HACH HQ40d, con un electrodo </w:t>
      </w:r>
      <w:proofErr w:type="spellStart"/>
      <w:r w:rsidRPr="0031297B">
        <w:rPr>
          <w:rFonts w:ascii="Arial" w:hAnsi="Arial"/>
          <w:sz w:val="24"/>
          <w:szCs w:val="24"/>
        </w:rPr>
        <w:t>intelliCALTM</w:t>
      </w:r>
      <w:proofErr w:type="spellEnd"/>
      <w:r w:rsidRPr="0031297B">
        <w:rPr>
          <w:rFonts w:ascii="Arial" w:hAnsi="Arial"/>
          <w:sz w:val="24"/>
          <w:szCs w:val="24"/>
        </w:rPr>
        <w:t xml:space="preserve"> pHC301. </w:t>
      </w:r>
      <w:r w:rsidR="00005466">
        <w:rPr>
          <w:rFonts w:ascii="Arial" w:hAnsi="Arial"/>
          <w:sz w:val="24"/>
          <w:szCs w:val="24"/>
        </w:rPr>
        <w:t xml:space="preserve">El recuento celular se </w:t>
      </w:r>
      <w:r w:rsidR="00005466">
        <w:rPr>
          <w:rFonts w:ascii="Arial" w:hAnsi="Arial" w:cs="Calibri"/>
          <w:sz w:val="24"/>
          <w:szCs w:val="24"/>
          <w:shd w:val="clear" w:color="auto" w:fill="FFFFFF"/>
        </w:rPr>
        <w:t>realizó en</w:t>
      </w:r>
      <w:r w:rsidRPr="0031297B">
        <w:rPr>
          <w:rFonts w:ascii="Arial" w:hAnsi="Arial" w:cs="Calibri"/>
          <w:sz w:val="24"/>
          <w:szCs w:val="24"/>
          <w:shd w:val="clear" w:color="auto" w:fill="FFFFFF"/>
        </w:rPr>
        <w:t xml:space="preserve"> una cámar</w:t>
      </w:r>
      <w:r w:rsidR="00005466">
        <w:rPr>
          <w:rFonts w:ascii="Arial" w:hAnsi="Arial" w:cs="Calibri"/>
          <w:sz w:val="24"/>
          <w:szCs w:val="24"/>
          <w:shd w:val="clear" w:color="auto" w:fill="FFFFFF"/>
        </w:rPr>
        <w:t xml:space="preserve">a de Neubaüer. </w:t>
      </w:r>
      <w:r w:rsidRPr="0031297B">
        <w:rPr>
          <w:rFonts w:ascii="Arial" w:hAnsi="Arial"/>
          <w:sz w:val="24"/>
          <w:szCs w:val="24"/>
        </w:rPr>
        <w:t>Adicionalmente, las suspensiones fueron analizadas en</w:t>
      </w:r>
      <w:r w:rsidRPr="0031297B">
        <w:rPr>
          <w:rFonts w:ascii="Arial" w:hAnsi="Arial"/>
          <w:sz w:val="24"/>
          <w:szCs w:val="24"/>
          <w:lang w:val="es-ES"/>
        </w:rPr>
        <w:t xml:space="preserve"> un espectrofotómetro marca GENESYS™ 10 UV de barrido, por el método colorimétrico o-</w:t>
      </w:r>
      <w:proofErr w:type="spellStart"/>
      <w:r w:rsidRPr="0031297B">
        <w:rPr>
          <w:rFonts w:ascii="Arial" w:hAnsi="Arial"/>
          <w:sz w:val="24"/>
          <w:szCs w:val="24"/>
          <w:lang w:val="es-ES"/>
        </w:rPr>
        <w:t>f</w:t>
      </w:r>
      <w:r w:rsidR="00FA6425">
        <w:rPr>
          <w:rFonts w:ascii="Arial" w:hAnsi="Arial"/>
          <w:sz w:val="24"/>
          <w:szCs w:val="24"/>
          <w:lang w:val="es-ES"/>
        </w:rPr>
        <w:t>enantrolina</w:t>
      </w:r>
      <w:proofErr w:type="spellEnd"/>
      <w:r w:rsidR="00FA6425">
        <w:rPr>
          <w:rFonts w:ascii="Arial" w:hAnsi="Arial"/>
          <w:sz w:val="24"/>
          <w:szCs w:val="24"/>
          <w:lang w:val="es-ES"/>
        </w:rPr>
        <w:t xml:space="preserve"> (ASTM E394 – 09).</w:t>
      </w:r>
    </w:p>
    <w:p w:rsidR="0080281D" w:rsidRDefault="0080281D" w:rsidP="006F2C2B">
      <w:pPr>
        <w:pStyle w:val="Sinespaciado"/>
        <w:jc w:val="both"/>
        <w:rPr>
          <w:rFonts w:ascii="Arial" w:hAnsi="Arial"/>
          <w:b/>
          <w:sz w:val="24"/>
          <w:szCs w:val="24"/>
        </w:rPr>
      </w:pPr>
    </w:p>
    <w:p w:rsidR="006F13D8" w:rsidRDefault="006F13D8" w:rsidP="006F2C2B">
      <w:pPr>
        <w:pStyle w:val="Sinespaciado"/>
        <w:jc w:val="both"/>
        <w:rPr>
          <w:rFonts w:ascii="Arial" w:hAnsi="Arial"/>
          <w:b/>
          <w:sz w:val="24"/>
          <w:szCs w:val="24"/>
        </w:rPr>
      </w:pPr>
      <w:r w:rsidRPr="0031297B">
        <w:rPr>
          <w:rFonts w:ascii="Arial" w:hAnsi="Arial"/>
          <w:b/>
          <w:sz w:val="24"/>
          <w:szCs w:val="24"/>
        </w:rPr>
        <w:t>Resultados</w:t>
      </w:r>
    </w:p>
    <w:p w:rsidR="004544B2" w:rsidRPr="0031297B" w:rsidRDefault="004544B2" w:rsidP="006F2C2B">
      <w:pPr>
        <w:pStyle w:val="Sinespaciado"/>
        <w:jc w:val="both"/>
        <w:rPr>
          <w:rFonts w:ascii="Arial" w:hAnsi="Arial"/>
          <w:b/>
          <w:sz w:val="24"/>
          <w:szCs w:val="24"/>
        </w:rPr>
      </w:pPr>
      <w:r w:rsidRPr="0031297B">
        <w:rPr>
          <w:rFonts w:ascii="Arial" w:hAnsi="Arial"/>
          <w:b/>
          <w:sz w:val="24"/>
          <w:szCs w:val="24"/>
        </w:rPr>
        <w:t xml:space="preserve">Análisis químicos y mineralógicos de la muestra </w:t>
      </w:r>
    </w:p>
    <w:p w:rsidR="00C76668" w:rsidRDefault="0046255A" w:rsidP="006F2C2B">
      <w:pPr>
        <w:pStyle w:val="Sinespaciado"/>
        <w:jc w:val="both"/>
        <w:rPr>
          <w:rFonts w:ascii="Arial" w:hAnsi="Arial" w:cs="Arial"/>
          <w:sz w:val="24"/>
          <w:szCs w:val="24"/>
        </w:rPr>
      </w:pPr>
      <w:r>
        <w:rPr>
          <w:rFonts w:ascii="Arial" w:hAnsi="Arial"/>
          <w:sz w:val="24"/>
          <w:szCs w:val="24"/>
        </w:rPr>
        <w:t xml:space="preserve">La </w:t>
      </w:r>
      <w:r w:rsidR="003908F6">
        <w:rPr>
          <w:rFonts w:ascii="Arial" w:hAnsi="Arial"/>
          <w:sz w:val="24"/>
          <w:szCs w:val="24"/>
        </w:rPr>
        <w:t>t</w:t>
      </w:r>
      <w:r>
        <w:rPr>
          <w:rFonts w:ascii="Arial" w:hAnsi="Arial"/>
          <w:sz w:val="24"/>
          <w:szCs w:val="24"/>
        </w:rPr>
        <w:t>abla 1 m</w:t>
      </w:r>
      <w:r w:rsidR="004544B2" w:rsidRPr="0031297B">
        <w:rPr>
          <w:rFonts w:ascii="Arial" w:hAnsi="Arial" w:cs="Arial"/>
          <w:sz w:val="24"/>
          <w:szCs w:val="24"/>
        </w:rPr>
        <w:t xml:space="preserve">uestra los análisis próximos y de las formas de azufre presentes en el carbón. </w:t>
      </w:r>
      <w:r w:rsidR="00005466">
        <w:rPr>
          <w:rFonts w:ascii="Arial" w:hAnsi="Arial" w:cs="Arial"/>
          <w:sz w:val="24"/>
          <w:szCs w:val="24"/>
        </w:rPr>
        <w:t xml:space="preserve">Este </w:t>
      </w:r>
      <w:r w:rsidR="004544B2" w:rsidRPr="0031297B">
        <w:rPr>
          <w:rFonts w:ascii="Arial" w:hAnsi="Arial" w:cs="Arial"/>
          <w:sz w:val="24"/>
          <w:szCs w:val="24"/>
        </w:rPr>
        <w:t>presentó un contenido de azufre total de 2.30%, del cual 1.06%</w:t>
      </w:r>
      <w:bookmarkStart w:id="1" w:name="_Toc404099981"/>
      <w:r w:rsidR="00A9150A">
        <w:rPr>
          <w:rFonts w:ascii="Arial" w:hAnsi="Arial" w:cs="Arial"/>
          <w:sz w:val="24"/>
          <w:szCs w:val="24"/>
        </w:rPr>
        <w:t xml:space="preserve"> corresponde a azufre pirítico.</w:t>
      </w:r>
      <w:r w:rsidR="0082598F">
        <w:rPr>
          <w:rFonts w:ascii="Arial" w:hAnsi="Arial" w:cs="Arial"/>
          <w:sz w:val="24"/>
          <w:szCs w:val="24"/>
        </w:rPr>
        <w:t xml:space="preserve"> Mediante la aplicación de la norma ASTM D388 -12, para la clasificación de carbones por rango, </w:t>
      </w:r>
      <w:r w:rsidR="00A54E9E">
        <w:rPr>
          <w:rFonts w:ascii="Arial" w:hAnsi="Arial" w:cs="Arial"/>
          <w:sz w:val="24"/>
          <w:szCs w:val="24"/>
        </w:rPr>
        <w:t xml:space="preserve">se determinó que </w:t>
      </w:r>
      <w:r w:rsidR="0082598F">
        <w:rPr>
          <w:rFonts w:ascii="Arial" w:hAnsi="Arial" w:cs="Arial"/>
          <w:sz w:val="24"/>
          <w:szCs w:val="24"/>
        </w:rPr>
        <w:t>el carbón empleado es de tipo sub – bituminoso A.</w:t>
      </w:r>
    </w:p>
    <w:p w:rsidR="00A9150A" w:rsidRPr="00A9150A" w:rsidRDefault="00A9150A" w:rsidP="006F2C2B">
      <w:pPr>
        <w:pStyle w:val="Sinespaciado"/>
        <w:jc w:val="both"/>
        <w:rPr>
          <w:rFonts w:ascii="Arial" w:hAnsi="Arial" w:cs="Arial"/>
          <w:sz w:val="24"/>
          <w:szCs w:val="24"/>
        </w:rPr>
      </w:pPr>
    </w:p>
    <w:p w:rsidR="004544B2" w:rsidRPr="00C76668" w:rsidRDefault="0046255A" w:rsidP="006F2C2B">
      <w:pPr>
        <w:pStyle w:val="Sinespaciado"/>
        <w:jc w:val="both"/>
        <w:rPr>
          <w:rFonts w:ascii="Arial" w:hAnsi="Arial"/>
          <w:b/>
          <w:sz w:val="24"/>
          <w:szCs w:val="24"/>
        </w:rPr>
      </w:pPr>
      <w:r>
        <w:rPr>
          <w:rFonts w:ascii="Arial" w:hAnsi="Arial"/>
          <w:b/>
          <w:sz w:val="24"/>
          <w:szCs w:val="24"/>
        </w:rPr>
        <w:t>Tabla 1</w:t>
      </w:r>
      <w:r w:rsidR="003908F6">
        <w:rPr>
          <w:rFonts w:ascii="Arial" w:hAnsi="Arial"/>
          <w:b/>
          <w:sz w:val="24"/>
          <w:szCs w:val="24"/>
        </w:rPr>
        <w:t>.</w:t>
      </w:r>
      <w:r w:rsidR="004544B2" w:rsidRPr="0031297B">
        <w:rPr>
          <w:rFonts w:ascii="Arial" w:hAnsi="Arial"/>
          <w:sz w:val="24"/>
          <w:szCs w:val="24"/>
        </w:rPr>
        <w:t xml:space="preserve"> Análisis próximos y formas de azufre presentes en el carbón.</w:t>
      </w:r>
      <w:bookmarkEnd w:id="1"/>
    </w:p>
    <w:tbl>
      <w:tblPr>
        <w:tblStyle w:val="Cuadrculadetablaclara1"/>
        <w:tblW w:w="0" w:type="auto"/>
        <w:tblInd w:w="1366" w:type="dxa"/>
        <w:tblLook w:val="04A0"/>
      </w:tblPr>
      <w:tblGrid>
        <w:gridCol w:w="3258"/>
        <w:gridCol w:w="1297"/>
        <w:gridCol w:w="1510"/>
      </w:tblGrid>
      <w:tr w:rsidR="004544B2" w:rsidRPr="0031297B" w:rsidTr="00856EDE">
        <w:trPr>
          <w:trHeight w:val="220"/>
        </w:trPr>
        <w:tc>
          <w:tcPr>
            <w:tcW w:w="0" w:type="auto"/>
          </w:tcPr>
          <w:p w:rsidR="004544B2" w:rsidRPr="0031297B" w:rsidRDefault="004544B2" w:rsidP="006F2C2B">
            <w:pPr>
              <w:autoSpaceDE w:val="0"/>
              <w:autoSpaceDN w:val="0"/>
              <w:adjustRightInd w:val="0"/>
              <w:jc w:val="both"/>
              <w:rPr>
                <w:rFonts w:ascii="Arial" w:hAnsi="Arial" w:cs="Arial"/>
                <w:b/>
                <w:sz w:val="24"/>
                <w:szCs w:val="24"/>
              </w:rPr>
            </w:pPr>
            <w:r w:rsidRPr="0031297B">
              <w:rPr>
                <w:rFonts w:ascii="Arial" w:hAnsi="Arial" w:cs="Arial"/>
                <w:b/>
                <w:sz w:val="24"/>
                <w:szCs w:val="24"/>
              </w:rPr>
              <w:t>Análisis</w:t>
            </w:r>
          </w:p>
        </w:tc>
        <w:tc>
          <w:tcPr>
            <w:tcW w:w="0" w:type="auto"/>
          </w:tcPr>
          <w:p w:rsidR="004544B2" w:rsidRPr="0031297B" w:rsidRDefault="004544B2" w:rsidP="006F2C2B">
            <w:pPr>
              <w:autoSpaceDE w:val="0"/>
              <w:autoSpaceDN w:val="0"/>
              <w:adjustRightInd w:val="0"/>
              <w:jc w:val="both"/>
              <w:rPr>
                <w:rFonts w:ascii="Arial" w:hAnsi="Arial" w:cs="Arial"/>
                <w:b/>
                <w:sz w:val="24"/>
                <w:szCs w:val="24"/>
              </w:rPr>
            </w:pPr>
            <w:r w:rsidRPr="0031297B">
              <w:rPr>
                <w:rFonts w:ascii="Arial" w:hAnsi="Arial" w:cs="Arial"/>
                <w:b/>
                <w:sz w:val="24"/>
                <w:szCs w:val="24"/>
              </w:rPr>
              <w:t>Unidades</w:t>
            </w:r>
          </w:p>
        </w:tc>
        <w:tc>
          <w:tcPr>
            <w:tcW w:w="0" w:type="auto"/>
          </w:tcPr>
          <w:p w:rsidR="004544B2" w:rsidRPr="0031297B" w:rsidRDefault="004544B2" w:rsidP="006F2C2B">
            <w:pPr>
              <w:autoSpaceDE w:val="0"/>
              <w:autoSpaceDN w:val="0"/>
              <w:adjustRightInd w:val="0"/>
              <w:jc w:val="both"/>
              <w:rPr>
                <w:rFonts w:ascii="Arial" w:hAnsi="Arial" w:cs="Arial"/>
                <w:b/>
                <w:sz w:val="24"/>
                <w:szCs w:val="24"/>
              </w:rPr>
            </w:pPr>
            <w:r w:rsidRPr="0031297B">
              <w:rPr>
                <w:rFonts w:ascii="Arial" w:hAnsi="Arial" w:cs="Arial"/>
                <w:b/>
                <w:sz w:val="24"/>
                <w:szCs w:val="24"/>
              </w:rPr>
              <w:t>Resultados</w:t>
            </w:r>
          </w:p>
        </w:tc>
      </w:tr>
      <w:tr w:rsidR="004544B2" w:rsidRPr="0031297B" w:rsidTr="00856EDE">
        <w:trPr>
          <w:trHeight w:val="206"/>
        </w:trPr>
        <w:tc>
          <w:tcPr>
            <w:tcW w:w="0" w:type="auto"/>
          </w:tcPr>
          <w:p w:rsidR="004544B2" w:rsidRPr="0031297B" w:rsidRDefault="004544B2" w:rsidP="006F2C2B">
            <w:pPr>
              <w:autoSpaceDE w:val="0"/>
              <w:autoSpaceDN w:val="0"/>
              <w:adjustRightInd w:val="0"/>
              <w:jc w:val="both"/>
              <w:rPr>
                <w:rFonts w:ascii="Arial" w:hAnsi="Arial" w:cs="Arial"/>
                <w:sz w:val="24"/>
                <w:szCs w:val="24"/>
              </w:rPr>
            </w:pPr>
            <w:r w:rsidRPr="0031297B">
              <w:rPr>
                <w:rFonts w:ascii="Arial" w:hAnsi="Arial" w:cs="Arial"/>
                <w:sz w:val="24"/>
                <w:szCs w:val="24"/>
              </w:rPr>
              <w:t>Azufre orgánico</w:t>
            </w:r>
          </w:p>
        </w:tc>
        <w:tc>
          <w:tcPr>
            <w:tcW w:w="0" w:type="auto"/>
          </w:tcPr>
          <w:p w:rsidR="004544B2" w:rsidRPr="0031297B" w:rsidRDefault="004544B2" w:rsidP="006F2C2B">
            <w:pPr>
              <w:autoSpaceDE w:val="0"/>
              <w:autoSpaceDN w:val="0"/>
              <w:adjustRightInd w:val="0"/>
              <w:jc w:val="center"/>
              <w:rPr>
                <w:rFonts w:ascii="Arial" w:hAnsi="Arial" w:cs="Arial"/>
                <w:sz w:val="24"/>
                <w:szCs w:val="24"/>
              </w:rPr>
            </w:pPr>
            <w:r w:rsidRPr="0031297B">
              <w:rPr>
                <w:rFonts w:ascii="Arial" w:hAnsi="Arial" w:cs="Arial"/>
                <w:sz w:val="24"/>
                <w:szCs w:val="24"/>
              </w:rPr>
              <w:t>%</w:t>
            </w:r>
          </w:p>
        </w:tc>
        <w:tc>
          <w:tcPr>
            <w:tcW w:w="0" w:type="auto"/>
          </w:tcPr>
          <w:p w:rsidR="004544B2" w:rsidRPr="0031297B" w:rsidRDefault="004544B2" w:rsidP="006F2C2B">
            <w:pPr>
              <w:autoSpaceDE w:val="0"/>
              <w:autoSpaceDN w:val="0"/>
              <w:adjustRightInd w:val="0"/>
              <w:ind w:right="293"/>
              <w:jc w:val="right"/>
              <w:rPr>
                <w:rFonts w:ascii="Arial" w:hAnsi="Arial" w:cs="Arial"/>
                <w:sz w:val="24"/>
                <w:szCs w:val="24"/>
              </w:rPr>
            </w:pPr>
            <w:r w:rsidRPr="0031297B">
              <w:rPr>
                <w:rFonts w:ascii="Arial" w:hAnsi="Arial" w:cs="Arial"/>
                <w:sz w:val="24"/>
                <w:szCs w:val="24"/>
              </w:rPr>
              <w:t>1.10</w:t>
            </w:r>
          </w:p>
        </w:tc>
      </w:tr>
      <w:tr w:rsidR="004544B2" w:rsidRPr="0031297B" w:rsidTr="00856EDE">
        <w:trPr>
          <w:trHeight w:val="220"/>
        </w:trPr>
        <w:tc>
          <w:tcPr>
            <w:tcW w:w="0" w:type="auto"/>
          </w:tcPr>
          <w:p w:rsidR="004544B2" w:rsidRPr="0031297B" w:rsidRDefault="004544B2" w:rsidP="006F2C2B">
            <w:pPr>
              <w:autoSpaceDE w:val="0"/>
              <w:autoSpaceDN w:val="0"/>
              <w:adjustRightInd w:val="0"/>
              <w:jc w:val="both"/>
              <w:rPr>
                <w:rFonts w:ascii="Arial" w:hAnsi="Arial" w:cs="Arial"/>
                <w:sz w:val="24"/>
                <w:szCs w:val="24"/>
              </w:rPr>
            </w:pPr>
            <w:r w:rsidRPr="0031297B">
              <w:rPr>
                <w:rFonts w:ascii="Arial" w:hAnsi="Arial" w:cs="Arial"/>
                <w:sz w:val="24"/>
                <w:szCs w:val="24"/>
              </w:rPr>
              <w:t>Azufre pirítico</w:t>
            </w:r>
          </w:p>
        </w:tc>
        <w:tc>
          <w:tcPr>
            <w:tcW w:w="0" w:type="auto"/>
          </w:tcPr>
          <w:p w:rsidR="004544B2" w:rsidRPr="0031297B" w:rsidRDefault="004544B2" w:rsidP="006F2C2B">
            <w:pPr>
              <w:autoSpaceDE w:val="0"/>
              <w:autoSpaceDN w:val="0"/>
              <w:adjustRightInd w:val="0"/>
              <w:jc w:val="center"/>
              <w:rPr>
                <w:rFonts w:ascii="Arial" w:hAnsi="Arial" w:cs="Arial"/>
                <w:sz w:val="24"/>
                <w:szCs w:val="24"/>
              </w:rPr>
            </w:pPr>
            <w:r w:rsidRPr="0031297B">
              <w:rPr>
                <w:rFonts w:ascii="Arial" w:hAnsi="Arial" w:cs="Arial"/>
                <w:sz w:val="24"/>
                <w:szCs w:val="24"/>
              </w:rPr>
              <w:t>%</w:t>
            </w:r>
          </w:p>
        </w:tc>
        <w:tc>
          <w:tcPr>
            <w:tcW w:w="0" w:type="auto"/>
          </w:tcPr>
          <w:p w:rsidR="004544B2" w:rsidRPr="0031297B" w:rsidRDefault="004544B2" w:rsidP="006F2C2B">
            <w:pPr>
              <w:autoSpaceDE w:val="0"/>
              <w:autoSpaceDN w:val="0"/>
              <w:adjustRightInd w:val="0"/>
              <w:ind w:right="293"/>
              <w:jc w:val="right"/>
              <w:rPr>
                <w:rFonts w:ascii="Arial" w:hAnsi="Arial" w:cs="Arial"/>
                <w:sz w:val="24"/>
                <w:szCs w:val="24"/>
              </w:rPr>
            </w:pPr>
            <w:r w:rsidRPr="0031297B">
              <w:rPr>
                <w:rFonts w:ascii="Arial" w:hAnsi="Arial" w:cs="Arial"/>
                <w:sz w:val="24"/>
                <w:szCs w:val="24"/>
              </w:rPr>
              <w:t>1.06</w:t>
            </w:r>
          </w:p>
        </w:tc>
      </w:tr>
      <w:tr w:rsidR="004544B2" w:rsidRPr="0031297B" w:rsidTr="00856EDE">
        <w:trPr>
          <w:trHeight w:val="220"/>
        </w:trPr>
        <w:tc>
          <w:tcPr>
            <w:tcW w:w="0" w:type="auto"/>
          </w:tcPr>
          <w:p w:rsidR="004544B2" w:rsidRPr="0031297B" w:rsidRDefault="004544B2" w:rsidP="006F2C2B">
            <w:pPr>
              <w:autoSpaceDE w:val="0"/>
              <w:autoSpaceDN w:val="0"/>
              <w:adjustRightInd w:val="0"/>
              <w:jc w:val="both"/>
              <w:rPr>
                <w:rFonts w:ascii="Arial" w:hAnsi="Arial" w:cs="Arial"/>
                <w:sz w:val="24"/>
                <w:szCs w:val="24"/>
              </w:rPr>
            </w:pPr>
            <w:r w:rsidRPr="0031297B">
              <w:rPr>
                <w:rFonts w:ascii="Arial" w:hAnsi="Arial" w:cs="Arial"/>
                <w:sz w:val="24"/>
                <w:szCs w:val="24"/>
              </w:rPr>
              <w:t>Azufre sulfatos</w:t>
            </w:r>
          </w:p>
        </w:tc>
        <w:tc>
          <w:tcPr>
            <w:tcW w:w="0" w:type="auto"/>
          </w:tcPr>
          <w:p w:rsidR="004544B2" w:rsidRPr="0031297B" w:rsidRDefault="004544B2" w:rsidP="006F2C2B">
            <w:pPr>
              <w:autoSpaceDE w:val="0"/>
              <w:autoSpaceDN w:val="0"/>
              <w:adjustRightInd w:val="0"/>
              <w:jc w:val="center"/>
              <w:rPr>
                <w:rFonts w:ascii="Arial" w:hAnsi="Arial" w:cs="Arial"/>
                <w:sz w:val="24"/>
                <w:szCs w:val="24"/>
              </w:rPr>
            </w:pPr>
            <w:r w:rsidRPr="0031297B">
              <w:rPr>
                <w:rFonts w:ascii="Arial" w:hAnsi="Arial" w:cs="Arial"/>
                <w:sz w:val="24"/>
                <w:szCs w:val="24"/>
              </w:rPr>
              <w:t>%</w:t>
            </w:r>
          </w:p>
        </w:tc>
        <w:tc>
          <w:tcPr>
            <w:tcW w:w="0" w:type="auto"/>
          </w:tcPr>
          <w:p w:rsidR="004544B2" w:rsidRPr="0031297B" w:rsidRDefault="004544B2" w:rsidP="006F2C2B">
            <w:pPr>
              <w:autoSpaceDE w:val="0"/>
              <w:autoSpaceDN w:val="0"/>
              <w:adjustRightInd w:val="0"/>
              <w:ind w:right="293"/>
              <w:jc w:val="right"/>
              <w:rPr>
                <w:rFonts w:ascii="Arial" w:hAnsi="Arial" w:cs="Arial"/>
                <w:sz w:val="24"/>
                <w:szCs w:val="24"/>
              </w:rPr>
            </w:pPr>
            <w:r w:rsidRPr="0031297B">
              <w:rPr>
                <w:rFonts w:ascii="Arial" w:hAnsi="Arial" w:cs="Arial"/>
                <w:sz w:val="24"/>
                <w:szCs w:val="24"/>
              </w:rPr>
              <w:t>0.14</w:t>
            </w:r>
          </w:p>
        </w:tc>
      </w:tr>
      <w:tr w:rsidR="004544B2" w:rsidRPr="0031297B" w:rsidTr="00856EDE">
        <w:trPr>
          <w:trHeight w:val="206"/>
        </w:trPr>
        <w:tc>
          <w:tcPr>
            <w:tcW w:w="0" w:type="auto"/>
          </w:tcPr>
          <w:p w:rsidR="004544B2" w:rsidRPr="0031297B" w:rsidRDefault="004544B2" w:rsidP="006F2C2B">
            <w:pPr>
              <w:autoSpaceDE w:val="0"/>
              <w:autoSpaceDN w:val="0"/>
              <w:adjustRightInd w:val="0"/>
              <w:jc w:val="both"/>
              <w:rPr>
                <w:rFonts w:ascii="Arial" w:hAnsi="Arial" w:cs="Arial"/>
                <w:sz w:val="24"/>
                <w:szCs w:val="24"/>
              </w:rPr>
            </w:pPr>
            <w:r w:rsidRPr="0031297B">
              <w:rPr>
                <w:rFonts w:ascii="Arial" w:hAnsi="Arial" w:cs="Arial"/>
                <w:sz w:val="24"/>
                <w:szCs w:val="24"/>
              </w:rPr>
              <w:t>Azufre total</w:t>
            </w:r>
          </w:p>
        </w:tc>
        <w:tc>
          <w:tcPr>
            <w:tcW w:w="0" w:type="auto"/>
          </w:tcPr>
          <w:p w:rsidR="004544B2" w:rsidRPr="0031297B" w:rsidRDefault="004544B2" w:rsidP="006F2C2B">
            <w:pPr>
              <w:autoSpaceDE w:val="0"/>
              <w:autoSpaceDN w:val="0"/>
              <w:adjustRightInd w:val="0"/>
              <w:jc w:val="center"/>
              <w:rPr>
                <w:rFonts w:ascii="Arial" w:hAnsi="Arial" w:cs="Arial"/>
                <w:sz w:val="24"/>
                <w:szCs w:val="24"/>
              </w:rPr>
            </w:pPr>
            <w:r w:rsidRPr="0031297B">
              <w:rPr>
                <w:rFonts w:ascii="Arial" w:hAnsi="Arial" w:cs="Arial"/>
                <w:sz w:val="24"/>
                <w:szCs w:val="24"/>
              </w:rPr>
              <w:t>%</w:t>
            </w:r>
          </w:p>
        </w:tc>
        <w:tc>
          <w:tcPr>
            <w:tcW w:w="0" w:type="auto"/>
          </w:tcPr>
          <w:p w:rsidR="004544B2" w:rsidRPr="0031297B" w:rsidRDefault="004544B2" w:rsidP="006F2C2B">
            <w:pPr>
              <w:autoSpaceDE w:val="0"/>
              <w:autoSpaceDN w:val="0"/>
              <w:adjustRightInd w:val="0"/>
              <w:ind w:right="293"/>
              <w:jc w:val="right"/>
              <w:rPr>
                <w:rFonts w:ascii="Arial" w:hAnsi="Arial" w:cs="Arial"/>
                <w:sz w:val="24"/>
                <w:szCs w:val="24"/>
              </w:rPr>
            </w:pPr>
            <w:r w:rsidRPr="0031297B">
              <w:rPr>
                <w:rFonts w:ascii="Arial" w:hAnsi="Arial" w:cs="Arial"/>
                <w:sz w:val="24"/>
                <w:szCs w:val="24"/>
              </w:rPr>
              <w:t>2.30</w:t>
            </w:r>
          </w:p>
        </w:tc>
      </w:tr>
      <w:tr w:rsidR="004544B2" w:rsidRPr="0031297B" w:rsidTr="00856EDE">
        <w:trPr>
          <w:trHeight w:val="220"/>
        </w:trPr>
        <w:tc>
          <w:tcPr>
            <w:tcW w:w="0" w:type="auto"/>
          </w:tcPr>
          <w:p w:rsidR="004544B2" w:rsidRPr="0031297B" w:rsidRDefault="004544B2" w:rsidP="006F2C2B">
            <w:pPr>
              <w:autoSpaceDE w:val="0"/>
              <w:autoSpaceDN w:val="0"/>
              <w:adjustRightInd w:val="0"/>
              <w:jc w:val="both"/>
              <w:rPr>
                <w:rFonts w:ascii="Arial" w:hAnsi="Arial" w:cs="Arial"/>
                <w:sz w:val="24"/>
                <w:szCs w:val="24"/>
              </w:rPr>
            </w:pPr>
            <w:r w:rsidRPr="0031297B">
              <w:rPr>
                <w:rFonts w:ascii="Arial" w:hAnsi="Arial" w:cs="Arial"/>
                <w:sz w:val="24"/>
                <w:szCs w:val="24"/>
              </w:rPr>
              <w:t>Cenizas</w:t>
            </w:r>
          </w:p>
        </w:tc>
        <w:tc>
          <w:tcPr>
            <w:tcW w:w="0" w:type="auto"/>
          </w:tcPr>
          <w:p w:rsidR="004544B2" w:rsidRPr="0031297B" w:rsidRDefault="004544B2" w:rsidP="006F2C2B">
            <w:pPr>
              <w:autoSpaceDE w:val="0"/>
              <w:autoSpaceDN w:val="0"/>
              <w:adjustRightInd w:val="0"/>
              <w:jc w:val="center"/>
              <w:rPr>
                <w:rFonts w:ascii="Arial" w:hAnsi="Arial" w:cs="Arial"/>
                <w:sz w:val="24"/>
                <w:szCs w:val="24"/>
              </w:rPr>
            </w:pPr>
            <w:r w:rsidRPr="0031297B">
              <w:rPr>
                <w:rFonts w:ascii="Arial" w:hAnsi="Arial" w:cs="Arial"/>
                <w:sz w:val="24"/>
                <w:szCs w:val="24"/>
              </w:rPr>
              <w:t>%</w:t>
            </w:r>
          </w:p>
        </w:tc>
        <w:tc>
          <w:tcPr>
            <w:tcW w:w="0" w:type="auto"/>
          </w:tcPr>
          <w:p w:rsidR="004544B2" w:rsidRPr="0031297B" w:rsidRDefault="004544B2" w:rsidP="006F2C2B">
            <w:pPr>
              <w:autoSpaceDE w:val="0"/>
              <w:autoSpaceDN w:val="0"/>
              <w:adjustRightInd w:val="0"/>
              <w:ind w:right="293"/>
              <w:jc w:val="right"/>
              <w:rPr>
                <w:rFonts w:ascii="Arial" w:hAnsi="Arial" w:cs="Arial"/>
                <w:sz w:val="24"/>
                <w:szCs w:val="24"/>
              </w:rPr>
            </w:pPr>
            <w:r w:rsidRPr="0031297B">
              <w:rPr>
                <w:rFonts w:ascii="Arial" w:hAnsi="Arial" w:cs="Arial"/>
                <w:sz w:val="24"/>
                <w:szCs w:val="24"/>
              </w:rPr>
              <w:t>5.50</w:t>
            </w:r>
          </w:p>
        </w:tc>
      </w:tr>
      <w:tr w:rsidR="004544B2" w:rsidRPr="0031297B" w:rsidTr="00856EDE">
        <w:trPr>
          <w:trHeight w:val="206"/>
        </w:trPr>
        <w:tc>
          <w:tcPr>
            <w:tcW w:w="0" w:type="auto"/>
          </w:tcPr>
          <w:p w:rsidR="004544B2" w:rsidRPr="0031297B" w:rsidRDefault="004544B2" w:rsidP="006F2C2B">
            <w:pPr>
              <w:autoSpaceDE w:val="0"/>
              <w:autoSpaceDN w:val="0"/>
              <w:adjustRightInd w:val="0"/>
              <w:jc w:val="both"/>
              <w:rPr>
                <w:rFonts w:ascii="Arial" w:hAnsi="Arial" w:cs="Arial"/>
                <w:sz w:val="24"/>
                <w:szCs w:val="24"/>
              </w:rPr>
            </w:pPr>
            <w:r w:rsidRPr="0031297B">
              <w:rPr>
                <w:rFonts w:ascii="Arial" w:hAnsi="Arial" w:cs="Arial"/>
                <w:sz w:val="24"/>
                <w:szCs w:val="24"/>
              </w:rPr>
              <w:t>Carbono fijo</w:t>
            </w:r>
          </w:p>
        </w:tc>
        <w:tc>
          <w:tcPr>
            <w:tcW w:w="0" w:type="auto"/>
          </w:tcPr>
          <w:p w:rsidR="004544B2" w:rsidRPr="0031297B" w:rsidRDefault="004544B2" w:rsidP="006F2C2B">
            <w:pPr>
              <w:autoSpaceDE w:val="0"/>
              <w:autoSpaceDN w:val="0"/>
              <w:adjustRightInd w:val="0"/>
              <w:jc w:val="center"/>
              <w:rPr>
                <w:rFonts w:ascii="Arial" w:hAnsi="Arial" w:cs="Arial"/>
                <w:sz w:val="24"/>
                <w:szCs w:val="24"/>
              </w:rPr>
            </w:pPr>
            <w:r w:rsidRPr="0031297B">
              <w:rPr>
                <w:rFonts w:ascii="Arial" w:hAnsi="Arial" w:cs="Arial"/>
                <w:sz w:val="24"/>
                <w:szCs w:val="24"/>
              </w:rPr>
              <w:t>%</w:t>
            </w:r>
          </w:p>
        </w:tc>
        <w:tc>
          <w:tcPr>
            <w:tcW w:w="0" w:type="auto"/>
          </w:tcPr>
          <w:p w:rsidR="004544B2" w:rsidRPr="0031297B" w:rsidRDefault="004544B2" w:rsidP="006F2C2B">
            <w:pPr>
              <w:autoSpaceDE w:val="0"/>
              <w:autoSpaceDN w:val="0"/>
              <w:adjustRightInd w:val="0"/>
              <w:ind w:right="293"/>
              <w:jc w:val="right"/>
              <w:rPr>
                <w:rFonts w:ascii="Arial" w:hAnsi="Arial" w:cs="Arial"/>
                <w:sz w:val="24"/>
                <w:szCs w:val="24"/>
              </w:rPr>
            </w:pPr>
            <w:r w:rsidRPr="0031297B">
              <w:rPr>
                <w:rFonts w:ascii="Arial" w:hAnsi="Arial" w:cs="Arial"/>
                <w:sz w:val="24"/>
                <w:szCs w:val="24"/>
              </w:rPr>
              <w:t>40.10</w:t>
            </w:r>
          </w:p>
        </w:tc>
      </w:tr>
      <w:tr w:rsidR="004544B2" w:rsidRPr="0031297B" w:rsidTr="00856EDE">
        <w:trPr>
          <w:trHeight w:val="220"/>
        </w:trPr>
        <w:tc>
          <w:tcPr>
            <w:tcW w:w="0" w:type="auto"/>
          </w:tcPr>
          <w:p w:rsidR="004544B2" w:rsidRPr="0031297B" w:rsidRDefault="004544B2" w:rsidP="006F2C2B">
            <w:pPr>
              <w:autoSpaceDE w:val="0"/>
              <w:autoSpaceDN w:val="0"/>
              <w:adjustRightInd w:val="0"/>
              <w:jc w:val="both"/>
              <w:rPr>
                <w:rFonts w:ascii="Arial" w:hAnsi="Arial" w:cs="Arial"/>
                <w:sz w:val="24"/>
                <w:szCs w:val="24"/>
              </w:rPr>
            </w:pPr>
            <w:r w:rsidRPr="0031297B">
              <w:rPr>
                <w:rFonts w:ascii="Arial" w:hAnsi="Arial" w:cs="Arial"/>
                <w:sz w:val="24"/>
                <w:szCs w:val="24"/>
              </w:rPr>
              <w:t>Materia Volátil</w:t>
            </w:r>
          </w:p>
        </w:tc>
        <w:tc>
          <w:tcPr>
            <w:tcW w:w="0" w:type="auto"/>
          </w:tcPr>
          <w:p w:rsidR="004544B2" w:rsidRPr="0031297B" w:rsidRDefault="004544B2" w:rsidP="006F2C2B">
            <w:pPr>
              <w:autoSpaceDE w:val="0"/>
              <w:autoSpaceDN w:val="0"/>
              <w:adjustRightInd w:val="0"/>
              <w:jc w:val="center"/>
              <w:rPr>
                <w:rFonts w:ascii="Arial" w:hAnsi="Arial" w:cs="Arial"/>
                <w:sz w:val="24"/>
                <w:szCs w:val="24"/>
              </w:rPr>
            </w:pPr>
            <w:r w:rsidRPr="0031297B">
              <w:rPr>
                <w:rFonts w:ascii="Arial" w:hAnsi="Arial" w:cs="Arial"/>
                <w:sz w:val="24"/>
                <w:szCs w:val="24"/>
              </w:rPr>
              <w:t>%</w:t>
            </w:r>
          </w:p>
        </w:tc>
        <w:tc>
          <w:tcPr>
            <w:tcW w:w="0" w:type="auto"/>
          </w:tcPr>
          <w:p w:rsidR="004544B2" w:rsidRPr="0031297B" w:rsidRDefault="004544B2" w:rsidP="006F2C2B">
            <w:pPr>
              <w:autoSpaceDE w:val="0"/>
              <w:autoSpaceDN w:val="0"/>
              <w:adjustRightInd w:val="0"/>
              <w:ind w:right="293"/>
              <w:jc w:val="right"/>
              <w:rPr>
                <w:rFonts w:ascii="Arial" w:hAnsi="Arial" w:cs="Arial"/>
                <w:sz w:val="24"/>
                <w:szCs w:val="24"/>
              </w:rPr>
            </w:pPr>
            <w:r w:rsidRPr="0031297B">
              <w:rPr>
                <w:rFonts w:ascii="Arial" w:hAnsi="Arial" w:cs="Arial"/>
                <w:sz w:val="24"/>
                <w:szCs w:val="24"/>
              </w:rPr>
              <w:t>40.20</w:t>
            </w:r>
          </w:p>
        </w:tc>
      </w:tr>
      <w:tr w:rsidR="004544B2" w:rsidRPr="0031297B" w:rsidTr="00856EDE">
        <w:trPr>
          <w:trHeight w:val="220"/>
        </w:trPr>
        <w:tc>
          <w:tcPr>
            <w:tcW w:w="0" w:type="auto"/>
          </w:tcPr>
          <w:p w:rsidR="004544B2" w:rsidRPr="0031297B" w:rsidRDefault="004544B2" w:rsidP="006F2C2B">
            <w:pPr>
              <w:autoSpaceDE w:val="0"/>
              <w:autoSpaceDN w:val="0"/>
              <w:adjustRightInd w:val="0"/>
              <w:jc w:val="both"/>
              <w:rPr>
                <w:rFonts w:ascii="Arial" w:hAnsi="Arial" w:cs="Arial"/>
                <w:sz w:val="24"/>
                <w:szCs w:val="24"/>
              </w:rPr>
            </w:pPr>
            <w:r w:rsidRPr="0031297B">
              <w:rPr>
                <w:rFonts w:ascii="Arial" w:hAnsi="Arial" w:cs="Arial"/>
                <w:sz w:val="24"/>
                <w:szCs w:val="24"/>
              </w:rPr>
              <w:lastRenderedPageBreak/>
              <w:t>Humedad residual</w:t>
            </w:r>
          </w:p>
        </w:tc>
        <w:tc>
          <w:tcPr>
            <w:tcW w:w="0" w:type="auto"/>
          </w:tcPr>
          <w:p w:rsidR="004544B2" w:rsidRPr="0031297B" w:rsidRDefault="004544B2" w:rsidP="006F2C2B">
            <w:pPr>
              <w:autoSpaceDE w:val="0"/>
              <w:autoSpaceDN w:val="0"/>
              <w:adjustRightInd w:val="0"/>
              <w:jc w:val="center"/>
              <w:rPr>
                <w:rFonts w:ascii="Arial" w:hAnsi="Arial" w:cs="Arial"/>
                <w:sz w:val="24"/>
                <w:szCs w:val="24"/>
              </w:rPr>
            </w:pPr>
            <w:r w:rsidRPr="0031297B">
              <w:rPr>
                <w:rFonts w:ascii="Arial" w:hAnsi="Arial" w:cs="Arial"/>
                <w:sz w:val="24"/>
                <w:szCs w:val="24"/>
              </w:rPr>
              <w:t>%</w:t>
            </w:r>
          </w:p>
        </w:tc>
        <w:tc>
          <w:tcPr>
            <w:tcW w:w="0" w:type="auto"/>
          </w:tcPr>
          <w:p w:rsidR="004544B2" w:rsidRPr="0031297B" w:rsidRDefault="004544B2" w:rsidP="006F2C2B">
            <w:pPr>
              <w:autoSpaceDE w:val="0"/>
              <w:autoSpaceDN w:val="0"/>
              <w:adjustRightInd w:val="0"/>
              <w:ind w:right="293"/>
              <w:jc w:val="right"/>
              <w:rPr>
                <w:rFonts w:ascii="Arial" w:hAnsi="Arial" w:cs="Arial"/>
                <w:sz w:val="24"/>
                <w:szCs w:val="24"/>
              </w:rPr>
            </w:pPr>
            <w:r w:rsidRPr="0031297B">
              <w:rPr>
                <w:rFonts w:ascii="Arial" w:hAnsi="Arial" w:cs="Arial"/>
                <w:sz w:val="24"/>
                <w:szCs w:val="24"/>
              </w:rPr>
              <w:t>14.20</w:t>
            </w:r>
          </w:p>
        </w:tc>
      </w:tr>
      <w:tr w:rsidR="004544B2" w:rsidRPr="0031297B" w:rsidTr="00856EDE">
        <w:trPr>
          <w:trHeight w:val="206"/>
        </w:trPr>
        <w:tc>
          <w:tcPr>
            <w:tcW w:w="0" w:type="auto"/>
          </w:tcPr>
          <w:p w:rsidR="004544B2" w:rsidRPr="0031297B" w:rsidRDefault="004544B2" w:rsidP="006F2C2B">
            <w:pPr>
              <w:autoSpaceDE w:val="0"/>
              <w:autoSpaceDN w:val="0"/>
              <w:adjustRightInd w:val="0"/>
              <w:jc w:val="both"/>
              <w:rPr>
                <w:rFonts w:ascii="Arial" w:hAnsi="Arial" w:cs="Arial"/>
                <w:sz w:val="24"/>
                <w:szCs w:val="24"/>
              </w:rPr>
            </w:pPr>
            <w:r w:rsidRPr="0031297B">
              <w:rPr>
                <w:rFonts w:ascii="Arial" w:hAnsi="Arial" w:cs="Arial"/>
                <w:sz w:val="24"/>
                <w:szCs w:val="24"/>
              </w:rPr>
              <w:t>Poder calorífico - Base bruta</w:t>
            </w:r>
          </w:p>
        </w:tc>
        <w:tc>
          <w:tcPr>
            <w:tcW w:w="0" w:type="auto"/>
          </w:tcPr>
          <w:p w:rsidR="004544B2" w:rsidRPr="0031297B" w:rsidRDefault="004544B2" w:rsidP="006F2C2B">
            <w:pPr>
              <w:autoSpaceDE w:val="0"/>
              <w:autoSpaceDN w:val="0"/>
              <w:adjustRightInd w:val="0"/>
              <w:jc w:val="center"/>
              <w:rPr>
                <w:rFonts w:ascii="Arial" w:hAnsi="Arial" w:cs="Arial"/>
                <w:sz w:val="24"/>
                <w:szCs w:val="24"/>
              </w:rPr>
            </w:pPr>
            <w:r w:rsidRPr="0031297B">
              <w:rPr>
                <w:rFonts w:ascii="Arial" w:hAnsi="Arial" w:cs="Arial"/>
                <w:sz w:val="24"/>
                <w:szCs w:val="24"/>
              </w:rPr>
              <w:t>cal/g</w:t>
            </w:r>
          </w:p>
        </w:tc>
        <w:tc>
          <w:tcPr>
            <w:tcW w:w="0" w:type="auto"/>
          </w:tcPr>
          <w:p w:rsidR="004544B2" w:rsidRPr="0031297B" w:rsidRDefault="004544B2" w:rsidP="006F2C2B">
            <w:pPr>
              <w:autoSpaceDE w:val="0"/>
              <w:autoSpaceDN w:val="0"/>
              <w:adjustRightInd w:val="0"/>
              <w:ind w:right="293"/>
              <w:jc w:val="right"/>
              <w:rPr>
                <w:rFonts w:ascii="Arial" w:hAnsi="Arial" w:cs="Arial"/>
                <w:sz w:val="24"/>
                <w:szCs w:val="24"/>
              </w:rPr>
            </w:pPr>
            <w:r w:rsidRPr="0031297B">
              <w:rPr>
                <w:rFonts w:ascii="Arial" w:hAnsi="Arial" w:cs="Arial"/>
                <w:sz w:val="24"/>
                <w:szCs w:val="24"/>
              </w:rPr>
              <w:t>5730</w:t>
            </w:r>
          </w:p>
        </w:tc>
      </w:tr>
    </w:tbl>
    <w:p w:rsidR="0082598F" w:rsidRDefault="0082598F" w:rsidP="006F2C2B">
      <w:pPr>
        <w:pStyle w:val="Sinespaciado"/>
        <w:jc w:val="both"/>
        <w:rPr>
          <w:rFonts w:ascii="Arial" w:hAnsi="Arial"/>
          <w:b/>
          <w:sz w:val="24"/>
          <w:szCs w:val="24"/>
        </w:rPr>
      </w:pPr>
    </w:p>
    <w:p w:rsidR="00C8518F" w:rsidRPr="0031297B" w:rsidRDefault="009168A9" w:rsidP="006F2C2B">
      <w:pPr>
        <w:pStyle w:val="Sinespaciado"/>
        <w:jc w:val="both"/>
        <w:rPr>
          <w:rFonts w:ascii="Arial" w:hAnsi="Arial"/>
          <w:b/>
          <w:sz w:val="24"/>
          <w:szCs w:val="24"/>
        </w:rPr>
      </w:pPr>
      <w:r w:rsidRPr="0031297B">
        <w:rPr>
          <w:rFonts w:ascii="Arial" w:hAnsi="Arial"/>
          <w:b/>
          <w:sz w:val="24"/>
          <w:szCs w:val="24"/>
        </w:rPr>
        <w:t xml:space="preserve">Biodepiritización del carbón </w:t>
      </w:r>
    </w:p>
    <w:p w:rsidR="009168A9" w:rsidRPr="0031297B" w:rsidRDefault="009168A9" w:rsidP="006F2C2B">
      <w:pPr>
        <w:pStyle w:val="Sinespaciado"/>
        <w:jc w:val="both"/>
        <w:rPr>
          <w:rFonts w:ascii="Arial" w:hAnsi="Arial"/>
          <w:b/>
          <w:sz w:val="24"/>
          <w:szCs w:val="24"/>
        </w:rPr>
      </w:pPr>
      <w:r w:rsidRPr="0031297B">
        <w:rPr>
          <w:rFonts w:ascii="Arial" w:hAnsi="Arial"/>
          <w:b/>
          <w:sz w:val="24"/>
          <w:szCs w:val="24"/>
        </w:rPr>
        <w:t>Mediciones de pH y potencial redox (Eh)</w:t>
      </w:r>
    </w:p>
    <w:p w:rsidR="00C76668" w:rsidRDefault="009168A9" w:rsidP="006F2C2B">
      <w:pPr>
        <w:pStyle w:val="Sinespaciado"/>
        <w:jc w:val="both"/>
        <w:rPr>
          <w:rFonts w:ascii="Arial" w:hAnsi="Arial"/>
          <w:sz w:val="24"/>
          <w:szCs w:val="24"/>
        </w:rPr>
      </w:pPr>
      <w:r w:rsidRPr="0031297B">
        <w:rPr>
          <w:rFonts w:ascii="Arial" w:hAnsi="Arial"/>
          <w:sz w:val="24"/>
          <w:szCs w:val="24"/>
        </w:rPr>
        <w:t xml:space="preserve">El comportamiento del pH </w:t>
      </w:r>
      <w:r w:rsidR="00FA6425">
        <w:rPr>
          <w:rFonts w:ascii="Arial" w:hAnsi="Arial"/>
          <w:i/>
          <w:sz w:val="24"/>
          <w:szCs w:val="24"/>
        </w:rPr>
        <w:t xml:space="preserve">vs. </w:t>
      </w:r>
      <w:r w:rsidR="006A1C4A">
        <w:rPr>
          <w:rFonts w:ascii="Arial" w:hAnsi="Arial"/>
          <w:sz w:val="24"/>
          <w:szCs w:val="24"/>
        </w:rPr>
        <w:t>T</w:t>
      </w:r>
      <w:r w:rsidR="00D403E5">
        <w:rPr>
          <w:rFonts w:ascii="Arial" w:hAnsi="Arial"/>
          <w:sz w:val="24"/>
          <w:szCs w:val="24"/>
        </w:rPr>
        <w:t xml:space="preserve">iempo se muestra en la </w:t>
      </w:r>
      <w:r w:rsidR="00D623FD">
        <w:rPr>
          <w:rFonts w:ascii="Arial" w:hAnsi="Arial"/>
          <w:sz w:val="24"/>
          <w:szCs w:val="24"/>
        </w:rPr>
        <w:t>f</w:t>
      </w:r>
      <w:r w:rsidR="00D403E5">
        <w:rPr>
          <w:rFonts w:ascii="Arial" w:hAnsi="Arial"/>
          <w:sz w:val="24"/>
          <w:szCs w:val="24"/>
        </w:rPr>
        <w:t xml:space="preserve">igura 1. </w:t>
      </w:r>
      <w:r w:rsidRPr="0031297B">
        <w:rPr>
          <w:rFonts w:ascii="Arial" w:hAnsi="Arial"/>
          <w:sz w:val="24"/>
          <w:szCs w:val="24"/>
        </w:rPr>
        <w:t xml:space="preserve">En general, los primeros dos días del proceso se evidenció un aumento en los valores de pH, los </w:t>
      </w:r>
      <w:r w:rsidR="00C76668">
        <w:rPr>
          <w:rFonts w:ascii="Arial" w:hAnsi="Arial"/>
          <w:sz w:val="24"/>
          <w:szCs w:val="24"/>
        </w:rPr>
        <w:t>bio</w:t>
      </w:r>
      <w:r w:rsidRPr="0031297B">
        <w:rPr>
          <w:rFonts w:ascii="Arial" w:hAnsi="Arial"/>
          <w:sz w:val="24"/>
          <w:szCs w:val="24"/>
        </w:rPr>
        <w:t xml:space="preserve">ensayos </w:t>
      </w:r>
      <w:r w:rsidR="00C76668">
        <w:rPr>
          <w:rFonts w:ascii="Arial" w:hAnsi="Arial"/>
          <w:sz w:val="24"/>
          <w:szCs w:val="24"/>
        </w:rPr>
        <w:t xml:space="preserve">PC1 y PC2 alcanzaron </w:t>
      </w:r>
      <w:r w:rsidR="002056D3">
        <w:rPr>
          <w:rFonts w:ascii="Arial" w:hAnsi="Arial"/>
          <w:sz w:val="24"/>
          <w:szCs w:val="24"/>
        </w:rPr>
        <w:t>mayores valores de pH (2,10 y 2,</w:t>
      </w:r>
      <w:r w:rsidRPr="0031297B">
        <w:rPr>
          <w:rFonts w:ascii="Arial" w:hAnsi="Arial"/>
          <w:sz w:val="24"/>
          <w:szCs w:val="24"/>
        </w:rPr>
        <w:t>20 r</w:t>
      </w:r>
      <w:r w:rsidR="00C76668">
        <w:rPr>
          <w:rFonts w:ascii="Arial" w:hAnsi="Arial"/>
          <w:sz w:val="24"/>
          <w:szCs w:val="24"/>
        </w:rPr>
        <w:t>espectivamente), f</w:t>
      </w:r>
      <w:r w:rsidR="002056D3">
        <w:rPr>
          <w:rFonts w:ascii="Arial" w:hAnsi="Arial"/>
          <w:sz w:val="24"/>
          <w:szCs w:val="24"/>
        </w:rPr>
        <w:t>rente a los experimentos NC1: 1,</w:t>
      </w:r>
      <w:r w:rsidR="00C76668">
        <w:rPr>
          <w:rFonts w:ascii="Arial" w:hAnsi="Arial"/>
          <w:sz w:val="24"/>
          <w:szCs w:val="24"/>
        </w:rPr>
        <w:t>9</w:t>
      </w:r>
      <w:r w:rsidR="003408EA">
        <w:rPr>
          <w:rFonts w:ascii="Arial" w:hAnsi="Arial"/>
          <w:sz w:val="24"/>
          <w:szCs w:val="24"/>
        </w:rPr>
        <w:t>0</w:t>
      </w:r>
      <w:r w:rsidR="002056D3">
        <w:rPr>
          <w:rFonts w:ascii="Arial" w:hAnsi="Arial"/>
          <w:sz w:val="24"/>
          <w:szCs w:val="24"/>
        </w:rPr>
        <w:t xml:space="preserve"> y NC2: 2,</w:t>
      </w:r>
      <w:r w:rsidR="00C76668">
        <w:rPr>
          <w:rFonts w:ascii="Arial" w:hAnsi="Arial"/>
          <w:sz w:val="24"/>
          <w:szCs w:val="24"/>
        </w:rPr>
        <w:t>05</w:t>
      </w:r>
      <w:r w:rsidR="00FA6425">
        <w:rPr>
          <w:rFonts w:ascii="Arial" w:hAnsi="Arial"/>
          <w:i/>
          <w:sz w:val="24"/>
          <w:szCs w:val="24"/>
        </w:rPr>
        <w:t>.</w:t>
      </w:r>
      <w:r w:rsidRPr="0031297B">
        <w:rPr>
          <w:rFonts w:ascii="Arial" w:hAnsi="Arial"/>
          <w:sz w:val="24"/>
          <w:szCs w:val="24"/>
        </w:rPr>
        <w:t xml:space="preserve"> Vale la pena mencionar que al adicionar una mayor concentración de sulfato ferroso inicial (1200 mg/L), se observaron mayores valores de pH</w:t>
      </w:r>
      <w:r w:rsidR="00D92DDC">
        <w:rPr>
          <w:rFonts w:ascii="Arial" w:hAnsi="Arial"/>
          <w:sz w:val="24"/>
          <w:szCs w:val="24"/>
        </w:rPr>
        <w:t xml:space="preserve">, los primeros </w:t>
      </w:r>
      <w:r w:rsidR="00D403E5">
        <w:rPr>
          <w:rFonts w:ascii="Arial" w:hAnsi="Arial"/>
          <w:sz w:val="24"/>
          <w:szCs w:val="24"/>
        </w:rPr>
        <w:t>días</w:t>
      </w:r>
      <w:r w:rsidR="00C76668">
        <w:rPr>
          <w:rFonts w:ascii="Arial" w:hAnsi="Arial"/>
          <w:sz w:val="24"/>
          <w:szCs w:val="24"/>
        </w:rPr>
        <w:t>.</w:t>
      </w:r>
      <w:r w:rsidRPr="0031297B">
        <w:rPr>
          <w:rFonts w:ascii="Arial" w:hAnsi="Arial"/>
          <w:sz w:val="24"/>
          <w:szCs w:val="24"/>
        </w:rPr>
        <w:t xml:space="preserve"> Entre el día dos y el día cuatro, la curva presenta una caída en los valores </w:t>
      </w:r>
      <w:r w:rsidR="00C76668">
        <w:rPr>
          <w:rFonts w:ascii="Arial" w:hAnsi="Arial"/>
          <w:sz w:val="24"/>
          <w:szCs w:val="24"/>
        </w:rPr>
        <w:t>de</w:t>
      </w:r>
      <w:r w:rsidRPr="0031297B">
        <w:rPr>
          <w:rFonts w:ascii="Arial" w:hAnsi="Arial"/>
          <w:sz w:val="24"/>
          <w:szCs w:val="24"/>
        </w:rPr>
        <w:t xml:space="preserve"> todos los ensayos, especialmente en </w:t>
      </w:r>
      <w:r w:rsidR="00C76668">
        <w:rPr>
          <w:rFonts w:ascii="Arial" w:hAnsi="Arial"/>
          <w:sz w:val="24"/>
          <w:szCs w:val="24"/>
        </w:rPr>
        <w:t xml:space="preserve">aquellos </w:t>
      </w:r>
      <w:r w:rsidRPr="0031297B">
        <w:rPr>
          <w:rFonts w:ascii="Arial" w:hAnsi="Arial"/>
          <w:sz w:val="24"/>
          <w:szCs w:val="24"/>
        </w:rPr>
        <w:t>en los cuales se empleó una mayor concentración de sulfato ferroso inicial (1200</w:t>
      </w:r>
      <w:r w:rsidR="00FA6425">
        <w:rPr>
          <w:rFonts w:ascii="Arial" w:hAnsi="Arial"/>
          <w:sz w:val="24"/>
          <w:szCs w:val="24"/>
        </w:rPr>
        <w:t xml:space="preserve"> mg/L), este comportamiento se </w:t>
      </w:r>
      <w:r w:rsidRPr="0031297B">
        <w:rPr>
          <w:rFonts w:ascii="Arial" w:hAnsi="Arial"/>
          <w:sz w:val="24"/>
          <w:szCs w:val="24"/>
        </w:rPr>
        <w:t xml:space="preserve">evidenció tanto </w:t>
      </w:r>
      <w:r w:rsidR="002056D3">
        <w:rPr>
          <w:rFonts w:ascii="Arial" w:hAnsi="Arial"/>
          <w:sz w:val="24"/>
          <w:szCs w:val="24"/>
        </w:rPr>
        <w:t>para el cultivo axénico (PC2: 1,</w:t>
      </w:r>
      <w:r w:rsidRPr="0031297B">
        <w:rPr>
          <w:rFonts w:ascii="Arial" w:hAnsi="Arial"/>
          <w:sz w:val="24"/>
          <w:szCs w:val="24"/>
        </w:rPr>
        <w:t>8</w:t>
      </w:r>
      <w:r w:rsidR="003408EA">
        <w:rPr>
          <w:rFonts w:ascii="Arial" w:hAnsi="Arial"/>
          <w:sz w:val="24"/>
          <w:szCs w:val="24"/>
        </w:rPr>
        <w:t>0</w:t>
      </w:r>
      <w:r w:rsidRPr="0031297B">
        <w:rPr>
          <w:rFonts w:ascii="Arial" w:hAnsi="Arial"/>
          <w:sz w:val="24"/>
          <w:szCs w:val="24"/>
        </w:rPr>
        <w:t xml:space="preserve">), como para el aislado bacteriano compatible con </w:t>
      </w:r>
      <w:r w:rsidR="0040566C">
        <w:rPr>
          <w:rFonts w:ascii="Arial" w:hAnsi="Arial"/>
          <w:i/>
          <w:sz w:val="24"/>
          <w:szCs w:val="24"/>
        </w:rPr>
        <w:t>Acidithiobacillus</w:t>
      </w:r>
      <w:r w:rsidRPr="0031297B">
        <w:rPr>
          <w:rFonts w:ascii="Arial" w:hAnsi="Arial"/>
          <w:i/>
          <w:sz w:val="24"/>
          <w:szCs w:val="24"/>
        </w:rPr>
        <w:t xml:space="preserve"> ferrooxidans</w:t>
      </w:r>
      <w:r w:rsidR="002056D3">
        <w:rPr>
          <w:rFonts w:ascii="Arial" w:hAnsi="Arial"/>
          <w:sz w:val="24"/>
          <w:szCs w:val="24"/>
        </w:rPr>
        <w:t xml:space="preserve"> (NC2: 1,</w:t>
      </w:r>
      <w:r w:rsidRPr="0031297B">
        <w:rPr>
          <w:rFonts w:ascii="Arial" w:hAnsi="Arial"/>
          <w:sz w:val="24"/>
          <w:szCs w:val="24"/>
        </w:rPr>
        <w:t xml:space="preserve">76), tendencia que se mantuvo hasta finalizar el proceso. Vale la pena mencionar, que los ensayos en los cuales se utilizó el aislado bacteriano compatible con </w:t>
      </w:r>
      <w:r w:rsidR="0040566C">
        <w:rPr>
          <w:rFonts w:ascii="Arial" w:hAnsi="Arial"/>
          <w:i/>
          <w:sz w:val="24"/>
          <w:szCs w:val="24"/>
        </w:rPr>
        <w:t>Acidithiobacillus</w:t>
      </w:r>
      <w:r w:rsidRPr="0031297B">
        <w:rPr>
          <w:rFonts w:ascii="Arial" w:hAnsi="Arial"/>
          <w:i/>
          <w:sz w:val="24"/>
          <w:szCs w:val="24"/>
        </w:rPr>
        <w:t xml:space="preserve"> ferrooxidans</w:t>
      </w:r>
      <w:r w:rsidRPr="0031297B">
        <w:rPr>
          <w:rFonts w:ascii="Arial" w:hAnsi="Arial"/>
          <w:sz w:val="24"/>
          <w:szCs w:val="24"/>
        </w:rPr>
        <w:t>, presentaron los menores valores de pH en las dos concentraciones de sul</w:t>
      </w:r>
      <w:r w:rsidR="002056D3">
        <w:rPr>
          <w:rFonts w:ascii="Arial" w:hAnsi="Arial"/>
          <w:sz w:val="24"/>
          <w:szCs w:val="24"/>
        </w:rPr>
        <w:t>fato ferroso estudiadas (NC1: 1,</w:t>
      </w:r>
      <w:r w:rsidRPr="0031297B">
        <w:rPr>
          <w:rFonts w:ascii="Arial" w:hAnsi="Arial"/>
          <w:sz w:val="24"/>
          <w:szCs w:val="24"/>
        </w:rPr>
        <w:t xml:space="preserve">52 y </w:t>
      </w:r>
      <w:r w:rsidR="002056D3">
        <w:rPr>
          <w:rFonts w:ascii="Arial" w:hAnsi="Arial"/>
          <w:sz w:val="24"/>
          <w:szCs w:val="24"/>
        </w:rPr>
        <w:t>NC2: 1,</w:t>
      </w:r>
      <w:r w:rsidR="00005466">
        <w:rPr>
          <w:rFonts w:ascii="Arial" w:hAnsi="Arial"/>
          <w:sz w:val="24"/>
          <w:szCs w:val="24"/>
        </w:rPr>
        <w:t>47), después de 12 días</w:t>
      </w:r>
      <w:r w:rsidR="00A95252">
        <w:rPr>
          <w:rFonts w:ascii="Arial" w:hAnsi="Arial"/>
          <w:sz w:val="24"/>
          <w:szCs w:val="24"/>
        </w:rPr>
        <w:t xml:space="preserve"> de experimentación</w:t>
      </w:r>
      <w:r w:rsidRPr="0031297B">
        <w:rPr>
          <w:rFonts w:ascii="Arial" w:hAnsi="Arial"/>
          <w:sz w:val="24"/>
          <w:szCs w:val="24"/>
        </w:rPr>
        <w:t xml:space="preserve">. </w:t>
      </w:r>
    </w:p>
    <w:p w:rsidR="00C76668" w:rsidRDefault="00C76668" w:rsidP="006F2C2B">
      <w:pPr>
        <w:pStyle w:val="Sinespaciado"/>
        <w:jc w:val="both"/>
        <w:rPr>
          <w:rFonts w:ascii="Arial" w:hAnsi="Arial"/>
          <w:sz w:val="24"/>
          <w:szCs w:val="24"/>
        </w:rPr>
      </w:pPr>
    </w:p>
    <w:p w:rsidR="003567D7" w:rsidRPr="003567D7" w:rsidRDefault="009168A9" w:rsidP="006F2C2B">
      <w:pPr>
        <w:pStyle w:val="Sinespaciado"/>
        <w:jc w:val="both"/>
        <w:rPr>
          <w:rFonts w:ascii="Arial" w:hAnsi="Arial"/>
          <w:color w:val="000000" w:themeColor="text1"/>
          <w:sz w:val="24"/>
          <w:szCs w:val="24"/>
        </w:rPr>
      </w:pPr>
      <w:r w:rsidRPr="0031297B">
        <w:rPr>
          <w:rFonts w:ascii="Arial" w:hAnsi="Arial"/>
          <w:color w:val="000000" w:themeColor="text1"/>
          <w:sz w:val="24"/>
          <w:szCs w:val="24"/>
        </w:rPr>
        <w:t>Por otra parte, los controles presentaron un aumento en los valores de pH los primeros dos días del p</w:t>
      </w:r>
      <w:r w:rsidR="00D403E5">
        <w:rPr>
          <w:rFonts w:ascii="Arial" w:hAnsi="Arial"/>
          <w:color w:val="000000" w:themeColor="text1"/>
          <w:sz w:val="24"/>
          <w:szCs w:val="24"/>
        </w:rPr>
        <w:t xml:space="preserve">roceso, sin embargo después del día dos, </w:t>
      </w:r>
      <w:r w:rsidR="003B213A">
        <w:rPr>
          <w:rFonts w:ascii="Arial" w:hAnsi="Arial"/>
          <w:color w:val="000000" w:themeColor="text1"/>
          <w:sz w:val="24"/>
          <w:szCs w:val="24"/>
        </w:rPr>
        <w:t xml:space="preserve">el pH </w:t>
      </w:r>
      <w:r w:rsidRPr="0031297B">
        <w:rPr>
          <w:rFonts w:ascii="Arial" w:hAnsi="Arial"/>
          <w:color w:val="000000" w:themeColor="text1"/>
          <w:sz w:val="24"/>
          <w:szCs w:val="24"/>
        </w:rPr>
        <w:t>se mantuvo</w:t>
      </w:r>
      <w:r w:rsidR="00D403E5">
        <w:rPr>
          <w:rFonts w:ascii="Arial" w:hAnsi="Arial"/>
          <w:color w:val="000000" w:themeColor="text1"/>
          <w:sz w:val="24"/>
          <w:szCs w:val="24"/>
        </w:rPr>
        <w:t xml:space="preserve"> sin cambios</w:t>
      </w:r>
      <w:r w:rsidRPr="0031297B">
        <w:rPr>
          <w:rFonts w:ascii="Arial" w:hAnsi="Arial"/>
          <w:color w:val="000000" w:themeColor="text1"/>
          <w:sz w:val="24"/>
          <w:szCs w:val="24"/>
        </w:rPr>
        <w:t>, finalizando el proceso con un pH cercano al inicial.</w:t>
      </w:r>
    </w:p>
    <w:p w:rsidR="009168A9" w:rsidRPr="0031297B" w:rsidRDefault="009168A9" w:rsidP="006F2C2B">
      <w:pPr>
        <w:pStyle w:val="Sinespaciado"/>
        <w:jc w:val="center"/>
        <w:rPr>
          <w:rFonts w:ascii="Arial" w:hAnsi="Arial"/>
          <w:b/>
          <w:sz w:val="24"/>
          <w:szCs w:val="24"/>
        </w:rPr>
      </w:pPr>
      <w:r w:rsidRPr="0031297B">
        <w:rPr>
          <w:rFonts w:ascii="Arial" w:hAnsi="Arial"/>
          <w:b/>
          <w:noProof/>
          <w:sz w:val="24"/>
          <w:szCs w:val="24"/>
          <w:shd w:val="clear" w:color="auto" w:fill="FFFFFF"/>
          <w:lang w:eastAsia="es-CO"/>
        </w:rPr>
        <w:drawing>
          <wp:inline distT="0" distB="0" distL="0" distR="0">
            <wp:extent cx="3240000" cy="2527200"/>
            <wp:effectExtent l="0" t="0" r="0" b="6985"/>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preferRelativeResize="0">
                      <a:picLocks noChangeAspect="1" noChangeArrowheads="1"/>
                    </pic:cNvPicPr>
                  </pic:nvPicPr>
                  <pic:blipFill>
                    <a:blip r:embed="rId8"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9">
                              <a14:imgEffect>
                                <a14:sharpenSoften amount="5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40000" cy="2527200"/>
                    </a:xfrm>
                    <a:prstGeom prst="rect">
                      <a:avLst/>
                    </a:prstGeom>
                    <a:noFill/>
                  </pic:spPr>
                </pic:pic>
              </a:graphicData>
            </a:graphic>
          </wp:inline>
        </w:drawing>
      </w:r>
    </w:p>
    <w:p w:rsidR="009168A9" w:rsidRPr="0031297B" w:rsidRDefault="009168A9" w:rsidP="006F2C2B">
      <w:pPr>
        <w:pStyle w:val="Sinespaciado"/>
        <w:jc w:val="center"/>
        <w:rPr>
          <w:rFonts w:ascii="Arial" w:hAnsi="Arial"/>
          <w:b/>
          <w:sz w:val="24"/>
          <w:szCs w:val="24"/>
        </w:rPr>
      </w:pPr>
      <w:r w:rsidRPr="0031297B">
        <w:rPr>
          <w:rFonts w:ascii="Arial" w:hAnsi="Arial"/>
          <w:b/>
          <w:noProof/>
          <w:sz w:val="24"/>
          <w:szCs w:val="24"/>
          <w:shd w:val="clear" w:color="auto" w:fill="FFFFFF"/>
          <w:lang w:eastAsia="es-CO"/>
        </w:rPr>
        <w:lastRenderedPageBreak/>
        <w:drawing>
          <wp:inline distT="0" distB="0" distL="0" distR="0">
            <wp:extent cx="3240000" cy="2527200"/>
            <wp:effectExtent l="0" t="0" r="0" b="6985"/>
            <wp:docPr id="17" name="Imagen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preferRelativeResize="0">
                      <a:picLocks noChangeAspect="1" noChangeArrowheads="1"/>
                    </pic:cNvPicPr>
                  </pic:nvPicPr>
                  <pic:blipFill>
                    <a:blip r:embed="rId10"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1">
                              <a14:imgEffect>
                                <a14:sharpenSoften amount="5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40000" cy="2527200"/>
                    </a:xfrm>
                    <a:prstGeom prst="rect">
                      <a:avLst/>
                    </a:prstGeom>
                    <a:noFill/>
                  </pic:spPr>
                </pic:pic>
              </a:graphicData>
            </a:graphic>
          </wp:inline>
        </w:drawing>
      </w:r>
    </w:p>
    <w:p w:rsidR="00302942" w:rsidRDefault="00CB2B5B" w:rsidP="006F2C2B">
      <w:pPr>
        <w:pStyle w:val="Sinespaciado"/>
        <w:jc w:val="both"/>
        <w:rPr>
          <w:rFonts w:ascii="Arial" w:hAnsi="Arial"/>
          <w:sz w:val="24"/>
          <w:szCs w:val="24"/>
        </w:rPr>
      </w:pPr>
      <w:r>
        <w:rPr>
          <w:rFonts w:ascii="Arial" w:hAnsi="Arial"/>
          <w:b/>
          <w:sz w:val="24"/>
          <w:szCs w:val="24"/>
        </w:rPr>
        <w:t>Figura 1</w:t>
      </w:r>
      <w:r w:rsidR="004A7CFD">
        <w:rPr>
          <w:rFonts w:ascii="Arial" w:hAnsi="Arial"/>
          <w:b/>
          <w:sz w:val="24"/>
          <w:szCs w:val="24"/>
        </w:rPr>
        <w:t>.</w:t>
      </w:r>
      <w:r w:rsidR="004A7CFD" w:rsidRPr="0031297B">
        <w:rPr>
          <w:rFonts w:ascii="Arial" w:hAnsi="Arial"/>
          <w:sz w:val="24"/>
          <w:szCs w:val="24"/>
        </w:rPr>
        <w:t xml:space="preserve"> </w:t>
      </w:r>
      <w:r w:rsidR="009168A9" w:rsidRPr="0031297B">
        <w:rPr>
          <w:rFonts w:ascii="Arial" w:hAnsi="Arial"/>
          <w:sz w:val="24"/>
          <w:szCs w:val="24"/>
        </w:rPr>
        <w:t>Co</w:t>
      </w:r>
      <w:r w:rsidR="00005466">
        <w:rPr>
          <w:rFonts w:ascii="Arial" w:hAnsi="Arial"/>
          <w:sz w:val="24"/>
          <w:szCs w:val="24"/>
        </w:rPr>
        <w:t xml:space="preserve">mportamiento del pH </w:t>
      </w:r>
      <w:r w:rsidR="00FA6425" w:rsidRPr="0087317D">
        <w:rPr>
          <w:rFonts w:ascii="Arial" w:hAnsi="Arial"/>
          <w:i/>
          <w:sz w:val="24"/>
          <w:szCs w:val="24"/>
        </w:rPr>
        <w:t>vs</w:t>
      </w:r>
      <w:r w:rsidR="00FA6425">
        <w:rPr>
          <w:rFonts w:ascii="Arial" w:hAnsi="Arial"/>
          <w:sz w:val="24"/>
          <w:szCs w:val="24"/>
        </w:rPr>
        <w:t xml:space="preserve">. </w:t>
      </w:r>
      <w:r w:rsidR="005A1E34">
        <w:rPr>
          <w:rFonts w:ascii="Arial" w:hAnsi="Arial"/>
          <w:sz w:val="24"/>
          <w:szCs w:val="24"/>
        </w:rPr>
        <w:t>Tiempo</w:t>
      </w:r>
      <w:r w:rsidR="00005466">
        <w:rPr>
          <w:rFonts w:ascii="Arial" w:hAnsi="Arial"/>
          <w:sz w:val="24"/>
          <w:szCs w:val="24"/>
        </w:rPr>
        <w:t xml:space="preserve">. </w:t>
      </w:r>
      <w:r w:rsidR="00804ADD">
        <w:rPr>
          <w:rFonts w:ascii="Arial" w:hAnsi="Arial"/>
          <w:sz w:val="24"/>
          <w:szCs w:val="24"/>
        </w:rPr>
        <w:t>(a</w:t>
      </w:r>
      <w:r w:rsidR="009168A9" w:rsidRPr="0031297B">
        <w:rPr>
          <w:rFonts w:ascii="Arial" w:hAnsi="Arial"/>
          <w:sz w:val="24"/>
          <w:szCs w:val="24"/>
        </w:rPr>
        <w:t xml:space="preserve">) </w:t>
      </w:r>
      <w:r w:rsidR="00804ADD">
        <w:rPr>
          <w:rFonts w:ascii="Arial" w:hAnsi="Arial"/>
          <w:sz w:val="24"/>
          <w:szCs w:val="24"/>
        </w:rPr>
        <w:t>h</w:t>
      </w:r>
      <w:r w:rsidR="00995F34">
        <w:rPr>
          <w:rFonts w:ascii="Arial" w:hAnsi="Arial"/>
          <w:sz w:val="24"/>
          <w:szCs w:val="24"/>
        </w:rPr>
        <w:t xml:space="preserve">ierro total: </w:t>
      </w:r>
      <w:r w:rsidR="009168A9" w:rsidRPr="0031297B">
        <w:rPr>
          <w:rFonts w:ascii="Arial" w:hAnsi="Arial"/>
          <w:sz w:val="24"/>
          <w:szCs w:val="24"/>
        </w:rPr>
        <w:t>200 mg</w:t>
      </w:r>
      <w:r w:rsidR="0087317D">
        <w:rPr>
          <w:rFonts w:ascii="Arial" w:hAnsi="Arial"/>
          <w:sz w:val="24"/>
          <w:szCs w:val="24"/>
        </w:rPr>
        <w:t>/L</w:t>
      </w:r>
      <w:r w:rsidR="00804ADD">
        <w:rPr>
          <w:rFonts w:ascii="Arial" w:hAnsi="Arial"/>
          <w:sz w:val="24"/>
          <w:szCs w:val="24"/>
        </w:rPr>
        <w:t xml:space="preserve"> (b</w:t>
      </w:r>
      <w:r w:rsidR="00005466">
        <w:rPr>
          <w:rFonts w:ascii="Arial" w:hAnsi="Arial"/>
          <w:sz w:val="24"/>
          <w:szCs w:val="24"/>
        </w:rPr>
        <w:t xml:space="preserve">) </w:t>
      </w:r>
      <w:r w:rsidR="00804ADD">
        <w:rPr>
          <w:rFonts w:ascii="Arial" w:hAnsi="Arial"/>
          <w:sz w:val="24"/>
          <w:szCs w:val="24"/>
        </w:rPr>
        <w:t>h</w:t>
      </w:r>
      <w:r w:rsidR="00995F34">
        <w:rPr>
          <w:rFonts w:ascii="Arial" w:hAnsi="Arial"/>
          <w:sz w:val="24"/>
          <w:szCs w:val="24"/>
        </w:rPr>
        <w:t xml:space="preserve">ierro total: </w:t>
      </w:r>
      <w:r w:rsidR="0087317D">
        <w:rPr>
          <w:rFonts w:ascii="Arial" w:hAnsi="Arial"/>
          <w:sz w:val="24"/>
          <w:szCs w:val="24"/>
        </w:rPr>
        <w:t>1200 mg/L</w:t>
      </w:r>
      <w:r w:rsidR="009168A9" w:rsidRPr="0031297B">
        <w:rPr>
          <w:rFonts w:ascii="Arial" w:hAnsi="Arial"/>
          <w:sz w:val="24"/>
          <w:szCs w:val="24"/>
        </w:rPr>
        <w:t>. P: ATC</w:t>
      </w:r>
      <w:r w:rsidR="00302942" w:rsidRPr="0031297B">
        <w:rPr>
          <w:rFonts w:ascii="Arial" w:hAnsi="Arial"/>
          <w:sz w:val="24"/>
          <w:szCs w:val="24"/>
        </w:rPr>
        <w:t>C 23270, N: aislado bacteriano</w:t>
      </w:r>
      <w:r w:rsidR="009168A9" w:rsidRPr="0031297B">
        <w:rPr>
          <w:rFonts w:ascii="Arial" w:hAnsi="Arial"/>
          <w:sz w:val="24"/>
          <w:szCs w:val="24"/>
        </w:rPr>
        <w:t xml:space="preserve"> compatible con </w:t>
      </w:r>
      <w:r w:rsidR="0040566C">
        <w:rPr>
          <w:rFonts w:ascii="Arial" w:hAnsi="Arial"/>
          <w:i/>
          <w:sz w:val="24"/>
          <w:szCs w:val="24"/>
        </w:rPr>
        <w:t>Acidithiobacillus</w:t>
      </w:r>
      <w:r w:rsidR="009168A9" w:rsidRPr="0031297B">
        <w:rPr>
          <w:rFonts w:ascii="Arial" w:hAnsi="Arial"/>
          <w:i/>
          <w:sz w:val="24"/>
          <w:szCs w:val="24"/>
        </w:rPr>
        <w:t xml:space="preserve"> ferrooxidans,</w:t>
      </w:r>
      <w:r w:rsidR="0087317D">
        <w:rPr>
          <w:rFonts w:ascii="Arial" w:hAnsi="Arial"/>
          <w:sz w:val="24"/>
          <w:szCs w:val="24"/>
        </w:rPr>
        <w:t xml:space="preserve"> C1: 200 mg/L, C2: 1200 mg/L</w:t>
      </w:r>
      <w:r w:rsidR="009168A9" w:rsidRPr="0031297B">
        <w:rPr>
          <w:rFonts w:ascii="Arial" w:hAnsi="Arial"/>
          <w:sz w:val="24"/>
          <w:szCs w:val="24"/>
        </w:rPr>
        <w:t>, B: control negativo.</w:t>
      </w:r>
    </w:p>
    <w:p w:rsidR="00181E9E" w:rsidRPr="0031297B" w:rsidRDefault="00181E9E" w:rsidP="006F2C2B">
      <w:pPr>
        <w:pStyle w:val="Sinespaciado"/>
        <w:jc w:val="both"/>
        <w:rPr>
          <w:rFonts w:ascii="Arial" w:hAnsi="Arial"/>
          <w:sz w:val="24"/>
          <w:szCs w:val="24"/>
        </w:rPr>
      </w:pPr>
    </w:p>
    <w:p w:rsidR="00302942" w:rsidRPr="00813300" w:rsidRDefault="00CB2B5B" w:rsidP="006F2C2B">
      <w:pPr>
        <w:pStyle w:val="Sinespaciado"/>
        <w:jc w:val="both"/>
        <w:rPr>
          <w:rFonts w:ascii="Arial" w:hAnsi="Arial" w:cs="Calibri"/>
          <w:sz w:val="24"/>
          <w:szCs w:val="24"/>
        </w:rPr>
      </w:pPr>
      <w:r>
        <w:rPr>
          <w:rFonts w:ascii="Arial" w:hAnsi="Arial"/>
          <w:sz w:val="24"/>
          <w:szCs w:val="24"/>
        </w:rPr>
        <w:t xml:space="preserve">La </w:t>
      </w:r>
      <w:r w:rsidR="00D623FD">
        <w:rPr>
          <w:rFonts w:ascii="Arial" w:hAnsi="Arial"/>
          <w:sz w:val="24"/>
          <w:szCs w:val="24"/>
        </w:rPr>
        <w:t>f</w:t>
      </w:r>
      <w:r>
        <w:rPr>
          <w:rFonts w:ascii="Arial" w:hAnsi="Arial"/>
          <w:sz w:val="24"/>
          <w:szCs w:val="24"/>
        </w:rPr>
        <w:t>igura 2</w:t>
      </w:r>
      <w:r w:rsidR="00302942" w:rsidRPr="0031297B">
        <w:rPr>
          <w:rFonts w:ascii="Arial" w:hAnsi="Arial"/>
          <w:b/>
          <w:sz w:val="24"/>
          <w:szCs w:val="24"/>
        </w:rPr>
        <w:t xml:space="preserve"> </w:t>
      </w:r>
      <w:r w:rsidR="00813300">
        <w:rPr>
          <w:rFonts w:ascii="Arial" w:hAnsi="Arial"/>
          <w:sz w:val="24"/>
          <w:szCs w:val="24"/>
        </w:rPr>
        <w:t xml:space="preserve">muestra el comportamiento del Eh </w:t>
      </w:r>
      <w:r w:rsidR="00813300" w:rsidRPr="00D46BEB">
        <w:rPr>
          <w:rFonts w:ascii="Arial" w:hAnsi="Arial"/>
          <w:i/>
          <w:sz w:val="24"/>
          <w:szCs w:val="24"/>
        </w:rPr>
        <w:t>vs</w:t>
      </w:r>
      <w:r w:rsidR="00D46BEB">
        <w:rPr>
          <w:rFonts w:ascii="Arial" w:hAnsi="Arial"/>
          <w:i/>
          <w:sz w:val="24"/>
          <w:szCs w:val="24"/>
        </w:rPr>
        <w:t>.</w:t>
      </w:r>
      <w:r w:rsidR="00D46BEB">
        <w:rPr>
          <w:rFonts w:ascii="Arial" w:hAnsi="Arial"/>
          <w:sz w:val="24"/>
          <w:szCs w:val="24"/>
        </w:rPr>
        <w:t xml:space="preserve"> T</w:t>
      </w:r>
      <w:r w:rsidR="00302942" w:rsidRPr="0031297B">
        <w:rPr>
          <w:rFonts w:ascii="Arial" w:hAnsi="Arial"/>
          <w:sz w:val="24"/>
          <w:szCs w:val="24"/>
        </w:rPr>
        <w:t>iempo. A nivel general,</w:t>
      </w:r>
      <w:r w:rsidR="005A1E34">
        <w:rPr>
          <w:rFonts w:ascii="Arial" w:hAnsi="Arial"/>
          <w:sz w:val="24"/>
          <w:szCs w:val="24"/>
        </w:rPr>
        <w:t xml:space="preserve"> todos</w:t>
      </w:r>
      <w:r w:rsidR="00302942" w:rsidRPr="0031297B">
        <w:rPr>
          <w:rFonts w:ascii="Arial" w:hAnsi="Arial"/>
          <w:sz w:val="24"/>
          <w:szCs w:val="24"/>
        </w:rPr>
        <w:t xml:space="preserve"> los </w:t>
      </w:r>
      <w:r w:rsidR="00813300">
        <w:rPr>
          <w:rFonts w:ascii="Arial" w:hAnsi="Arial"/>
          <w:sz w:val="24"/>
          <w:szCs w:val="24"/>
        </w:rPr>
        <w:t>bioensayos</w:t>
      </w:r>
      <w:r w:rsidR="00302942" w:rsidRPr="0031297B">
        <w:rPr>
          <w:rFonts w:ascii="Arial" w:hAnsi="Arial"/>
          <w:sz w:val="24"/>
          <w:szCs w:val="24"/>
        </w:rPr>
        <w:t xml:space="preserve"> presentaron un continuo aumento en los val</w:t>
      </w:r>
      <w:r w:rsidR="009D2B66">
        <w:rPr>
          <w:rFonts w:ascii="Arial" w:hAnsi="Arial"/>
          <w:sz w:val="24"/>
          <w:szCs w:val="24"/>
        </w:rPr>
        <w:t>ores del Eh a lo largo de</w:t>
      </w:r>
      <w:r w:rsidR="00302942" w:rsidRPr="0031297B">
        <w:rPr>
          <w:rFonts w:ascii="Arial" w:hAnsi="Arial"/>
          <w:sz w:val="24"/>
          <w:szCs w:val="24"/>
        </w:rPr>
        <w:t>l proceso, alcanzando valores por encima de 560 mV. C</w:t>
      </w:r>
      <w:r w:rsidR="00813300">
        <w:rPr>
          <w:rFonts w:ascii="Arial" w:hAnsi="Arial"/>
          <w:sz w:val="24"/>
          <w:szCs w:val="24"/>
        </w:rPr>
        <w:t>abe mencionar que l</w:t>
      </w:r>
      <w:r w:rsidR="00302942" w:rsidRPr="0031297B">
        <w:rPr>
          <w:rFonts w:ascii="Arial" w:hAnsi="Arial"/>
          <w:sz w:val="24"/>
          <w:szCs w:val="24"/>
        </w:rPr>
        <w:t xml:space="preserve">os ensayos </w:t>
      </w:r>
      <w:r w:rsidR="00813300">
        <w:rPr>
          <w:rFonts w:ascii="Arial" w:hAnsi="Arial"/>
          <w:sz w:val="24"/>
          <w:szCs w:val="24"/>
        </w:rPr>
        <w:t xml:space="preserve">con mayor concentración de hierro total </w:t>
      </w:r>
      <w:r w:rsidR="00F25E01">
        <w:rPr>
          <w:rFonts w:ascii="Arial" w:hAnsi="Arial"/>
          <w:sz w:val="24"/>
          <w:szCs w:val="24"/>
        </w:rPr>
        <w:t>(1200mg/L</w:t>
      </w:r>
      <w:r w:rsidR="00302942" w:rsidRPr="0031297B">
        <w:rPr>
          <w:rFonts w:ascii="Arial" w:hAnsi="Arial"/>
          <w:sz w:val="24"/>
          <w:szCs w:val="24"/>
        </w:rPr>
        <w:t>) empezaron el proceso con menores valores de Eh (NC2:</w:t>
      </w:r>
      <w:r w:rsidR="00B20094">
        <w:rPr>
          <w:rFonts w:ascii="Arial" w:hAnsi="Arial"/>
          <w:sz w:val="24"/>
          <w:szCs w:val="24"/>
        </w:rPr>
        <w:t xml:space="preserve"> </w:t>
      </w:r>
      <w:r w:rsidR="00813300">
        <w:rPr>
          <w:rFonts w:ascii="Arial" w:hAnsi="Arial"/>
          <w:sz w:val="24"/>
          <w:szCs w:val="24"/>
        </w:rPr>
        <w:t>350 mV</w:t>
      </w:r>
      <w:r w:rsidR="00302942" w:rsidRPr="0031297B">
        <w:rPr>
          <w:rFonts w:ascii="Arial" w:hAnsi="Arial"/>
          <w:sz w:val="24"/>
          <w:szCs w:val="24"/>
        </w:rPr>
        <w:t xml:space="preserve"> PC2: 300 mV)</w:t>
      </w:r>
      <w:r w:rsidR="005A1E34">
        <w:rPr>
          <w:rFonts w:ascii="Arial" w:hAnsi="Arial"/>
          <w:sz w:val="24"/>
          <w:szCs w:val="24"/>
        </w:rPr>
        <w:t xml:space="preserve"> en comparación </w:t>
      </w:r>
      <w:r w:rsidR="005A1E34" w:rsidRPr="000F78F8">
        <w:rPr>
          <w:rFonts w:ascii="Arial" w:hAnsi="Arial"/>
          <w:sz w:val="24"/>
          <w:szCs w:val="24"/>
        </w:rPr>
        <w:t>con los ensayos NC1 y PC1 (</w:t>
      </w:r>
      <w:r w:rsidR="000F78F8">
        <w:rPr>
          <w:rFonts w:ascii="Arial" w:hAnsi="Arial"/>
          <w:sz w:val="24"/>
          <w:szCs w:val="24"/>
        </w:rPr>
        <w:t>390 mV y 400</w:t>
      </w:r>
      <w:r w:rsidR="000F78F8" w:rsidRPr="000F78F8">
        <w:rPr>
          <w:rFonts w:ascii="Arial" w:hAnsi="Arial"/>
          <w:sz w:val="24"/>
          <w:szCs w:val="24"/>
        </w:rPr>
        <w:t xml:space="preserve"> </w:t>
      </w:r>
      <w:r w:rsidR="000F78F8">
        <w:rPr>
          <w:rFonts w:ascii="Arial" w:hAnsi="Arial"/>
          <w:sz w:val="24"/>
          <w:szCs w:val="24"/>
        </w:rPr>
        <w:t>mV respectivamente</w:t>
      </w:r>
      <w:r w:rsidR="005A1E34" w:rsidRPr="000F78F8">
        <w:rPr>
          <w:rFonts w:ascii="Arial" w:hAnsi="Arial"/>
          <w:sz w:val="24"/>
          <w:szCs w:val="24"/>
        </w:rPr>
        <w:t>)</w:t>
      </w:r>
      <w:r w:rsidR="00813300" w:rsidRPr="000F78F8">
        <w:rPr>
          <w:rFonts w:ascii="Arial" w:hAnsi="Arial"/>
          <w:sz w:val="24"/>
          <w:szCs w:val="24"/>
        </w:rPr>
        <w:t>.</w:t>
      </w:r>
      <w:r w:rsidR="00813300">
        <w:rPr>
          <w:rFonts w:ascii="Arial" w:hAnsi="Arial"/>
          <w:sz w:val="24"/>
          <w:szCs w:val="24"/>
        </w:rPr>
        <w:t xml:space="preserve"> Adicionalmente</w:t>
      </w:r>
      <w:r w:rsidR="00302942" w:rsidRPr="0031297B">
        <w:rPr>
          <w:rFonts w:ascii="Arial" w:hAnsi="Arial"/>
          <w:sz w:val="24"/>
          <w:szCs w:val="24"/>
        </w:rPr>
        <w:t>, se observó una pequeña caída en la velocidad de incremento del Eh</w:t>
      </w:r>
      <w:r w:rsidR="00813300">
        <w:rPr>
          <w:rFonts w:ascii="Arial" w:hAnsi="Arial"/>
          <w:sz w:val="24"/>
          <w:szCs w:val="24"/>
        </w:rPr>
        <w:t xml:space="preserve"> (día 0 - 2) en</w:t>
      </w:r>
      <w:r w:rsidR="00302942" w:rsidRPr="0031297B">
        <w:rPr>
          <w:rFonts w:ascii="Arial" w:hAnsi="Arial"/>
          <w:sz w:val="24"/>
          <w:szCs w:val="24"/>
        </w:rPr>
        <w:t xml:space="preserve"> los experimentos </w:t>
      </w:r>
      <w:r w:rsidR="00813300">
        <w:rPr>
          <w:rFonts w:ascii="Arial" w:hAnsi="Arial"/>
          <w:sz w:val="24"/>
          <w:szCs w:val="24"/>
        </w:rPr>
        <w:t xml:space="preserve">a </w:t>
      </w:r>
      <w:r w:rsidR="00F25E01">
        <w:rPr>
          <w:rFonts w:ascii="Arial" w:hAnsi="Arial"/>
          <w:sz w:val="24"/>
          <w:szCs w:val="24"/>
        </w:rPr>
        <w:t>los cuales se adicionó 1200 mg/L</w:t>
      </w:r>
      <w:r w:rsidR="00302942" w:rsidRPr="0031297B">
        <w:rPr>
          <w:rFonts w:ascii="Arial" w:hAnsi="Arial"/>
          <w:sz w:val="24"/>
          <w:szCs w:val="24"/>
        </w:rPr>
        <w:t xml:space="preserve">, siendo que esta tendencia se invirtió después del día cuatro, a partir del cual, estos ensayos mostraron altos valores de Eh. </w:t>
      </w:r>
      <w:r w:rsidR="00302942" w:rsidRPr="0031297B">
        <w:rPr>
          <w:rFonts w:ascii="Arial" w:hAnsi="Arial" w:cs="Calibri"/>
          <w:sz w:val="24"/>
          <w:szCs w:val="24"/>
        </w:rPr>
        <w:t xml:space="preserve">Vale la pena resaltar que </w:t>
      </w:r>
      <w:r w:rsidR="00813300">
        <w:rPr>
          <w:rFonts w:ascii="Arial" w:hAnsi="Arial" w:cs="Calibri"/>
          <w:sz w:val="24"/>
          <w:szCs w:val="24"/>
        </w:rPr>
        <w:t>tanto NC1 como NC2</w:t>
      </w:r>
      <w:r w:rsidR="00302942" w:rsidRPr="0031297B">
        <w:rPr>
          <w:rFonts w:ascii="Arial" w:hAnsi="Arial" w:cs="Calibri"/>
          <w:sz w:val="24"/>
          <w:szCs w:val="24"/>
        </w:rPr>
        <w:t>, alcanzaron los mayores valores de Eh (610 mV y</w:t>
      </w:r>
      <w:r w:rsidR="00813300">
        <w:rPr>
          <w:rFonts w:ascii="Arial" w:hAnsi="Arial" w:cs="Calibri"/>
          <w:sz w:val="24"/>
          <w:szCs w:val="24"/>
        </w:rPr>
        <w:t xml:space="preserve"> </w:t>
      </w:r>
      <w:r w:rsidR="00302942" w:rsidRPr="0031297B">
        <w:rPr>
          <w:rFonts w:ascii="Arial" w:hAnsi="Arial" w:cs="Calibri"/>
          <w:sz w:val="24"/>
          <w:szCs w:val="24"/>
        </w:rPr>
        <w:t xml:space="preserve">625 </w:t>
      </w:r>
      <w:r w:rsidR="00813300">
        <w:rPr>
          <w:rFonts w:ascii="Arial" w:hAnsi="Arial" w:cs="Calibri"/>
          <w:sz w:val="24"/>
          <w:szCs w:val="24"/>
        </w:rPr>
        <w:t>mV, respectivamente)</w:t>
      </w:r>
      <w:r w:rsidR="000F78F8">
        <w:rPr>
          <w:rFonts w:ascii="Arial" w:hAnsi="Arial" w:cs="Calibri"/>
          <w:sz w:val="24"/>
          <w:szCs w:val="24"/>
        </w:rPr>
        <w:t xml:space="preserve"> en comparación con los ensayos PC1 </w:t>
      </w:r>
      <w:r w:rsidR="004A7D02">
        <w:rPr>
          <w:rFonts w:ascii="Arial" w:hAnsi="Arial" w:cs="Calibri"/>
          <w:sz w:val="24"/>
          <w:szCs w:val="24"/>
        </w:rPr>
        <w:t xml:space="preserve">(560 mV) </w:t>
      </w:r>
      <w:r w:rsidR="000F78F8">
        <w:rPr>
          <w:rFonts w:ascii="Arial" w:hAnsi="Arial" w:cs="Calibri"/>
          <w:sz w:val="24"/>
          <w:szCs w:val="24"/>
        </w:rPr>
        <w:t xml:space="preserve">y PC2 </w:t>
      </w:r>
      <w:r w:rsidR="004A7D02">
        <w:rPr>
          <w:rFonts w:ascii="Arial" w:hAnsi="Arial" w:cs="Calibri"/>
          <w:sz w:val="24"/>
          <w:szCs w:val="24"/>
        </w:rPr>
        <w:t>(580 mV</w:t>
      </w:r>
      <w:r w:rsidR="000F78F8">
        <w:rPr>
          <w:rFonts w:ascii="Arial" w:hAnsi="Arial" w:cs="Calibri"/>
          <w:sz w:val="24"/>
          <w:szCs w:val="24"/>
        </w:rPr>
        <w:t>) en los cuales se empleó la cepa ATCC 23270</w:t>
      </w:r>
      <w:r w:rsidR="00813300">
        <w:rPr>
          <w:rFonts w:ascii="Arial" w:hAnsi="Arial" w:cs="Calibri"/>
          <w:sz w:val="24"/>
          <w:szCs w:val="24"/>
        </w:rPr>
        <w:t xml:space="preserve">. </w:t>
      </w:r>
      <w:r w:rsidR="00302942" w:rsidRPr="0031297B">
        <w:rPr>
          <w:rFonts w:ascii="Arial" w:hAnsi="Arial" w:cs="Calibri"/>
          <w:sz w:val="24"/>
          <w:szCs w:val="24"/>
        </w:rPr>
        <w:t xml:space="preserve">Por otra parte, los ensayos abióticos se mantuvieron con una tendencia constante, alrededor de 400 mV </w:t>
      </w:r>
      <w:r w:rsidR="009D2B66">
        <w:rPr>
          <w:rFonts w:ascii="Arial" w:hAnsi="Arial" w:cs="Calibri"/>
          <w:sz w:val="24"/>
          <w:szCs w:val="24"/>
        </w:rPr>
        <w:t xml:space="preserve">en comparación con los ensayos bióticos </w:t>
      </w:r>
      <w:r w:rsidR="00302942" w:rsidRPr="0031297B">
        <w:rPr>
          <w:rFonts w:ascii="Arial" w:hAnsi="Arial" w:cs="Calibri"/>
          <w:sz w:val="24"/>
          <w:szCs w:val="24"/>
        </w:rPr>
        <w:t>durante el proceso</w:t>
      </w:r>
      <w:r w:rsidR="009D2B66">
        <w:rPr>
          <w:rFonts w:ascii="Arial" w:hAnsi="Arial" w:cs="Calibri"/>
          <w:sz w:val="24"/>
          <w:szCs w:val="24"/>
        </w:rPr>
        <w:t>.</w:t>
      </w:r>
    </w:p>
    <w:p w:rsidR="00302942" w:rsidRPr="0031297B" w:rsidRDefault="00302942" w:rsidP="006F2C2B">
      <w:pPr>
        <w:pStyle w:val="Sinespaciado"/>
        <w:jc w:val="center"/>
        <w:rPr>
          <w:rFonts w:ascii="Arial" w:hAnsi="Arial"/>
          <w:b/>
          <w:sz w:val="24"/>
          <w:szCs w:val="24"/>
        </w:rPr>
      </w:pPr>
      <w:r w:rsidRPr="0031297B">
        <w:rPr>
          <w:rFonts w:ascii="Arial" w:hAnsi="Arial"/>
          <w:noProof/>
          <w:sz w:val="24"/>
          <w:szCs w:val="24"/>
          <w:shd w:val="clear" w:color="auto" w:fill="FFFFFF"/>
          <w:lang w:eastAsia="es-CO"/>
        </w:rPr>
        <w:lastRenderedPageBreak/>
        <w:drawing>
          <wp:inline distT="0" distB="0" distL="0" distR="0">
            <wp:extent cx="3240000" cy="2527200"/>
            <wp:effectExtent l="0" t="0" r="0" b="6985"/>
            <wp:docPr id="709" name="Imagen 7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preferRelativeResize="0">
                      <a:picLocks noChangeAspect="1" noChangeArrowheads="1"/>
                    </pic:cNvPicPr>
                  </pic:nvPicPr>
                  <pic:blipFill>
                    <a:blip r:embed="rId12"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3">
                              <a14:imgEffect>
                                <a14:sharpenSoften amount="5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40000" cy="2527200"/>
                    </a:xfrm>
                    <a:prstGeom prst="rect">
                      <a:avLst/>
                    </a:prstGeom>
                    <a:noFill/>
                  </pic:spPr>
                </pic:pic>
              </a:graphicData>
            </a:graphic>
          </wp:inline>
        </w:drawing>
      </w:r>
    </w:p>
    <w:p w:rsidR="00302942" w:rsidRPr="0031297B" w:rsidRDefault="00302942" w:rsidP="006F2C2B">
      <w:pPr>
        <w:pStyle w:val="Sinespaciado"/>
        <w:jc w:val="center"/>
        <w:rPr>
          <w:rFonts w:ascii="Arial" w:hAnsi="Arial"/>
          <w:b/>
          <w:sz w:val="24"/>
          <w:szCs w:val="24"/>
        </w:rPr>
      </w:pPr>
      <w:r w:rsidRPr="0031297B">
        <w:rPr>
          <w:rFonts w:ascii="Arial" w:hAnsi="Arial"/>
          <w:noProof/>
          <w:sz w:val="24"/>
          <w:szCs w:val="24"/>
          <w:lang w:eastAsia="es-CO"/>
        </w:rPr>
        <w:drawing>
          <wp:inline distT="0" distB="0" distL="0" distR="0">
            <wp:extent cx="3240000" cy="2343600"/>
            <wp:effectExtent l="0" t="0" r="0" b="0"/>
            <wp:docPr id="1482" name="Imagen 1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40000" cy="2343600"/>
                    </a:xfrm>
                    <a:prstGeom prst="rect">
                      <a:avLst/>
                    </a:prstGeom>
                    <a:noFill/>
                  </pic:spPr>
                </pic:pic>
              </a:graphicData>
            </a:graphic>
          </wp:inline>
        </w:drawing>
      </w:r>
    </w:p>
    <w:p w:rsidR="00302942" w:rsidRPr="0031297B" w:rsidRDefault="00CB2B5B" w:rsidP="006F2C2B">
      <w:pPr>
        <w:pStyle w:val="Sinespaciado"/>
        <w:jc w:val="both"/>
        <w:rPr>
          <w:rFonts w:ascii="Arial" w:hAnsi="Arial"/>
          <w:sz w:val="24"/>
          <w:szCs w:val="24"/>
        </w:rPr>
      </w:pPr>
      <w:r>
        <w:rPr>
          <w:rFonts w:ascii="Arial" w:hAnsi="Arial"/>
          <w:b/>
          <w:sz w:val="24"/>
          <w:szCs w:val="24"/>
        </w:rPr>
        <w:t>Figura 2</w:t>
      </w:r>
      <w:r w:rsidR="00D623FD">
        <w:rPr>
          <w:rFonts w:ascii="Arial" w:hAnsi="Arial"/>
          <w:b/>
          <w:sz w:val="24"/>
          <w:szCs w:val="24"/>
        </w:rPr>
        <w:t>.</w:t>
      </w:r>
      <w:r w:rsidR="00302942" w:rsidRPr="0031297B">
        <w:rPr>
          <w:rFonts w:ascii="Arial" w:hAnsi="Arial"/>
          <w:sz w:val="24"/>
          <w:szCs w:val="24"/>
        </w:rPr>
        <w:t xml:space="preserve"> Comportamiento del Eh </w:t>
      </w:r>
      <w:r w:rsidR="00FA6425" w:rsidRPr="00F25E01">
        <w:rPr>
          <w:rFonts w:ascii="Arial" w:hAnsi="Arial"/>
          <w:i/>
          <w:sz w:val="24"/>
          <w:szCs w:val="24"/>
        </w:rPr>
        <w:t>vs</w:t>
      </w:r>
      <w:r w:rsidR="00FA6425">
        <w:rPr>
          <w:rFonts w:ascii="Arial" w:hAnsi="Arial"/>
          <w:sz w:val="24"/>
          <w:szCs w:val="24"/>
        </w:rPr>
        <w:t xml:space="preserve">. </w:t>
      </w:r>
      <w:r w:rsidR="005A1E34" w:rsidRPr="0031297B">
        <w:rPr>
          <w:rFonts w:ascii="Arial" w:hAnsi="Arial"/>
          <w:sz w:val="24"/>
          <w:szCs w:val="24"/>
        </w:rPr>
        <w:t>Tiempo</w:t>
      </w:r>
      <w:r w:rsidR="00E01873">
        <w:rPr>
          <w:rFonts w:ascii="Arial" w:hAnsi="Arial"/>
          <w:sz w:val="24"/>
          <w:szCs w:val="24"/>
        </w:rPr>
        <w:t>.</w:t>
      </w:r>
      <w:r w:rsidR="003B213A">
        <w:rPr>
          <w:rFonts w:ascii="Arial" w:hAnsi="Arial"/>
          <w:sz w:val="24"/>
          <w:szCs w:val="24"/>
        </w:rPr>
        <w:t xml:space="preserve"> </w:t>
      </w:r>
      <w:r w:rsidR="00804ADD">
        <w:rPr>
          <w:rFonts w:ascii="Arial" w:hAnsi="Arial"/>
          <w:sz w:val="24"/>
          <w:szCs w:val="24"/>
        </w:rPr>
        <w:t>(a</w:t>
      </w:r>
      <w:r w:rsidR="00302942" w:rsidRPr="0031297B">
        <w:rPr>
          <w:rFonts w:ascii="Arial" w:hAnsi="Arial"/>
          <w:sz w:val="24"/>
          <w:szCs w:val="24"/>
        </w:rPr>
        <w:t xml:space="preserve">) </w:t>
      </w:r>
      <w:r w:rsidR="00804ADD">
        <w:rPr>
          <w:rFonts w:ascii="Arial" w:hAnsi="Arial"/>
          <w:sz w:val="24"/>
          <w:szCs w:val="24"/>
        </w:rPr>
        <w:t>h</w:t>
      </w:r>
      <w:r w:rsidR="00995F34">
        <w:rPr>
          <w:rFonts w:ascii="Arial" w:hAnsi="Arial"/>
          <w:sz w:val="24"/>
          <w:szCs w:val="24"/>
        </w:rPr>
        <w:t>ierro total:</w:t>
      </w:r>
      <w:r w:rsidR="00F25E01">
        <w:rPr>
          <w:rFonts w:ascii="Arial" w:hAnsi="Arial"/>
          <w:sz w:val="24"/>
          <w:szCs w:val="24"/>
        </w:rPr>
        <w:t xml:space="preserve"> 200 mg/L</w:t>
      </w:r>
      <w:r w:rsidR="00804ADD">
        <w:rPr>
          <w:rFonts w:ascii="Arial" w:hAnsi="Arial"/>
          <w:sz w:val="24"/>
          <w:szCs w:val="24"/>
        </w:rPr>
        <w:t xml:space="preserve"> (b</w:t>
      </w:r>
      <w:r w:rsidR="00302942" w:rsidRPr="0031297B">
        <w:rPr>
          <w:rFonts w:ascii="Arial" w:hAnsi="Arial"/>
          <w:sz w:val="24"/>
          <w:szCs w:val="24"/>
        </w:rPr>
        <w:t xml:space="preserve">) </w:t>
      </w:r>
      <w:r w:rsidR="00804ADD">
        <w:rPr>
          <w:rFonts w:ascii="Arial" w:hAnsi="Arial"/>
          <w:sz w:val="24"/>
          <w:szCs w:val="24"/>
        </w:rPr>
        <w:t>h</w:t>
      </w:r>
      <w:r w:rsidR="00995F34">
        <w:rPr>
          <w:rFonts w:ascii="Arial" w:hAnsi="Arial"/>
          <w:sz w:val="24"/>
          <w:szCs w:val="24"/>
        </w:rPr>
        <w:t xml:space="preserve">ierro total: </w:t>
      </w:r>
      <w:r w:rsidR="00F25E01">
        <w:rPr>
          <w:rFonts w:ascii="Arial" w:hAnsi="Arial"/>
          <w:sz w:val="24"/>
          <w:szCs w:val="24"/>
        </w:rPr>
        <w:t>1200 mg/L</w:t>
      </w:r>
      <w:r w:rsidR="00302942" w:rsidRPr="0031297B">
        <w:rPr>
          <w:rFonts w:ascii="Arial" w:hAnsi="Arial"/>
          <w:sz w:val="24"/>
          <w:szCs w:val="24"/>
        </w:rPr>
        <w:t xml:space="preserve">. P: ATCC 23270, N: aislado bacteriano compatible con </w:t>
      </w:r>
      <w:r w:rsidR="0040566C">
        <w:rPr>
          <w:rFonts w:ascii="Arial" w:hAnsi="Arial"/>
          <w:i/>
          <w:sz w:val="24"/>
          <w:szCs w:val="24"/>
        </w:rPr>
        <w:t>Acidithiobacillus</w:t>
      </w:r>
      <w:r w:rsidR="00302942" w:rsidRPr="0031297B">
        <w:rPr>
          <w:rFonts w:ascii="Arial" w:hAnsi="Arial"/>
          <w:i/>
          <w:sz w:val="24"/>
          <w:szCs w:val="24"/>
        </w:rPr>
        <w:t xml:space="preserve"> ferrooxidans, </w:t>
      </w:r>
      <w:r w:rsidR="00F25E01">
        <w:rPr>
          <w:rFonts w:ascii="Arial" w:hAnsi="Arial"/>
          <w:sz w:val="24"/>
          <w:szCs w:val="24"/>
        </w:rPr>
        <w:t>C1: 200 mg/L, C2: 1200 mg/L</w:t>
      </w:r>
      <w:r w:rsidR="00302942" w:rsidRPr="0031297B">
        <w:rPr>
          <w:rFonts w:ascii="Arial" w:hAnsi="Arial"/>
          <w:sz w:val="24"/>
          <w:szCs w:val="24"/>
        </w:rPr>
        <w:t>, B: control negativo.</w:t>
      </w:r>
    </w:p>
    <w:p w:rsidR="007F651E" w:rsidRDefault="007F651E" w:rsidP="006F2C2B">
      <w:pPr>
        <w:pStyle w:val="Sinespaciado"/>
        <w:jc w:val="both"/>
        <w:rPr>
          <w:rFonts w:ascii="Arial" w:hAnsi="Arial"/>
          <w:b/>
          <w:sz w:val="24"/>
          <w:szCs w:val="24"/>
        </w:rPr>
      </w:pPr>
    </w:p>
    <w:p w:rsidR="00302942" w:rsidRPr="0031297B" w:rsidRDefault="00302942" w:rsidP="006F2C2B">
      <w:pPr>
        <w:pStyle w:val="Sinespaciado"/>
        <w:jc w:val="both"/>
        <w:rPr>
          <w:rFonts w:ascii="Arial" w:hAnsi="Arial"/>
          <w:b/>
          <w:sz w:val="24"/>
          <w:szCs w:val="24"/>
        </w:rPr>
      </w:pPr>
      <w:r w:rsidRPr="0031297B">
        <w:rPr>
          <w:rFonts w:ascii="Arial" w:hAnsi="Arial"/>
          <w:b/>
          <w:sz w:val="24"/>
          <w:szCs w:val="24"/>
        </w:rPr>
        <w:t xml:space="preserve">Crecimiento bacteriano </w:t>
      </w:r>
    </w:p>
    <w:p w:rsidR="00302942" w:rsidRPr="0031297B" w:rsidRDefault="00CB2B5B" w:rsidP="006F2C2B">
      <w:pPr>
        <w:pStyle w:val="Sinespaciado"/>
        <w:jc w:val="both"/>
        <w:rPr>
          <w:rFonts w:ascii="Arial" w:hAnsi="Arial"/>
          <w:sz w:val="24"/>
          <w:szCs w:val="24"/>
        </w:rPr>
      </w:pPr>
      <w:r>
        <w:rPr>
          <w:rFonts w:ascii="Arial" w:hAnsi="Arial"/>
          <w:sz w:val="24"/>
          <w:szCs w:val="24"/>
        </w:rPr>
        <w:t xml:space="preserve">La </w:t>
      </w:r>
      <w:r w:rsidR="00D623FD">
        <w:rPr>
          <w:rFonts w:ascii="Arial" w:hAnsi="Arial"/>
          <w:sz w:val="24"/>
          <w:szCs w:val="24"/>
        </w:rPr>
        <w:t>f</w:t>
      </w:r>
      <w:r>
        <w:rPr>
          <w:rFonts w:ascii="Arial" w:hAnsi="Arial"/>
          <w:sz w:val="24"/>
          <w:szCs w:val="24"/>
        </w:rPr>
        <w:t>igura 3</w:t>
      </w:r>
      <w:r w:rsidR="00302942" w:rsidRPr="0031297B">
        <w:rPr>
          <w:rFonts w:ascii="Arial" w:hAnsi="Arial"/>
          <w:sz w:val="24"/>
          <w:szCs w:val="24"/>
        </w:rPr>
        <w:t xml:space="preserve"> muestra </w:t>
      </w:r>
      <w:r w:rsidR="00995F34">
        <w:rPr>
          <w:rFonts w:ascii="Arial" w:hAnsi="Arial"/>
          <w:sz w:val="24"/>
          <w:szCs w:val="24"/>
        </w:rPr>
        <w:t>el logaritmo</w:t>
      </w:r>
      <w:r w:rsidR="00813300">
        <w:rPr>
          <w:rFonts w:ascii="Arial" w:hAnsi="Arial"/>
          <w:sz w:val="24"/>
          <w:szCs w:val="24"/>
        </w:rPr>
        <w:t xml:space="preserve"> de la concentración celular </w:t>
      </w:r>
      <w:r w:rsidR="00813300" w:rsidRPr="00D46BEB">
        <w:rPr>
          <w:rFonts w:ascii="Arial" w:hAnsi="Arial"/>
          <w:i/>
          <w:sz w:val="24"/>
          <w:szCs w:val="24"/>
        </w:rPr>
        <w:t>vs</w:t>
      </w:r>
      <w:r w:rsidR="00D46BEB" w:rsidRPr="00D46BEB">
        <w:rPr>
          <w:rFonts w:ascii="Arial" w:hAnsi="Arial"/>
          <w:i/>
          <w:sz w:val="24"/>
          <w:szCs w:val="24"/>
        </w:rPr>
        <w:t>.</w:t>
      </w:r>
      <w:r w:rsidR="00D46BEB">
        <w:rPr>
          <w:rFonts w:ascii="Arial" w:hAnsi="Arial"/>
          <w:sz w:val="24"/>
          <w:szCs w:val="24"/>
        </w:rPr>
        <w:t xml:space="preserve"> </w:t>
      </w:r>
      <w:proofErr w:type="gramStart"/>
      <w:r w:rsidR="00C613D0">
        <w:rPr>
          <w:rFonts w:ascii="Arial" w:hAnsi="Arial"/>
          <w:sz w:val="24"/>
          <w:szCs w:val="24"/>
        </w:rPr>
        <w:t>t</w:t>
      </w:r>
      <w:r w:rsidR="00C613D0" w:rsidRPr="0031297B">
        <w:rPr>
          <w:rFonts w:ascii="Arial" w:hAnsi="Arial"/>
          <w:sz w:val="24"/>
          <w:szCs w:val="24"/>
        </w:rPr>
        <w:t>iempo</w:t>
      </w:r>
      <w:proofErr w:type="gramEnd"/>
      <w:r w:rsidR="00302942" w:rsidRPr="0031297B">
        <w:rPr>
          <w:rFonts w:ascii="Arial" w:hAnsi="Arial"/>
          <w:sz w:val="24"/>
          <w:szCs w:val="24"/>
        </w:rPr>
        <w:t>. En general,</w:t>
      </w:r>
      <w:r w:rsidR="00D46BEB">
        <w:rPr>
          <w:rFonts w:ascii="Arial" w:hAnsi="Arial"/>
          <w:sz w:val="24"/>
          <w:szCs w:val="24"/>
        </w:rPr>
        <w:t xml:space="preserve"> </w:t>
      </w:r>
      <w:r w:rsidR="00302942" w:rsidRPr="0031297B">
        <w:rPr>
          <w:rFonts w:ascii="Arial" w:hAnsi="Arial"/>
          <w:sz w:val="24"/>
          <w:szCs w:val="24"/>
        </w:rPr>
        <w:t xml:space="preserve">se observó un comportamiento similar, caracterizado por una fase </w:t>
      </w:r>
      <w:r w:rsidR="00302942" w:rsidRPr="003B213A">
        <w:rPr>
          <w:rFonts w:ascii="Arial" w:hAnsi="Arial"/>
          <w:i/>
          <w:sz w:val="24"/>
          <w:szCs w:val="24"/>
        </w:rPr>
        <w:t xml:space="preserve">lag </w:t>
      </w:r>
      <w:r w:rsidR="00302942" w:rsidRPr="0031297B">
        <w:rPr>
          <w:rFonts w:ascii="Arial" w:hAnsi="Arial"/>
          <w:sz w:val="24"/>
          <w:szCs w:val="24"/>
        </w:rPr>
        <w:t>los primeros dos días del proceso, seguido por un crecimiento exponencial o fase logarítmica, entre el día dos y el día cuatro, alcanzando posteriormente la fase estacionaria. En este sentido, los experimentos en los cuales se empleó una mayor concentración de sulfato ferroso inicial (NC2 y PC2) presentaron menor velocidad de crecimiento celular durante los primeros</w:t>
      </w:r>
      <w:r w:rsidR="00D46BEB">
        <w:rPr>
          <w:rFonts w:ascii="Arial" w:hAnsi="Arial"/>
          <w:sz w:val="24"/>
          <w:szCs w:val="24"/>
        </w:rPr>
        <w:t xml:space="preserve"> </w:t>
      </w:r>
      <w:r w:rsidR="00302942" w:rsidRPr="0031297B">
        <w:rPr>
          <w:rFonts w:ascii="Arial" w:hAnsi="Arial"/>
          <w:sz w:val="24"/>
          <w:szCs w:val="24"/>
        </w:rPr>
        <w:t>dos días del proceso, en relación con sus contrapartes de menor concentración (NC1 y PC1), lo cual es coherente con el comportamiento disímil del pH y Eh en el mismo periodo, siendo que después de esto, el ensayo NC2 alcanzó mayores tasas de crecimiento celular (6.3×10</w:t>
      </w:r>
      <w:r w:rsidR="00302942" w:rsidRPr="00B20094">
        <w:rPr>
          <w:rFonts w:ascii="Arial" w:hAnsi="Arial"/>
          <w:sz w:val="24"/>
          <w:szCs w:val="24"/>
          <w:vertAlign w:val="superscript"/>
        </w:rPr>
        <w:t>8</w:t>
      </w:r>
      <w:r w:rsidR="00F25E01">
        <w:rPr>
          <w:rFonts w:ascii="Arial" w:hAnsi="Arial"/>
          <w:sz w:val="24"/>
          <w:szCs w:val="24"/>
        </w:rPr>
        <w:t xml:space="preserve"> células/mL</w:t>
      </w:r>
      <w:r w:rsidR="00302942" w:rsidRPr="0031297B">
        <w:rPr>
          <w:rFonts w:ascii="Arial" w:hAnsi="Arial"/>
          <w:sz w:val="24"/>
          <w:szCs w:val="24"/>
        </w:rPr>
        <w:t>) en comparación con el cultivo axénico a las mismas condiciones (5.1×10</w:t>
      </w:r>
      <w:r w:rsidR="00302942" w:rsidRPr="00B20094">
        <w:rPr>
          <w:rFonts w:ascii="Arial" w:hAnsi="Arial"/>
          <w:sz w:val="24"/>
          <w:szCs w:val="24"/>
          <w:vertAlign w:val="superscript"/>
        </w:rPr>
        <w:t>8</w:t>
      </w:r>
      <w:r w:rsidR="00F25E01">
        <w:rPr>
          <w:rFonts w:ascii="Arial" w:hAnsi="Arial"/>
          <w:sz w:val="24"/>
          <w:szCs w:val="24"/>
        </w:rPr>
        <w:t xml:space="preserve"> células/mL</w:t>
      </w:r>
      <w:r w:rsidR="00302942" w:rsidRPr="0031297B">
        <w:rPr>
          <w:rFonts w:ascii="Arial" w:hAnsi="Arial"/>
          <w:sz w:val="24"/>
          <w:szCs w:val="24"/>
        </w:rPr>
        <w:t>).</w:t>
      </w:r>
    </w:p>
    <w:p w:rsidR="00302942" w:rsidRPr="0031297B" w:rsidRDefault="00302942" w:rsidP="006F2C2B">
      <w:pPr>
        <w:pStyle w:val="Sinespaciado"/>
        <w:jc w:val="both"/>
        <w:rPr>
          <w:rFonts w:ascii="Arial" w:hAnsi="Arial"/>
          <w:sz w:val="24"/>
          <w:szCs w:val="24"/>
        </w:rPr>
      </w:pPr>
    </w:p>
    <w:p w:rsidR="007F651E" w:rsidRDefault="00302942" w:rsidP="006F2C2B">
      <w:pPr>
        <w:spacing w:line="240" w:lineRule="auto"/>
        <w:jc w:val="center"/>
        <w:rPr>
          <w:rFonts w:ascii="Arial" w:hAnsi="Arial"/>
          <w:b/>
          <w:sz w:val="24"/>
          <w:szCs w:val="24"/>
        </w:rPr>
      </w:pPr>
      <w:r w:rsidRPr="0031297B">
        <w:rPr>
          <w:rFonts w:ascii="Arial" w:hAnsi="Arial"/>
          <w:noProof/>
          <w:sz w:val="24"/>
          <w:szCs w:val="24"/>
          <w:lang w:eastAsia="es-CO"/>
        </w:rPr>
        <w:drawing>
          <wp:inline distT="0" distB="0" distL="0" distR="0">
            <wp:extent cx="3237230" cy="2322830"/>
            <wp:effectExtent l="0" t="0" r="127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37230" cy="2322830"/>
                    </a:xfrm>
                    <a:prstGeom prst="rect">
                      <a:avLst/>
                    </a:prstGeom>
                    <a:noFill/>
                  </pic:spPr>
                </pic:pic>
              </a:graphicData>
            </a:graphic>
          </wp:inline>
        </w:drawing>
      </w:r>
    </w:p>
    <w:p w:rsidR="00302942" w:rsidRDefault="00CB2B5B" w:rsidP="006F2C2B">
      <w:pPr>
        <w:pStyle w:val="Sinespaciado"/>
        <w:jc w:val="both"/>
        <w:rPr>
          <w:rFonts w:ascii="Arial" w:hAnsi="Arial" w:cs="Arial"/>
          <w:sz w:val="24"/>
          <w:szCs w:val="24"/>
        </w:rPr>
      </w:pPr>
      <w:r>
        <w:rPr>
          <w:rFonts w:ascii="Arial" w:hAnsi="Arial" w:cs="Arial"/>
          <w:b/>
          <w:sz w:val="24"/>
          <w:szCs w:val="24"/>
        </w:rPr>
        <w:t>Figura 3</w:t>
      </w:r>
      <w:r w:rsidR="00D623FD">
        <w:rPr>
          <w:rFonts w:ascii="Arial" w:hAnsi="Arial" w:cs="Arial"/>
          <w:b/>
          <w:sz w:val="24"/>
          <w:szCs w:val="24"/>
        </w:rPr>
        <w:t>.</w:t>
      </w:r>
      <w:r w:rsidRPr="00CB2B5B">
        <w:rPr>
          <w:rFonts w:ascii="Arial" w:hAnsi="Arial" w:cs="Arial"/>
          <w:sz w:val="24"/>
          <w:szCs w:val="24"/>
        </w:rPr>
        <w:t xml:space="preserve"> C</w:t>
      </w:r>
      <w:r w:rsidR="003B213A" w:rsidRPr="00CB2B5B">
        <w:rPr>
          <w:rFonts w:ascii="Arial" w:hAnsi="Arial" w:cs="Arial"/>
          <w:sz w:val="24"/>
          <w:szCs w:val="24"/>
        </w:rPr>
        <w:t>oncentración</w:t>
      </w:r>
      <w:r w:rsidR="003B213A" w:rsidRPr="007F651E">
        <w:rPr>
          <w:rFonts w:ascii="Arial" w:hAnsi="Arial" w:cs="Arial"/>
          <w:sz w:val="24"/>
          <w:szCs w:val="24"/>
        </w:rPr>
        <w:t xml:space="preserve"> celular </w:t>
      </w:r>
      <w:r w:rsidR="00FA6425" w:rsidRPr="001644FD">
        <w:rPr>
          <w:rFonts w:ascii="Arial" w:hAnsi="Arial" w:cs="Arial"/>
          <w:i/>
          <w:sz w:val="24"/>
          <w:szCs w:val="24"/>
        </w:rPr>
        <w:t>vs.</w:t>
      </w:r>
      <w:r w:rsidR="001644FD">
        <w:rPr>
          <w:rFonts w:ascii="Arial" w:hAnsi="Arial" w:cs="Arial"/>
          <w:sz w:val="24"/>
          <w:szCs w:val="24"/>
        </w:rPr>
        <w:t xml:space="preserve"> </w:t>
      </w:r>
      <w:r w:rsidR="005A1E34" w:rsidRPr="007F651E">
        <w:rPr>
          <w:rFonts w:ascii="Arial" w:hAnsi="Arial" w:cs="Arial"/>
          <w:sz w:val="24"/>
          <w:szCs w:val="24"/>
        </w:rPr>
        <w:t>Tiempo</w:t>
      </w:r>
      <w:r w:rsidR="001644FD">
        <w:rPr>
          <w:rFonts w:ascii="Arial" w:hAnsi="Arial" w:cs="Arial"/>
          <w:sz w:val="24"/>
          <w:szCs w:val="24"/>
        </w:rPr>
        <w:t>.</w:t>
      </w:r>
      <w:r w:rsidR="007C420E">
        <w:rPr>
          <w:rFonts w:ascii="Arial" w:hAnsi="Arial" w:cs="Arial"/>
          <w:sz w:val="24"/>
          <w:szCs w:val="24"/>
        </w:rPr>
        <w:t xml:space="preserve"> (a</w:t>
      </w:r>
      <w:r w:rsidR="00302942" w:rsidRPr="007F651E">
        <w:rPr>
          <w:rFonts w:ascii="Arial" w:hAnsi="Arial" w:cs="Arial"/>
          <w:sz w:val="24"/>
          <w:szCs w:val="24"/>
        </w:rPr>
        <w:t xml:space="preserve">) </w:t>
      </w:r>
      <w:r w:rsidR="007C420E">
        <w:rPr>
          <w:rFonts w:ascii="Arial" w:hAnsi="Arial" w:cs="Arial"/>
          <w:sz w:val="24"/>
          <w:szCs w:val="24"/>
        </w:rPr>
        <w:t>h</w:t>
      </w:r>
      <w:r w:rsidR="00995F34">
        <w:rPr>
          <w:rFonts w:ascii="Arial" w:hAnsi="Arial" w:cs="Arial"/>
          <w:sz w:val="24"/>
          <w:szCs w:val="24"/>
        </w:rPr>
        <w:t xml:space="preserve">ierro total: </w:t>
      </w:r>
      <w:r w:rsidR="00302942" w:rsidRPr="007F651E">
        <w:rPr>
          <w:rFonts w:ascii="Arial" w:hAnsi="Arial" w:cs="Arial"/>
          <w:sz w:val="24"/>
          <w:szCs w:val="24"/>
        </w:rPr>
        <w:t>200 mg</w:t>
      </w:r>
      <w:r w:rsidR="00F25E01">
        <w:rPr>
          <w:rFonts w:ascii="Arial" w:hAnsi="Arial" w:cs="Arial"/>
          <w:sz w:val="24"/>
          <w:szCs w:val="24"/>
        </w:rPr>
        <w:t>/L</w:t>
      </w:r>
      <w:r w:rsidR="007C420E">
        <w:rPr>
          <w:rFonts w:ascii="Arial" w:hAnsi="Arial" w:cs="Arial"/>
          <w:sz w:val="24"/>
          <w:szCs w:val="24"/>
        </w:rPr>
        <w:t xml:space="preserve"> (b) h</w:t>
      </w:r>
      <w:r w:rsidR="00995F34">
        <w:rPr>
          <w:rFonts w:ascii="Arial" w:hAnsi="Arial" w:cs="Arial"/>
          <w:sz w:val="24"/>
          <w:szCs w:val="24"/>
        </w:rPr>
        <w:t xml:space="preserve">ierro total: </w:t>
      </w:r>
      <w:r w:rsidR="00F25E01">
        <w:rPr>
          <w:rFonts w:ascii="Arial" w:hAnsi="Arial" w:cs="Arial"/>
          <w:sz w:val="24"/>
          <w:szCs w:val="24"/>
        </w:rPr>
        <w:t>1200 mg/L</w:t>
      </w:r>
      <w:r w:rsidR="00302942" w:rsidRPr="007F651E">
        <w:rPr>
          <w:rFonts w:ascii="Arial" w:hAnsi="Arial" w:cs="Arial"/>
          <w:sz w:val="24"/>
          <w:szCs w:val="24"/>
        </w:rPr>
        <w:t xml:space="preserve">. P: ATCC 23270, N: aislado bacteriano compatible con </w:t>
      </w:r>
      <w:r w:rsidR="0040566C">
        <w:rPr>
          <w:rFonts w:ascii="Arial" w:hAnsi="Arial" w:cs="Arial"/>
          <w:i/>
          <w:sz w:val="24"/>
          <w:szCs w:val="24"/>
        </w:rPr>
        <w:t>Acidithiobacillus</w:t>
      </w:r>
      <w:r w:rsidR="00302942" w:rsidRPr="007F651E">
        <w:rPr>
          <w:rFonts w:ascii="Arial" w:hAnsi="Arial" w:cs="Arial"/>
          <w:i/>
          <w:sz w:val="24"/>
          <w:szCs w:val="24"/>
        </w:rPr>
        <w:t xml:space="preserve"> ferrooxidans,</w:t>
      </w:r>
      <w:r w:rsidR="00F25E01">
        <w:rPr>
          <w:rFonts w:ascii="Arial" w:hAnsi="Arial" w:cs="Arial"/>
          <w:sz w:val="24"/>
          <w:szCs w:val="24"/>
        </w:rPr>
        <w:t xml:space="preserve"> C1: 200 mg/L, C2: 1200 mg/L</w:t>
      </w:r>
      <w:r w:rsidR="00302942" w:rsidRPr="007F651E">
        <w:rPr>
          <w:rFonts w:ascii="Arial" w:hAnsi="Arial" w:cs="Arial"/>
          <w:sz w:val="24"/>
          <w:szCs w:val="24"/>
        </w:rPr>
        <w:t>, B: control negativo.</w:t>
      </w:r>
    </w:p>
    <w:p w:rsidR="00F25E01" w:rsidRPr="007F651E" w:rsidRDefault="00F25E01" w:rsidP="006F2C2B">
      <w:pPr>
        <w:pStyle w:val="Sinespaciado"/>
        <w:jc w:val="both"/>
        <w:rPr>
          <w:rFonts w:ascii="Arial" w:hAnsi="Arial" w:cs="Arial"/>
          <w:sz w:val="24"/>
          <w:szCs w:val="24"/>
        </w:rPr>
      </w:pPr>
    </w:p>
    <w:p w:rsidR="00302942" w:rsidRPr="0031297B" w:rsidRDefault="00302942" w:rsidP="006F2C2B">
      <w:pPr>
        <w:pStyle w:val="Sinespaciado"/>
        <w:jc w:val="both"/>
        <w:rPr>
          <w:rFonts w:ascii="Arial" w:hAnsi="Arial"/>
          <w:b/>
          <w:sz w:val="24"/>
          <w:szCs w:val="24"/>
        </w:rPr>
      </w:pPr>
      <w:r w:rsidRPr="0031297B">
        <w:rPr>
          <w:rFonts w:ascii="Arial" w:hAnsi="Arial"/>
          <w:b/>
          <w:sz w:val="24"/>
          <w:szCs w:val="24"/>
        </w:rPr>
        <w:t xml:space="preserve">Hierro removido y pirita oxidada </w:t>
      </w:r>
    </w:p>
    <w:p w:rsidR="00302942" w:rsidRPr="0031297B" w:rsidRDefault="00302942" w:rsidP="006F2C2B">
      <w:pPr>
        <w:pStyle w:val="Sinespaciado"/>
        <w:jc w:val="both"/>
        <w:rPr>
          <w:rFonts w:ascii="Arial" w:hAnsi="Arial"/>
          <w:sz w:val="24"/>
          <w:szCs w:val="24"/>
        </w:rPr>
      </w:pPr>
      <w:r w:rsidRPr="0031297B">
        <w:rPr>
          <w:rFonts w:ascii="Arial" w:hAnsi="Arial"/>
          <w:sz w:val="24"/>
          <w:szCs w:val="24"/>
          <w:shd w:val="clear" w:color="auto" w:fill="FFFFFF"/>
        </w:rPr>
        <w:t xml:space="preserve">La </w:t>
      </w:r>
      <w:r w:rsidR="00D623FD">
        <w:rPr>
          <w:rFonts w:ascii="Arial" w:hAnsi="Arial"/>
          <w:sz w:val="24"/>
          <w:szCs w:val="24"/>
          <w:shd w:val="clear" w:color="auto" w:fill="FFFFFF"/>
        </w:rPr>
        <w:t>f</w:t>
      </w:r>
      <w:r w:rsidRPr="0031297B">
        <w:rPr>
          <w:rFonts w:ascii="Arial" w:hAnsi="Arial"/>
          <w:sz w:val="24"/>
          <w:szCs w:val="24"/>
          <w:shd w:val="clear" w:color="auto" w:fill="FFFFFF"/>
        </w:rPr>
        <w:t xml:space="preserve">igura </w:t>
      </w:r>
      <w:r w:rsidR="006833C2">
        <w:rPr>
          <w:rFonts w:ascii="Arial" w:hAnsi="Arial"/>
          <w:sz w:val="24"/>
          <w:szCs w:val="24"/>
          <w:shd w:val="clear" w:color="auto" w:fill="FFFFFF"/>
        </w:rPr>
        <w:t>4</w:t>
      </w:r>
      <w:r w:rsidRPr="0031297B">
        <w:rPr>
          <w:rFonts w:ascii="Arial" w:hAnsi="Arial"/>
          <w:sz w:val="24"/>
          <w:szCs w:val="24"/>
          <w:shd w:val="clear" w:color="auto" w:fill="FFFFFF"/>
        </w:rPr>
        <w:t xml:space="preserve"> </w:t>
      </w:r>
      <w:r w:rsidRPr="0031297B">
        <w:rPr>
          <w:rFonts w:ascii="Arial" w:hAnsi="Arial"/>
          <w:sz w:val="24"/>
          <w:szCs w:val="24"/>
        </w:rPr>
        <w:t>muestra el cambio en la concentración de hierro en solución en el tiempo, para los tratamientos estudiados. Todos los ensayos presentaron una solubilización significativa de hierro a partir del cuarto día. Después de doce días de experimentación, los ensayos que utilizaron cepas nativas, NC1</w:t>
      </w:r>
      <w:r w:rsidR="003B213A">
        <w:rPr>
          <w:rFonts w:ascii="Arial" w:hAnsi="Arial"/>
          <w:sz w:val="24"/>
          <w:szCs w:val="24"/>
        </w:rPr>
        <w:t xml:space="preserve"> (</w:t>
      </w:r>
      <w:r w:rsidR="003B213A" w:rsidRPr="0031297B">
        <w:rPr>
          <w:rFonts w:ascii="Arial" w:hAnsi="Arial"/>
          <w:sz w:val="24"/>
          <w:szCs w:val="24"/>
        </w:rPr>
        <w:t>51.34%</w:t>
      </w:r>
      <w:r w:rsidR="003B213A">
        <w:rPr>
          <w:rFonts w:ascii="Arial" w:hAnsi="Arial"/>
          <w:sz w:val="24"/>
          <w:szCs w:val="24"/>
        </w:rPr>
        <w:t>)</w:t>
      </w:r>
      <w:r w:rsidRPr="0031297B">
        <w:rPr>
          <w:rFonts w:ascii="Arial" w:hAnsi="Arial"/>
          <w:sz w:val="24"/>
          <w:szCs w:val="24"/>
        </w:rPr>
        <w:t xml:space="preserve"> y NC2</w:t>
      </w:r>
      <w:r w:rsidR="003B213A">
        <w:rPr>
          <w:rFonts w:ascii="Arial" w:hAnsi="Arial"/>
          <w:sz w:val="24"/>
          <w:szCs w:val="24"/>
        </w:rPr>
        <w:t xml:space="preserve"> (</w:t>
      </w:r>
      <w:r w:rsidR="003B213A" w:rsidRPr="0031297B">
        <w:rPr>
          <w:rFonts w:ascii="Arial" w:hAnsi="Arial"/>
          <w:sz w:val="24"/>
          <w:szCs w:val="24"/>
        </w:rPr>
        <w:t>60.45%</w:t>
      </w:r>
      <w:r w:rsidR="003B213A">
        <w:rPr>
          <w:rFonts w:ascii="Arial" w:hAnsi="Arial"/>
          <w:sz w:val="24"/>
          <w:szCs w:val="24"/>
        </w:rPr>
        <w:t>)</w:t>
      </w:r>
      <w:r w:rsidRPr="0031297B">
        <w:rPr>
          <w:rFonts w:ascii="Arial" w:hAnsi="Arial"/>
          <w:sz w:val="24"/>
          <w:szCs w:val="24"/>
        </w:rPr>
        <w:t>, presentaron mayores porcentajes de lixiviación</w:t>
      </w:r>
      <w:r w:rsidR="003B213A">
        <w:rPr>
          <w:rFonts w:ascii="Arial" w:hAnsi="Arial"/>
          <w:sz w:val="24"/>
          <w:szCs w:val="24"/>
        </w:rPr>
        <w:t xml:space="preserve">, </w:t>
      </w:r>
      <w:r w:rsidRPr="0031297B">
        <w:rPr>
          <w:rFonts w:ascii="Arial" w:hAnsi="Arial"/>
          <w:sz w:val="24"/>
          <w:szCs w:val="24"/>
        </w:rPr>
        <w:t xml:space="preserve">en comparación </w:t>
      </w:r>
      <w:r w:rsidR="003B213A">
        <w:rPr>
          <w:rFonts w:ascii="Arial" w:hAnsi="Arial"/>
          <w:sz w:val="24"/>
          <w:szCs w:val="24"/>
        </w:rPr>
        <w:t xml:space="preserve">con sus análogos en los cuales se empleó el </w:t>
      </w:r>
      <w:r w:rsidRPr="0031297B">
        <w:rPr>
          <w:rFonts w:ascii="Arial" w:hAnsi="Arial"/>
          <w:sz w:val="24"/>
          <w:szCs w:val="24"/>
        </w:rPr>
        <w:t xml:space="preserve">cultivo axénico PC1 y PC2 (36.51% y 45.27% respectivamente). </w:t>
      </w:r>
    </w:p>
    <w:p w:rsidR="007B14C7" w:rsidRPr="0031297B" w:rsidRDefault="007B14C7" w:rsidP="006F2C2B">
      <w:pPr>
        <w:pStyle w:val="Sinespaciado"/>
        <w:jc w:val="both"/>
        <w:rPr>
          <w:rFonts w:ascii="Arial" w:hAnsi="Arial"/>
          <w:sz w:val="24"/>
          <w:szCs w:val="24"/>
        </w:rPr>
      </w:pPr>
    </w:p>
    <w:p w:rsidR="00302942" w:rsidRPr="00D6643F" w:rsidRDefault="006833C2" w:rsidP="006F2C2B">
      <w:pPr>
        <w:pStyle w:val="Sinespaciado"/>
        <w:jc w:val="both"/>
        <w:rPr>
          <w:rFonts w:ascii="Arial" w:hAnsi="Arial"/>
          <w:sz w:val="24"/>
          <w:szCs w:val="24"/>
          <w:lang w:val="es-ES"/>
        </w:rPr>
      </w:pPr>
      <w:r>
        <w:rPr>
          <w:rFonts w:ascii="Arial" w:hAnsi="Arial"/>
          <w:sz w:val="24"/>
          <w:szCs w:val="24"/>
          <w:lang w:val="es-ES"/>
        </w:rPr>
        <w:t xml:space="preserve">La </w:t>
      </w:r>
      <w:r w:rsidR="00D623FD">
        <w:rPr>
          <w:rFonts w:ascii="Arial" w:hAnsi="Arial"/>
          <w:sz w:val="24"/>
          <w:szCs w:val="24"/>
          <w:lang w:val="es-ES"/>
        </w:rPr>
        <w:t>f</w:t>
      </w:r>
      <w:r>
        <w:rPr>
          <w:rFonts w:ascii="Arial" w:hAnsi="Arial"/>
          <w:sz w:val="24"/>
          <w:szCs w:val="24"/>
          <w:lang w:val="es-ES"/>
        </w:rPr>
        <w:t>igura 5</w:t>
      </w:r>
      <w:r w:rsidR="00302942" w:rsidRPr="0031297B">
        <w:rPr>
          <w:rFonts w:ascii="Arial" w:hAnsi="Arial"/>
          <w:sz w:val="24"/>
          <w:szCs w:val="24"/>
          <w:lang w:val="es-ES"/>
        </w:rPr>
        <w:t xml:space="preserve"> muestra </w:t>
      </w:r>
      <w:r w:rsidR="003B213A">
        <w:rPr>
          <w:rFonts w:ascii="Arial" w:hAnsi="Arial"/>
          <w:sz w:val="24"/>
          <w:szCs w:val="24"/>
          <w:lang w:val="es-ES"/>
        </w:rPr>
        <w:t>el histograma de</w:t>
      </w:r>
      <w:r w:rsidR="00302942" w:rsidRPr="0031297B">
        <w:rPr>
          <w:rFonts w:ascii="Arial" w:hAnsi="Arial"/>
          <w:sz w:val="24"/>
          <w:szCs w:val="24"/>
          <w:lang w:val="es-ES"/>
        </w:rPr>
        <w:t xml:space="preserve"> pirita oxidada al finalizar el proceso. Se puede observar que los experimentos en los cuales se empleó el aislado bacteriano compatible con </w:t>
      </w:r>
      <w:r w:rsidR="0040566C">
        <w:rPr>
          <w:rFonts w:ascii="Arial" w:hAnsi="Arial"/>
          <w:i/>
          <w:sz w:val="24"/>
          <w:szCs w:val="24"/>
          <w:lang w:val="es-ES"/>
        </w:rPr>
        <w:t>Acidithiobacillus</w:t>
      </w:r>
      <w:r w:rsidR="00302942" w:rsidRPr="0031297B">
        <w:rPr>
          <w:rFonts w:ascii="Arial" w:hAnsi="Arial"/>
          <w:i/>
          <w:sz w:val="24"/>
          <w:szCs w:val="24"/>
          <w:lang w:val="es-ES"/>
        </w:rPr>
        <w:t xml:space="preserve"> ferrooxidans</w:t>
      </w:r>
      <w:r w:rsidR="00302942" w:rsidRPr="0031297B">
        <w:rPr>
          <w:rFonts w:ascii="Arial" w:hAnsi="Arial"/>
          <w:sz w:val="24"/>
          <w:szCs w:val="24"/>
          <w:lang w:val="es-ES"/>
        </w:rPr>
        <w:t xml:space="preserve"> y una concentració</w:t>
      </w:r>
      <w:r w:rsidR="00F25E01">
        <w:rPr>
          <w:rFonts w:ascii="Arial" w:hAnsi="Arial"/>
          <w:sz w:val="24"/>
          <w:szCs w:val="24"/>
          <w:lang w:val="es-ES"/>
        </w:rPr>
        <w:t>n de hierro inicial de 1200 mg/L</w:t>
      </w:r>
      <w:r w:rsidR="00302942" w:rsidRPr="0031297B">
        <w:rPr>
          <w:rFonts w:ascii="Arial" w:hAnsi="Arial"/>
          <w:sz w:val="24"/>
          <w:szCs w:val="24"/>
          <w:lang w:val="es-ES"/>
        </w:rPr>
        <w:t>, presentaron un mayor potencial oxidativo y obtuvieron los mejores resultados (NC2: 68%); en comparación con los ensayos en los cuales se utilizó el cultivo axénico</w:t>
      </w:r>
      <w:r w:rsidR="001644FD">
        <w:rPr>
          <w:rFonts w:ascii="Arial" w:hAnsi="Arial"/>
          <w:sz w:val="24"/>
          <w:szCs w:val="24"/>
          <w:lang w:val="es-ES"/>
        </w:rPr>
        <w:t xml:space="preserve"> </w:t>
      </w:r>
      <w:r w:rsidR="00302942" w:rsidRPr="0031297B">
        <w:rPr>
          <w:rFonts w:ascii="Arial" w:hAnsi="Arial"/>
          <w:sz w:val="24"/>
          <w:szCs w:val="24"/>
          <w:lang w:val="es-ES"/>
        </w:rPr>
        <w:t>ATCC 23270 (PC2:</w:t>
      </w:r>
      <w:r w:rsidR="003567D7">
        <w:rPr>
          <w:rFonts w:ascii="Arial" w:hAnsi="Arial"/>
          <w:sz w:val="24"/>
          <w:szCs w:val="24"/>
          <w:lang w:val="es-ES"/>
        </w:rPr>
        <w:t xml:space="preserve"> </w:t>
      </w:r>
      <w:r w:rsidR="00302942" w:rsidRPr="0031297B">
        <w:rPr>
          <w:rFonts w:ascii="Arial" w:hAnsi="Arial"/>
          <w:sz w:val="24"/>
          <w:szCs w:val="24"/>
          <w:lang w:val="es-ES"/>
        </w:rPr>
        <w:t xml:space="preserve">52%) a las mismas condiciones. De manera análoga, los experimentos con bacterias compatibles con </w:t>
      </w:r>
      <w:r w:rsidR="0040566C">
        <w:rPr>
          <w:rFonts w:ascii="Arial" w:hAnsi="Arial"/>
          <w:i/>
          <w:sz w:val="24"/>
          <w:szCs w:val="24"/>
          <w:lang w:val="es-ES"/>
        </w:rPr>
        <w:t>Acidithiobacillus</w:t>
      </w:r>
      <w:r w:rsidR="00302942" w:rsidRPr="0031297B">
        <w:rPr>
          <w:rFonts w:ascii="Arial" w:hAnsi="Arial"/>
          <w:i/>
          <w:sz w:val="24"/>
          <w:szCs w:val="24"/>
          <w:lang w:val="es-ES"/>
        </w:rPr>
        <w:t xml:space="preserve"> ferrooxidans </w:t>
      </w:r>
      <w:r w:rsidR="00302942" w:rsidRPr="0031297B">
        <w:rPr>
          <w:rFonts w:ascii="Arial" w:hAnsi="Arial"/>
          <w:sz w:val="24"/>
          <w:szCs w:val="24"/>
          <w:lang w:val="es-ES"/>
        </w:rPr>
        <w:t xml:space="preserve">y menores concentraciones de </w:t>
      </w:r>
      <w:r w:rsidR="00F25E01">
        <w:rPr>
          <w:rFonts w:ascii="Arial" w:hAnsi="Arial"/>
          <w:sz w:val="24"/>
          <w:szCs w:val="24"/>
          <w:lang w:val="es-ES"/>
        </w:rPr>
        <w:t>hierro ferroso inicial (200 mg/L</w:t>
      </w:r>
      <w:r w:rsidR="00302942" w:rsidRPr="0031297B">
        <w:rPr>
          <w:rFonts w:ascii="Arial" w:hAnsi="Arial"/>
          <w:sz w:val="24"/>
          <w:szCs w:val="24"/>
          <w:lang w:val="es-ES"/>
        </w:rPr>
        <w:t>) presentaron mayores porcentajes de pirita oxidada (NC1: 57%), mientras su contraparte PC1 solo alcanzó un 44% de oxidación del sulfuro metálico.</w:t>
      </w:r>
    </w:p>
    <w:p w:rsidR="00D6643F" w:rsidRPr="0031297B" w:rsidRDefault="00302942" w:rsidP="006F2C2B">
      <w:pPr>
        <w:pStyle w:val="Sinespaciado"/>
        <w:jc w:val="center"/>
        <w:rPr>
          <w:rFonts w:ascii="Arial" w:hAnsi="Arial"/>
          <w:sz w:val="24"/>
          <w:szCs w:val="24"/>
        </w:rPr>
      </w:pPr>
      <w:r w:rsidRPr="0031297B">
        <w:rPr>
          <w:rStyle w:val="Textoennegrita"/>
          <w:bCs w:val="0"/>
          <w:noProof/>
          <w:szCs w:val="24"/>
          <w:lang w:eastAsia="es-CO"/>
        </w:rPr>
        <w:lastRenderedPageBreak/>
        <w:drawing>
          <wp:inline distT="0" distB="0" distL="0" distR="0">
            <wp:extent cx="3487420" cy="2524125"/>
            <wp:effectExtent l="0" t="0" r="0" b="9525"/>
            <wp:docPr id="1484" name="Imagen 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87420" cy="2524125"/>
                    </a:xfrm>
                    <a:prstGeom prst="rect">
                      <a:avLst/>
                    </a:prstGeom>
                    <a:noFill/>
                  </pic:spPr>
                </pic:pic>
              </a:graphicData>
            </a:graphic>
          </wp:inline>
        </w:drawing>
      </w:r>
    </w:p>
    <w:p w:rsidR="00302942" w:rsidRPr="0031297B" w:rsidRDefault="00302942" w:rsidP="006F2C2B">
      <w:pPr>
        <w:pStyle w:val="Sinespaciado"/>
        <w:jc w:val="center"/>
        <w:rPr>
          <w:rFonts w:ascii="Arial" w:hAnsi="Arial"/>
          <w:sz w:val="24"/>
          <w:szCs w:val="24"/>
        </w:rPr>
      </w:pPr>
      <w:r w:rsidRPr="0031297B">
        <w:rPr>
          <w:rStyle w:val="Textoennegrita"/>
          <w:bCs w:val="0"/>
          <w:noProof/>
          <w:szCs w:val="24"/>
          <w:lang w:eastAsia="es-CO"/>
        </w:rPr>
        <w:drawing>
          <wp:inline distT="0" distB="0" distL="0" distR="0">
            <wp:extent cx="3487420" cy="2524125"/>
            <wp:effectExtent l="0" t="0" r="0" b="9525"/>
            <wp:docPr id="1485" name="Imagen 1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87420" cy="2524125"/>
                    </a:xfrm>
                    <a:prstGeom prst="rect">
                      <a:avLst/>
                    </a:prstGeom>
                    <a:noFill/>
                  </pic:spPr>
                </pic:pic>
              </a:graphicData>
            </a:graphic>
          </wp:inline>
        </w:drawing>
      </w:r>
    </w:p>
    <w:p w:rsidR="009A40D5" w:rsidRPr="007F651E" w:rsidRDefault="00302942" w:rsidP="006F2C2B">
      <w:pPr>
        <w:pStyle w:val="Sinespaciado"/>
        <w:jc w:val="both"/>
        <w:rPr>
          <w:rFonts w:ascii="Arial" w:hAnsi="Arial"/>
          <w:sz w:val="24"/>
          <w:szCs w:val="24"/>
        </w:rPr>
      </w:pPr>
      <w:r w:rsidRPr="0031297B">
        <w:rPr>
          <w:rFonts w:ascii="Arial" w:hAnsi="Arial"/>
          <w:b/>
          <w:sz w:val="24"/>
          <w:szCs w:val="24"/>
        </w:rPr>
        <w:t xml:space="preserve">Figura </w:t>
      </w:r>
      <w:r w:rsidR="006833C2">
        <w:rPr>
          <w:rFonts w:ascii="Arial" w:hAnsi="Arial"/>
          <w:b/>
          <w:sz w:val="24"/>
          <w:szCs w:val="24"/>
        </w:rPr>
        <w:t>4</w:t>
      </w:r>
      <w:r w:rsidR="00D623FD">
        <w:rPr>
          <w:rFonts w:ascii="Arial" w:hAnsi="Arial"/>
          <w:b/>
          <w:sz w:val="24"/>
          <w:szCs w:val="24"/>
        </w:rPr>
        <w:t>.</w:t>
      </w:r>
      <w:r w:rsidRPr="0031297B">
        <w:rPr>
          <w:rFonts w:ascii="Arial" w:hAnsi="Arial"/>
          <w:sz w:val="24"/>
          <w:szCs w:val="24"/>
        </w:rPr>
        <w:t xml:space="preserve"> Porcentaj</w:t>
      </w:r>
      <w:r w:rsidR="003B213A">
        <w:rPr>
          <w:rFonts w:ascii="Arial" w:hAnsi="Arial"/>
          <w:sz w:val="24"/>
          <w:szCs w:val="24"/>
        </w:rPr>
        <w:t xml:space="preserve">e de hierro removido </w:t>
      </w:r>
      <w:r w:rsidR="00FA6425" w:rsidRPr="00F25E01">
        <w:rPr>
          <w:rFonts w:ascii="Arial" w:hAnsi="Arial"/>
          <w:i/>
          <w:sz w:val="24"/>
          <w:szCs w:val="24"/>
        </w:rPr>
        <w:t>vs</w:t>
      </w:r>
      <w:r w:rsidR="00FA6425">
        <w:rPr>
          <w:rFonts w:ascii="Arial" w:hAnsi="Arial"/>
          <w:sz w:val="24"/>
          <w:szCs w:val="24"/>
        </w:rPr>
        <w:t xml:space="preserve">. </w:t>
      </w:r>
      <w:r w:rsidR="005A1E34">
        <w:rPr>
          <w:rFonts w:ascii="Arial" w:hAnsi="Arial"/>
          <w:sz w:val="24"/>
          <w:szCs w:val="24"/>
        </w:rPr>
        <w:t>Tiempo</w:t>
      </w:r>
      <w:r w:rsidR="001644FD">
        <w:rPr>
          <w:rFonts w:ascii="Arial" w:hAnsi="Arial"/>
          <w:sz w:val="24"/>
          <w:szCs w:val="24"/>
        </w:rPr>
        <w:t>.</w:t>
      </w:r>
      <w:r w:rsidR="007C420E">
        <w:rPr>
          <w:rFonts w:ascii="Arial" w:hAnsi="Arial"/>
          <w:sz w:val="24"/>
          <w:szCs w:val="24"/>
        </w:rPr>
        <w:t xml:space="preserve"> (a</w:t>
      </w:r>
      <w:r w:rsidRPr="0031297B">
        <w:rPr>
          <w:rFonts w:ascii="Arial" w:hAnsi="Arial"/>
          <w:sz w:val="24"/>
          <w:szCs w:val="24"/>
        </w:rPr>
        <w:t xml:space="preserve">) </w:t>
      </w:r>
      <w:r w:rsidR="007C420E">
        <w:rPr>
          <w:rFonts w:ascii="Arial" w:hAnsi="Arial"/>
          <w:sz w:val="24"/>
          <w:szCs w:val="24"/>
        </w:rPr>
        <w:t>h</w:t>
      </w:r>
      <w:r w:rsidR="00995F34">
        <w:rPr>
          <w:rFonts w:ascii="Arial" w:hAnsi="Arial"/>
          <w:sz w:val="24"/>
          <w:szCs w:val="24"/>
        </w:rPr>
        <w:t>ierro total:</w:t>
      </w:r>
      <w:r w:rsidRPr="0031297B">
        <w:rPr>
          <w:rFonts w:ascii="Arial" w:hAnsi="Arial"/>
          <w:sz w:val="24"/>
          <w:szCs w:val="24"/>
        </w:rPr>
        <w:t xml:space="preserve"> 200 </w:t>
      </w:r>
      <w:r w:rsidR="00F25E01">
        <w:rPr>
          <w:rFonts w:ascii="Arial" w:hAnsi="Arial"/>
          <w:sz w:val="24"/>
          <w:szCs w:val="24"/>
        </w:rPr>
        <w:t>mg/L</w:t>
      </w:r>
      <w:r w:rsidR="007C420E">
        <w:rPr>
          <w:rFonts w:ascii="Arial" w:hAnsi="Arial"/>
          <w:sz w:val="24"/>
          <w:szCs w:val="24"/>
        </w:rPr>
        <w:t xml:space="preserve"> (b</w:t>
      </w:r>
      <w:r w:rsidR="003B213A">
        <w:rPr>
          <w:rFonts w:ascii="Arial" w:hAnsi="Arial"/>
          <w:sz w:val="24"/>
          <w:szCs w:val="24"/>
        </w:rPr>
        <w:t xml:space="preserve">) </w:t>
      </w:r>
      <w:r w:rsidR="007C420E">
        <w:rPr>
          <w:rFonts w:ascii="Arial" w:hAnsi="Arial"/>
          <w:sz w:val="24"/>
          <w:szCs w:val="24"/>
        </w:rPr>
        <w:t>h</w:t>
      </w:r>
      <w:r w:rsidR="00995F34">
        <w:rPr>
          <w:rFonts w:ascii="Arial" w:hAnsi="Arial"/>
          <w:sz w:val="24"/>
          <w:szCs w:val="24"/>
        </w:rPr>
        <w:t>ierro total:</w:t>
      </w:r>
      <w:r w:rsidR="00F25E01">
        <w:rPr>
          <w:rFonts w:ascii="Arial" w:hAnsi="Arial"/>
          <w:sz w:val="24"/>
          <w:szCs w:val="24"/>
        </w:rPr>
        <w:t xml:space="preserve"> 1200 mg/L.</w:t>
      </w:r>
      <w:r w:rsidRPr="0031297B">
        <w:rPr>
          <w:rFonts w:ascii="Arial" w:hAnsi="Arial"/>
          <w:sz w:val="24"/>
          <w:szCs w:val="24"/>
        </w:rPr>
        <w:t xml:space="preserve"> P: ATCC 23270, N: aislado bacteriano compatible con </w:t>
      </w:r>
      <w:r w:rsidR="0040566C">
        <w:rPr>
          <w:rFonts w:ascii="Arial" w:hAnsi="Arial"/>
          <w:i/>
          <w:sz w:val="24"/>
          <w:szCs w:val="24"/>
        </w:rPr>
        <w:t>Acidithiobacillus</w:t>
      </w:r>
      <w:r w:rsidRPr="0031297B">
        <w:rPr>
          <w:rFonts w:ascii="Arial" w:hAnsi="Arial"/>
          <w:i/>
          <w:sz w:val="24"/>
          <w:szCs w:val="24"/>
        </w:rPr>
        <w:t xml:space="preserve"> ferrooxidans,</w:t>
      </w:r>
      <w:r w:rsidRPr="0031297B">
        <w:rPr>
          <w:rFonts w:ascii="Arial" w:hAnsi="Arial"/>
          <w:sz w:val="24"/>
          <w:szCs w:val="24"/>
        </w:rPr>
        <w:t xml:space="preserve"> C1: 200 mg/L de Fe</w:t>
      </w:r>
      <w:r w:rsidRPr="0031297B">
        <w:rPr>
          <w:rFonts w:ascii="Arial" w:hAnsi="Arial"/>
          <w:sz w:val="24"/>
          <w:szCs w:val="24"/>
          <w:vertAlign w:val="superscript"/>
        </w:rPr>
        <w:t>2+</w:t>
      </w:r>
      <w:r w:rsidRPr="0031297B">
        <w:rPr>
          <w:rFonts w:ascii="Arial" w:hAnsi="Arial"/>
          <w:sz w:val="24"/>
          <w:szCs w:val="24"/>
        </w:rPr>
        <w:t>, C2: 1200 mg/L, B: control negativo.</w:t>
      </w:r>
    </w:p>
    <w:p w:rsidR="00AE1539" w:rsidRPr="0031297B" w:rsidRDefault="00AE1539" w:rsidP="006F2C2B">
      <w:pPr>
        <w:pStyle w:val="Sinespaciado"/>
        <w:jc w:val="center"/>
        <w:rPr>
          <w:rFonts w:ascii="Arial" w:hAnsi="Arial"/>
          <w:sz w:val="24"/>
          <w:szCs w:val="24"/>
        </w:rPr>
      </w:pPr>
      <w:r w:rsidRPr="0031297B">
        <w:rPr>
          <w:rStyle w:val="Textoennegrita"/>
          <w:bCs w:val="0"/>
          <w:noProof/>
          <w:szCs w:val="24"/>
          <w:lang w:eastAsia="es-CO"/>
        </w:rPr>
        <w:lastRenderedPageBreak/>
        <w:drawing>
          <wp:inline distT="0" distB="0" distL="0" distR="0">
            <wp:extent cx="3487420" cy="2524125"/>
            <wp:effectExtent l="0" t="0" r="0" b="9525"/>
            <wp:docPr id="1488" name="Imagen 1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87420" cy="2524125"/>
                    </a:xfrm>
                    <a:prstGeom prst="rect">
                      <a:avLst/>
                    </a:prstGeom>
                    <a:noFill/>
                  </pic:spPr>
                </pic:pic>
              </a:graphicData>
            </a:graphic>
          </wp:inline>
        </w:drawing>
      </w:r>
    </w:p>
    <w:p w:rsidR="00AE1539" w:rsidRPr="0031297B" w:rsidRDefault="006833C2" w:rsidP="006F2C2B">
      <w:pPr>
        <w:pStyle w:val="Sinespaciado"/>
        <w:jc w:val="both"/>
        <w:rPr>
          <w:rStyle w:val="Textoennegrita"/>
          <w:bCs w:val="0"/>
          <w:szCs w:val="24"/>
        </w:rPr>
      </w:pPr>
      <w:r>
        <w:rPr>
          <w:rFonts w:ascii="Arial" w:hAnsi="Arial"/>
          <w:b/>
          <w:sz w:val="24"/>
          <w:szCs w:val="24"/>
        </w:rPr>
        <w:t>Figura 5</w:t>
      </w:r>
      <w:r w:rsidR="00D623FD">
        <w:rPr>
          <w:rFonts w:ascii="Arial" w:hAnsi="Arial"/>
          <w:b/>
          <w:sz w:val="24"/>
          <w:szCs w:val="24"/>
        </w:rPr>
        <w:t>.</w:t>
      </w:r>
      <w:r w:rsidR="00AE1539" w:rsidRPr="0031297B">
        <w:rPr>
          <w:rFonts w:ascii="Arial" w:hAnsi="Arial"/>
          <w:sz w:val="24"/>
          <w:szCs w:val="24"/>
        </w:rPr>
        <w:t xml:space="preserve"> Porcentaje de pirita oxidada y solubilizada, variando la concentración de hierro </w:t>
      </w:r>
      <w:r w:rsidR="00B07DB4">
        <w:rPr>
          <w:rFonts w:ascii="Arial" w:hAnsi="Arial"/>
          <w:sz w:val="24"/>
          <w:szCs w:val="24"/>
        </w:rPr>
        <w:t xml:space="preserve">total </w:t>
      </w:r>
      <w:r w:rsidR="00AE1539" w:rsidRPr="0031297B">
        <w:rPr>
          <w:rFonts w:ascii="Arial" w:hAnsi="Arial"/>
          <w:sz w:val="24"/>
          <w:szCs w:val="24"/>
        </w:rPr>
        <w:t xml:space="preserve">inicial. P: ATCC 23270, N: aislado bacteriano compatible con </w:t>
      </w:r>
      <w:r w:rsidR="0040566C">
        <w:rPr>
          <w:rFonts w:ascii="Arial" w:hAnsi="Arial"/>
          <w:i/>
          <w:sz w:val="24"/>
          <w:szCs w:val="24"/>
        </w:rPr>
        <w:t>Acidithiobacillus</w:t>
      </w:r>
      <w:r w:rsidR="00AE1539" w:rsidRPr="0031297B">
        <w:rPr>
          <w:rFonts w:ascii="Arial" w:hAnsi="Arial"/>
          <w:i/>
          <w:sz w:val="24"/>
          <w:szCs w:val="24"/>
        </w:rPr>
        <w:t xml:space="preserve"> ferrooxidans,</w:t>
      </w:r>
      <w:r w:rsidR="00F25E01">
        <w:rPr>
          <w:rFonts w:ascii="Arial" w:hAnsi="Arial"/>
          <w:sz w:val="24"/>
          <w:szCs w:val="24"/>
        </w:rPr>
        <w:t xml:space="preserve"> C1: 200 mg/L, C2: 1200 mg/L</w:t>
      </w:r>
      <w:r w:rsidR="00AE1539" w:rsidRPr="0031297B">
        <w:rPr>
          <w:rFonts w:ascii="Arial" w:hAnsi="Arial"/>
          <w:sz w:val="24"/>
          <w:szCs w:val="24"/>
        </w:rPr>
        <w:t>, B: control negativo.</w:t>
      </w:r>
    </w:p>
    <w:p w:rsidR="00A9150A" w:rsidRDefault="00A9150A" w:rsidP="006F2C2B">
      <w:pPr>
        <w:pStyle w:val="Sinespaciado"/>
        <w:jc w:val="both"/>
        <w:rPr>
          <w:rFonts w:ascii="Arial" w:hAnsi="Arial"/>
          <w:b/>
          <w:sz w:val="24"/>
          <w:szCs w:val="24"/>
        </w:rPr>
      </w:pPr>
    </w:p>
    <w:p w:rsidR="002F344E" w:rsidRPr="002F344E" w:rsidRDefault="00221C3C" w:rsidP="006F2C2B">
      <w:pPr>
        <w:pStyle w:val="Sinespaciado"/>
        <w:jc w:val="both"/>
        <w:rPr>
          <w:rFonts w:ascii="Arial" w:hAnsi="Arial"/>
          <w:b/>
          <w:sz w:val="24"/>
          <w:szCs w:val="24"/>
        </w:rPr>
      </w:pPr>
      <w:r w:rsidRPr="0031297B">
        <w:rPr>
          <w:rFonts w:ascii="Arial" w:hAnsi="Arial"/>
          <w:b/>
          <w:sz w:val="24"/>
          <w:szCs w:val="24"/>
        </w:rPr>
        <w:t xml:space="preserve">Discusión </w:t>
      </w:r>
    </w:p>
    <w:p w:rsidR="00072A3E" w:rsidRPr="0031297B" w:rsidRDefault="00072A3E" w:rsidP="006F2C2B">
      <w:pPr>
        <w:pStyle w:val="Sinespaciado"/>
        <w:jc w:val="both"/>
        <w:rPr>
          <w:rFonts w:ascii="Arial" w:hAnsi="Arial"/>
          <w:b/>
          <w:sz w:val="24"/>
          <w:szCs w:val="24"/>
        </w:rPr>
      </w:pPr>
      <w:r w:rsidRPr="0031297B">
        <w:rPr>
          <w:rFonts w:ascii="Arial" w:hAnsi="Arial"/>
          <w:b/>
          <w:sz w:val="24"/>
          <w:szCs w:val="24"/>
        </w:rPr>
        <w:t xml:space="preserve">Sulfato ferroso y la actividad oxidativa de </w:t>
      </w:r>
      <w:r w:rsidR="008820B9">
        <w:rPr>
          <w:rFonts w:ascii="Arial" w:hAnsi="Arial"/>
          <w:b/>
          <w:i/>
          <w:sz w:val="24"/>
          <w:szCs w:val="24"/>
        </w:rPr>
        <w:t>Acidithiobacillus</w:t>
      </w:r>
      <w:r w:rsidRPr="0031297B">
        <w:rPr>
          <w:rFonts w:ascii="Arial" w:hAnsi="Arial"/>
          <w:b/>
          <w:i/>
          <w:sz w:val="24"/>
          <w:szCs w:val="24"/>
        </w:rPr>
        <w:t xml:space="preserve"> ferrooxidans</w:t>
      </w:r>
      <w:r w:rsidRPr="0031297B">
        <w:rPr>
          <w:rFonts w:ascii="Arial" w:hAnsi="Arial"/>
          <w:b/>
          <w:sz w:val="24"/>
          <w:szCs w:val="24"/>
        </w:rPr>
        <w:t xml:space="preserve"> </w:t>
      </w:r>
    </w:p>
    <w:p w:rsidR="00B07DB4" w:rsidRDefault="009E5D38" w:rsidP="006F2C2B">
      <w:pPr>
        <w:pStyle w:val="Sinespaciado"/>
        <w:jc w:val="both"/>
        <w:rPr>
          <w:rFonts w:ascii="Arial" w:hAnsi="Arial"/>
          <w:sz w:val="24"/>
          <w:szCs w:val="24"/>
        </w:rPr>
      </w:pPr>
      <w:r>
        <w:rPr>
          <w:rFonts w:ascii="Arial" w:hAnsi="Arial"/>
          <w:sz w:val="24"/>
          <w:szCs w:val="24"/>
        </w:rPr>
        <w:t xml:space="preserve">Según </w:t>
      </w:r>
      <w:r w:rsidR="00861E06">
        <w:rPr>
          <w:rFonts w:ascii="Arial" w:hAnsi="Arial"/>
          <w:sz w:val="24"/>
          <w:szCs w:val="24"/>
        </w:rPr>
        <w:t xml:space="preserve">el proceso de </w:t>
      </w:r>
      <w:r>
        <w:rPr>
          <w:rFonts w:ascii="Arial" w:hAnsi="Arial"/>
          <w:sz w:val="24"/>
          <w:szCs w:val="24"/>
        </w:rPr>
        <w:t>biolixiviación de pirita en los cuales</w:t>
      </w:r>
      <w:r w:rsidR="00072A3E" w:rsidRPr="0031297B">
        <w:rPr>
          <w:rFonts w:ascii="Arial" w:hAnsi="Arial"/>
          <w:sz w:val="24"/>
          <w:szCs w:val="24"/>
        </w:rPr>
        <w:t xml:space="preserve"> se emplea </w:t>
      </w:r>
      <w:r w:rsidR="0040566C">
        <w:rPr>
          <w:rFonts w:ascii="Arial" w:hAnsi="Arial"/>
          <w:i/>
          <w:sz w:val="24"/>
          <w:szCs w:val="24"/>
        </w:rPr>
        <w:t>Acidithiobacillus</w:t>
      </w:r>
      <w:r w:rsidR="00072A3E" w:rsidRPr="0031297B">
        <w:rPr>
          <w:rFonts w:ascii="Arial" w:hAnsi="Arial"/>
          <w:i/>
          <w:sz w:val="24"/>
          <w:szCs w:val="24"/>
        </w:rPr>
        <w:t xml:space="preserve"> ferrooxidans</w:t>
      </w:r>
      <w:r w:rsidR="00861E06">
        <w:rPr>
          <w:rFonts w:ascii="Arial" w:hAnsi="Arial"/>
          <w:i/>
          <w:sz w:val="24"/>
          <w:szCs w:val="24"/>
        </w:rPr>
        <w:t xml:space="preserve"> </w:t>
      </w:r>
      <w:r w:rsidR="00861E06" w:rsidRPr="00861E06">
        <w:rPr>
          <w:rFonts w:ascii="Arial" w:hAnsi="Arial"/>
          <w:sz w:val="24"/>
          <w:szCs w:val="24"/>
        </w:rPr>
        <w:t>propuesto por algunos autore</w:t>
      </w:r>
      <w:r w:rsidR="00861E06">
        <w:rPr>
          <w:rFonts w:ascii="Arial" w:hAnsi="Arial"/>
          <w:i/>
          <w:sz w:val="24"/>
          <w:szCs w:val="24"/>
        </w:rPr>
        <w:t>s</w:t>
      </w:r>
      <w:r w:rsidR="00EA4F02">
        <w:rPr>
          <w:rFonts w:ascii="Arial" w:hAnsi="Arial"/>
          <w:i/>
          <w:sz w:val="24"/>
          <w:szCs w:val="24"/>
        </w:rPr>
        <w:t xml:space="preserve"> </w:t>
      </w:r>
      <w:r w:rsidR="00EA4F02">
        <w:rPr>
          <w:rFonts w:ascii="Arial" w:hAnsi="Arial"/>
          <w:sz w:val="24"/>
          <w:szCs w:val="24"/>
        </w:rPr>
        <w:t>(</w:t>
      </w:r>
      <w:proofErr w:type="spellStart"/>
      <w:r w:rsidR="00EA4F02">
        <w:rPr>
          <w:rFonts w:ascii="Arial" w:hAnsi="Arial"/>
          <w:sz w:val="24"/>
          <w:szCs w:val="24"/>
        </w:rPr>
        <w:t>Daoud</w:t>
      </w:r>
      <w:proofErr w:type="spellEnd"/>
      <w:r w:rsidR="00EA4F02">
        <w:rPr>
          <w:rFonts w:ascii="Arial" w:hAnsi="Arial"/>
          <w:sz w:val="24"/>
          <w:szCs w:val="24"/>
        </w:rPr>
        <w:t xml:space="preserve"> &amp; </w:t>
      </w:r>
      <w:proofErr w:type="spellStart"/>
      <w:r w:rsidR="00EA4F02">
        <w:rPr>
          <w:rFonts w:ascii="Arial" w:hAnsi="Arial"/>
          <w:sz w:val="24"/>
          <w:szCs w:val="24"/>
        </w:rPr>
        <w:t>Karamanev</w:t>
      </w:r>
      <w:proofErr w:type="spellEnd"/>
      <w:r w:rsidR="00EA4F02">
        <w:rPr>
          <w:rFonts w:ascii="Arial" w:hAnsi="Arial"/>
          <w:sz w:val="24"/>
          <w:szCs w:val="24"/>
        </w:rPr>
        <w:t xml:space="preserve">, 2006; </w:t>
      </w:r>
      <w:proofErr w:type="spellStart"/>
      <w:r w:rsidR="00EA4F02">
        <w:rPr>
          <w:rFonts w:ascii="Arial" w:hAnsi="Arial"/>
          <w:sz w:val="24"/>
          <w:szCs w:val="24"/>
        </w:rPr>
        <w:t>Kargi</w:t>
      </w:r>
      <w:proofErr w:type="spellEnd"/>
      <w:r w:rsidR="00EA4F02">
        <w:rPr>
          <w:rFonts w:ascii="Arial" w:hAnsi="Arial"/>
          <w:sz w:val="24"/>
          <w:szCs w:val="24"/>
        </w:rPr>
        <w:t xml:space="preserve">, 1986; Sand </w:t>
      </w:r>
      <w:r w:rsidR="00EA4F02" w:rsidRPr="008A7BB1">
        <w:rPr>
          <w:rFonts w:ascii="Arial" w:hAnsi="Arial"/>
          <w:i/>
          <w:sz w:val="24"/>
          <w:szCs w:val="24"/>
        </w:rPr>
        <w:t>et al</w:t>
      </w:r>
      <w:r w:rsidR="00EA4F02">
        <w:rPr>
          <w:rFonts w:ascii="Arial" w:hAnsi="Arial"/>
          <w:sz w:val="24"/>
          <w:szCs w:val="24"/>
        </w:rPr>
        <w:t>., 2001)</w:t>
      </w:r>
      <w:r w:rsidR="00FA2C44">
        <w:rPr>
          <w:rFonts w:ascii="Arial" w:hAnsi="Arial"/>
          <w:sz w:val="24"/>
          <w:szCs w:val="24"/>
        </w:rPr>
        <w:t>;</w:t>
      </w:r>
      <w:r w:rsidR="00072A3E" w:rsidRPr="0031297B">
        <w:rPr>
          <w:rFonts w:ascii="Arial" w:hAnsi="Arial"/>
          <w:sz w:val="24"/>
          <w:szCs w:val="24"/>
        </w:rPr>
        <w:t xml:space="preserve"> el ácido (H</w:t>
      </w:r>
      <w:r w:rsidR="00072A3E" w:rsidRPr="0031297B">
        <w:rPr>
          <w:rFonts w:ascii="Arial" w:hAnsi="Arial"/>
          <w:sz w:val="24"/>
          <w:szCs w:val="24"/>
          <w:vertAlign w:val="superscript"/>
        </w:rPr>
        <w:t>+</w:t>
      </w:r>
      <w:r w:rsidR="00072A3E" w:rsidRPr="0031297B">
        <w:rPr>
          <w:rFonts w:ascii="Arial" w:hAnsi="Arial"/>
          <w:sz w:val="24"/>
          <w:szCs w:val="24"/>
        </w:rPr>
        <w:t>) es considerado un factor necesario para la (re)generación del ion férrico (Fe</w:t>
      </w:r>
      <w:r w:rsidR="00072A3E" w:rsidRPr="0031297B">
        <w:rPr>
          <w:rFonts w:ascii="Arial" w:hAnsi="Arial"/>
          <w:sz w:val="24"/>
          <w:szCs w:val="24"/>
          <w:vertAlign w:val="superscript"/>
        </w:rPr>
        <w:t>3+</w:t>
      </w:r>
      <w:r w:rsidR="00072A3E" w:rsidRPr="0031297B">
        <w:rPr>
          <w:rFonts w:ascii="Arial" w:hAnsi="Arial"/>
          <w:sz w:val="24"/>
          <w:szCs w:val="24"/>
        </w:rPr>
        <w:t>), responsable de la dis</w:t>
      </w:r>
      <w:r>
        <w:rPr>
          <w:rFonts w:ascii="Arial" w:hAnsi="Arial"/>
          <w:sz w:val="24"/>
          <w:szCs w:val="24"/>
        </w:rPr>
        <w:t>olución de pirita</w:t>
      </w:r>
      <w:r w:rsidR="00072A3E" w:rsidRPr="0031297B">
        <w:rPr>
          <w:rFonts w:ascii="Arial" w:hAnsi="Arial"/>
          <w:sz w:val="24"/>
          <w:szCs w:val="24"/>
        </w:rPr>
        <w:t xml:space="preserve">. </w:t>
      </w:r>
      <w:r w:rsidR="008820B9">
        <w:rPr>
          <w:rFonts w:ascii="Arial" w:hAnsi="Arial"/>
          <w:sz w:val="24"/>
          <w:szCs w:val="24"/>
          <w:lang w:val="es-ES"/>
        </w:rPr>
        <w:t xml:space="preserve">De esta manera, </w:t>
      </w:r>
      <w:r w:rsidR="00072A3E" w:rsidRPr="0031297B">
        <w:rPr>
          <w:rFonts w:ascii="Arial" w:hAnsi="Arial"/>
          <w:sz w:val="24"/>
          <w:szCs w:val="24"/>
          <w:lang w:val="es-ES"/>
        </w:rPr>
        <w:t>el mayor incremento en los valores de pH</w:t>
      </w:r>
      <w:r w:rsidR="008820B9">
        <w:rPr>
          <w:rFonts w:ascii="Arial" w:hAnsi="Arial"/>
          <w:sz w:val="24"/>
          <w:szCs w:val="24"/>
          <w:lang w:val="es-ES"/>
        </w:rPr>
        <w:t xml:space="preserve"> (</w:t>
      </w:r>
      <w:r w:rsidR="00D623FD">
        <w:rPr>
          <w:rFonts w:ascii="Arial" w:hAnsi="Arial"/>
          <w:sz w:val="24"/>
          <w:szCs w:val="24"/>
          <w:lang w:val="es-ES"/>
        </w:rPr>
        <w:t>f</w:t>
      </w:r>
      <w:r w:rsidR="008820B9">
        <w:rPr>
          <w:rFonts w:ascii="Arial" w:hAnsi="Arial"/>
          <w:sz w:val="24"/>
          <w:szCs w:val="24"/>
          <w:lang w:val="es-ES"/>
        </w:rPr>
        <w:t>igura 1)</w:t>
      </w:r>
      <w:r w:rsidR="00072A3E" w:rsidRPr="0031297B">
        <w:rPr>
          <w:rFonts w:ascii="Arial" w:hAnsi="Arial"/>
          <w:sz w:val="24"/>
          <w:szCs w:val="24"/>
          <w:lang w:val="es-ES"/>
        </w:rPr>
        <w:t xml:space="preserve"> observado en los ensayos con mayores concentraciones de hierro (NC2 y PC2) pudo ser debido a un mayor consumo de iones H</w:t>
      </w:r>
      <w:r w:rsidR="00072A3E" w:rsidRPr="0031297B">
        <w:rPr>
          <w:rFonts w:ascii="Arial" w:hAnsi="Arial"/>
          <w:sz w:val="24"/>
          <w:szCs w:val="24"/>
          <w:vertAlign w:val="superscript"/>
          <w:lang w:val="es-ES"/>
        </w:rPr>
        <w:t>+</w:t>
      </w:r>
      <w:r w:rsidR="00072A3E" w:rsidRPr="0031297B">
        <w:rPr>
          <w:rFonts w:ascii="Arial" w:hAnsi="Arial"/>
          <w:sz w:val="24"/>
          <w:szCs w:val="24"/>
          <w:lang w:val="es-ES"/>
        </w:rPr>
        <w:t xml:space="preserve"> (2H</w:t>
      </w:r>
      <w:r w:rsidR="00072A3E" w:rsidRPr="0031297B">
        <w:rPr>
          <w:rFonts w:ascii="Arial" w:hAnsi="Arial"/>
          <w:sz w:val="24"/>
          <w:szCs w:val="24"/>
          <w:vertAlign w:val="superscript"/>
          <w:lang w:val="es-ES"/>
        </w:rPr>
        <w:t xml:space="preserve">+ </w:t>
      </w:r>
      <w:r w:rsidR="00072A3E" w:rsidRPr="0031297B">
        <w:rPr>
          <w:rFonts w:ascii="Arial" w:hAnsi="Arial"/>
          <w:sz w:val="24"/>
          <w:szCs w:val="24"/>
          <w:lang w:val="es-ES"/>
        </w:rPr>
        <w:t>por cada Fe</w:t>
      </w:r>
      <w:r w:rsidR="00072A3E" w:rsidRPr="0031297B">
        <w:rPr>
          <w:rFonts w:ascii="Arial" w:hAnsi="Arial"/>
          <w:sz w:val="24"/>
          <w:szCs w:val="24"/>
          <w:vertAlign w:val="superscript"/>
          <w:lang w:val="es-ES"/>
        </w:rPr>
        <w:t>2+</w:t>
      </w:r>
      <w:r w:rsidR="00072A3E" w:rsidRPr="0031297B">
        <w:rPr>
          <w:rFonts w:ascii="Arial" w:hAnsi="Arial"/>
          <w:sz w:val="24"/>
          <w:szCs w:val="24"/>
          <w:lang w:val="es-ES"/>
        </w:rPr>
        <w:t>)</w:t>
      </w:r>
      <w:r w:rsidR="00094392" w:rsidRPr="00094392">
        <w:t xml:space="preserve"> </w:t>
      </w:r>
      <w:r w:rsidR="00094392" w:rsidRPr="00094392">
        <w:rPr>
          <w:rFonts w:ascii="Arial" w:hAnsi="Arial"/>
          <w:sz w:val="24"/>
          <w:szCs w:val="24"/>
          <w:lang w:val="es-ES"/>
        </w:rPr>
        <w:t xml:space="preserve">(Blázquez </w:t>
      </w:r>
      <w:r w:rsidR="00AB75EE" w:rsidRPr="00AB75EE">
        <w:rPr>
          <w:rFonts w:ascii="Arial" w:hAnsi="Arial"/>
          <w:i/>
          <w:sz w:val="24"/>
          <w:szCs w:val="24"/>
          <w:lang w:val="es-ES"/>
        </w:rPr>
        <w:t>et al</w:t>
      </w:r>
      <w:r w:rsidR="00094392" w:rsidRPr="00094392">
        <w:rPr>
          <w:rFonts w:ascii="Arial" w:hAnsi="Arial"/>
          <w:sz w:val="24"/>
          <w:szCs w:val="24"/>
          <w:lang w:val="es-ES"/>
        </w:rPr>
        <w:t>., 1993)</w:t>
      </w:r>
      <w:r w:rsidR="00CB7B22">
        <w:rPr>
          <w:rFonts w:ascii="Arial" w:hAnsi="Arial"/>
          <w:sz w:val="24"/>
          <w:szCs w:val="24"/>
          <w:lang w:val="es-ES"/>
        </w:rPr>
        <w:t xml:space="preserve">. </w:t>
      </w:r>
      <w:r w:rsidR="00072A3E" w:rsidRPr="0031297B">
        <w:rPr>
          <w:rFonts w:ascii="Arial" w:hAnsi="Arial"/>
          <w:sz w:val="24"/>
          <w:szCs w:val="24"/>
        </w:rPr>
        <w:t>Sin embargo, los ensayos abióticos también evidenciaron un aumento en los valores de pH durante este periodo, indicando que los agentes alcalinizantes presentes en la matriz del carbón también podrían influir sobre este efecto, lo cual coincide con lo reportado en investigaciones previas realizadas sobre carbones de la zona</w:t>
      </w:r>
      <w:r w:rsidR="00EA4F02">
        <w:rPr>
          <w:rFonts w:ascii="Arial" w:hAnsi="Arial"/>
          <w:sz w:val="24"/>
          <w:szCs w:val="24"/>
        </w:rPr>
        <w:t xml:space="preserve"> (Caicedo &amp; </w:t>
      </w:r>
      <w:proofErr w:type="spellStart"/>
      <w:r w:rsidR="00EA4F02">
        <w:rPr>
          <w:rFonts w:ascii="Arial" w:hAnsi="Arial"/>
          <w:sz w:val="24"/>
          <w:szCs w:val="24"/>
        </w:rPr>
        <w:t>Marquéz</w:t>
      </w:r>
      <w:proofErr w:type="spellEnd"/>
      <w:r w:rsidR="00EA4F02">
        <w:rPr>
          <w:rFonts w:ascii="Arial" w:hAnsi="Arial"/>
          <w:sz w:val="24"/>
          <w:szCs w:val="24"/>
        </w:rPr>
        <w:t xml:space="preserve">, 2011; Peláez </w:t>
      </w:r>
      <w:r w:rsidR="00EA4F02" w:rsidRPr="008A7BB1">
        <w:rPr>
          <w:rFonts w:ascii="Arial" w:hAnsi="Arial"/>
          <w:i/>
          <w:sz w:val="24"/>
          <w:szCs w:val="24"/>
        </w:rPr>
        <w:t>et al</w:t>
      </w:r>
      <w:r w:rsidR="00EA4F02">
        <w:rPr>
          <w:rFonts w:ascii="Arial" w:hAnsi="Arial"/>
          <w:sz w:val="24"/>
          <w:szCs w:val="24"/>
        </w:rPr>
        <w:t>., 2013).</w:t>
      </w:r>
      <w:r w:rsidR="00072A3E" w:rsidRPr="0031297B">
        <w:rPr>
          <w:rFonts w:ascii="Arial" w:hAnsi="Arial"/>
          <w:sz w:val="24"/>
          <w:szCs w:val="24"/>
        </w:rPr>
        <w:t xml:space="preserve"> </w:t>
      </w:r>
      <w:r w:rsidR="00AB75EE">
        <w:rPr>
          <w:rFonts w:ascii="Arial" w:hAnsi="Arial"/>
          <w:sz w:val="24"/>
          <w:szCs w:val="24"/>
        </w:rPr>
        <w:fldChar w:fldCharType="begin" w:fldLock="1"/>
      </w:r>
      <w:r w:rsidR="00360F27">
        <w:rPr>
          <w:rFonts w:ascii="Arial" w:hAnsi="Arial"/>
          <w:sz w:val="24"/>
          <w:szCs w:val="24"/>
        </w:rPr>
        <w:instrText>ADDIN CSL_CITATION { "citationItems" : [ { "id" : "ITEM-1", "itemData" : { "author" : [ { "dropping-particle" : "", "family" : "Caicedo", "given" : "G", "non-dropping-particle" : "", "parse-names" : false, "suffix" : "" }, { "dropping-particle" : "", "family" : "Marqu\u00e9z", "given" : "M", "non-dropping-particle" : "", "parse-names" : false, "suffix" : "" } ], "id" : "ITEM-1", "issued" : { "date-parts" : [ [ "2011" ] ] }, "title" : "Influencia de la concentraci\u00f3n de hierro y pH iniciales en un proceso de biodesulfurizaci\u00f3n de carb\u00f3n \u2013 ensayos a nivel de laboratorio", "type" : "article-journal" }, "uris" : [ "http://www.mendeley.com/documents/?uuid=caf9c812-5151-4800-936f-9855b3645cd8" ] }, { "id" : "ITEM-2", "itemData" : { "author" : [ { "dropping-particle" : "", "family" : "Pel\u00e1ez", "given" : "H", "non-dropping-particle" : "", "parse-names" : false, "suffix" : "" }, { "dropping-particle" : "", "family" : "Prada", "given" : "M", "non-dropping-particle" : "", "parse-names" : false, "suffix" : "" }, { "dropping-particle" : "", "family" : "Caicedo", "given" : "G", "non-dropping-particle" : "", "parse-names" : false, "suffix" : "" }, { "dropping-particle" : "", "family" : "Moreno", "given" : "C", "non-dropping-particle" : "", "parse-names" : false, "suffix" : "" }, { "dropping-particle" : "", "family" : "Marqu\u00e9z", "given" : "M", "non-dropping-particle" : "", "parse-names" : false, "suffix" : "" } ], "id" : "ITEM-2", "issue" : "2", "issued" : { "date-parts" : [ [ "2013" ] ] }, "page" : "211-217", "title" : "(Recibido mayo 2011, aceptado febrero 2013)", "type" : "article-journal", "volume" : "29" }, "uris" : [ "http://www.mendeley.com/documents/?uuid=de5788f7-bf7b-49b5-91d9-5a8acb5e717c" ] } ], "mendeley" : { "formattedCitation" : "(Caicedo &amp; Marqu\u00e9z, 2011; Pel\u00e1ez et al., 2013)", "plainTextFormattedCitation" : "(Caicedo &amp; Marqu\u00e9z, 2011; Pel\u00e1ez et al., 2013)", "previouslyFormattedCitation" : "(Caicedo &amp; Marqu\u00e9z, 2011; Pel\u00e1ez et al., 2013)" }, "properties" : { "noteIndex" : 0 }, "schema" : "https://github.com/citation-style-language/schema/raw/master/csl-citation.json" }</w:instrText>
      </w:r>
      <w:r w:rsidR="00AB75EE">
        <w:rPr>
          <w:rFonts w:ascii="Arial" w:hAnsi="Arial"/>
          <w:sz w:val="24"/>
          <w:szCs w:val="24"/>
        </w:rPr>
        <w:fldChar w:fldCharType="end"/>
      </w:r>
    </w:p>
    <w:p w:rsidR="009E5D38" w:rsidRDefault="009E5D38" w:rsidP="006F2C2B">
      <w:pPr>
        <w:pStyle w:val="Sinespaciado"/>
        <w:jc w:val="both"/>
        <w:rPr>
          <w:rFonts w:ascii="Arial" w:hAnsi="Arial"/>
          <w:sz w:val="24"/>
          <w:szCs w:val="24"/>
        </w:rPr>
      </w:pPr>
    </w:p>
    <w:p w:rsidR="00B07DB4" w:rsidRDefault="00072A3E" w:rsidP="006F2C2B">
      <w:pPr>
        <w:pStyle w:val="Sinespaciado"/>
        <w:jc w:val="both"/>
        <w:rPr>
          <w:rFonts w:ascii="Arial" w:hAnsi="Arial"/>
          <w:sz w:val="24"/>
          <w:szCs w:val="24"/>
        </w:rPr>
      </w:pPr>
      <w:r w:rsidRPr="0031297B">
        <w:rPr>
          <w:rFonts w:ascii="Arial" w:hAnsi="Arial"/>
          <w:sz w:val="24"/>
          <w:szCs w:val="24"/>
          <w:lang w:val="es-ES"/>
        </w:rPr>
        <w:t>La posterior disminución</w:t>
      </w:r>
      <w:r w:rsidRPr="0031297B">
        <w:rPr>
          <w:rFonts w:ascii="Arial" w:hAnsi="Arial"/>
          <w:sz w:val="24"/>
          <w:szCs w:val="24"/>
        </w:rPr>
        <w:t xml:space="preserve"> de los valores de pH que se observ</w:t>
      </w:r>
      <w:r w:rsidR="008820B9">
        <w:rPr>
          <w:rFonts w:ascii="Arial" w:hAnsi="Arial"/>
          <w:sz w:val="24"/>
          <w:szCs w:val="24"/>
        </w:rPr>
        <w:t xml:space="preserve">ó a partir del día dos, es una </w:t>
      </w:r>
      <w:r w:rsidRPr="0031297B">
        <w:rPr>
          <w:rFonts w:ascii="Arial" w:hAnsi="Arial"/>
          <w:sz w:val="24"/>
          <w:szCs w:val="24"/>
        </w:rPr>
        <w:t>evidencia de producción de iones H</w:t>
      </w:r>
      <w:r w:rsidRPr="0031297B">
        <w:rPr>
          <w:rFonts w:ascii="Arial" w:hAnsi="Arial"/>
          <w:sz w:val="24"/>
          <w:szCs w:val="24"/>
          <w:vertAlign w:val="superscript"/>
        </w:rPr>
        <w:t>+</w:t>
      </w:r>
      <w:r w:rsidR="008820B9">
        <w:rPr>
          <w:rFonts w:ascii="Arial" w:hAnsi="Arial"/>
          <w:sz w:val="24"/>
          <w:szCs w:val="24"/>
        </w:rPr>
        <w:t xml:space="preserve">, producto </w:t>
      </w:r>
      <w:r w:rsidRPr="0031297B">
        <w:rPr>
          <w:rFonts w:ascii="Arial" w:hAnsi="Arial"/>
          <w:sz w:val="24"/>
          <w:szCs w:val="24"/>
        </w:rPr>
        <w:t xml:space="preserve">tanto de la reacción de hidrólisis de los iones férricos </w:t>
      </w:r>
      <w:r w:rsidR="009E5D38">
        <w:rPr>
          <w:rFonts w:ascii="Arial" w:hAnsi="Arial"/>
          <w:sz w:val="24"/>
          <w:szCs w:val="24"/>
        </w:rPr>
        <w:t>disueltos</w:t>
      </w:r>
      <w:r w:rsidRPr="0031297B">
        <w:rPr>
          <w:rFonts w:ascii="Arial" w:hAnsi="Arial"/>
          <w:sz w:val="24"/>
          <w:szCs w:val="24"/>
        </w:rPr>
        <w:t>, como de la biooxidac</w:t>
      </w:r>
      <w:r w:rsidR="009E5D38">
        <w:rPr>
          <w:rFonts w:ascii="Arial" w:hAnsi="Arial"/>
          <w:sz w:val="24"/>
          <w:szCs w:val="24"/>
        </w:rPr>
        <w:t>ión de la pirita</w:t>
      </w:r>
      <w:r w:rsidR="00EA4F02">
        <w:rPr>
          <w:rFonts w:ascii="Arial" w:hAnsi="Arial"/>
          <w:sz w:val="24"/>
          <w:szCs w:val="24"/>
        </w:rPr>
        <w:t xml:space="preserve"> (</w:t>
      </w:r>
      <w:proofErr w:type="spellStart"/>
      <w:r w:rsidR="00EA4F02">
        <w:rPr>
          <w:rFonts w:ascii="Arial" w:hAnsi="Arial"/>
          <w:sz w:val="24"/>
          <w:szCs w:val="24"/>
        </w:rPr>
        <w:t>Daoud</w:t>
      </w:r>
      <w:proofErr w:type="spellEnd"/>
      <w:r w:rsidR="00EA4F02">
        <w:rPr>
          <w:rFonts w:ascii="Arial" w:hAnsi="Arial"/>
          <w:sz w:val="24"/>
          <w:szCs w:val="24"/>
        </w:rPr>
        <w:t xml:space="preserve"> &amp; </w:t>
      </w:r>
      <w:proofErr w:type="spellStart"/>
      <w:r w:rsidR="00EA4F02">
        <w:rPr>
          <w:rFonts w:ascii="Arial" w:hAnsi="Arial"/>
          <w:sz w:val="24"/>
          <w:szCs w:val="24"/>
        </w:rPr>
        <w:t>Karamanev</w:t>
      </w:r>
      <w:proofErr w:type="spellEnd"/>
      <w:r w:rsidR="00EA4F02">
        <w:rPr>
          <w:rFonts w:ascii="Arial" w:hAnsi="Arial"/>
          <w:sz w:val="24"/>
          <w:szCs w:val="24"/>
        </w:rPr>
        <w:t>, 2006)</w:t>
      </w:r>
      <w:r w:rsidR="00D41AB7">
        <w:rPr>
          <w:rFonts w:ascii="Arial" w:hAnsi="Arial"/>
          <w:sz w:val="24"/>
          <w:szCs w:val="24"/>
        </w:rPr>
        <w:t xml:space="preserve">. </w:t>
      </w:r>
      <w:r w:rsidRPr="00614406">
        <w:rPr>
          <w:rFonts w:ascii="Arial" w:hAnsi="Arial"/>
          <w:sz w:val="24"/>
          <w:szCs w:val="24"/>
        </w:rPr>
        <w:t>Así pues, podría</w:t>
      </w:r>
      <w:r w:rsidRPr="0031297B">
        <w:rPr>
          <w:rFonts w:ascii="Arial" w:hAnsi="Arial"/>
          <w:sz w:val="24"/>
          <w:szCs w:val="24"/>
        </w:rPr>
        <w:t xml:space="preserve"> sugerirse que la acidez del medio lixiviante, favorece la solubilidad y disminuye la precipitación de los iones Fe</w:t>
      </w:r>
      <w:r w:rsidRPr="0031297B">
        <w:rPr>
          <w:rFonts w:ascii="Arial" w:hAnsi="Arial"/>
          <w:sz w:val="24"/>
          <w:szCs w:val="24"/>
          <w:vertAlign w:val="superscript"/>
        </w:rPr>
        <w:t>3+</w:t>
      </w:r>
      <w:r w:rsidRPr="0031297B">
        <w:rPr>
          <w:rFonts w:ascii="Arial" w:hAnsi="Arial"/>
          <w:sz w:val="24"/>
          <w:szCs w:val="24"/>
        </w:rPr>
        <w:t xml:space="preserve">, </w:t>
      </w:r>
      <w:r w:rsidR="008820B9">
        <w:rPr>
          <w:rFonts w:ascii="Arial" w:hAnsi="Arial"/>
          <w:sz w:val="24"/>
          <w:szCs w:val="24"/>
        </w:rPr>
        <w:t>aumentando</w:t>
      </w:r>
      <w:r w:rsidRPr="0031297B">
        <w:rPr>
          <w:rFonts w:ascii="Arial" w:hAnsi="Arial"/>
          <w:sz w:val="24"/>
          <w:szCs w:val="24"/>
        </w:rPr>
        <w:t xml:space="preserve"> las tasas de oxidación de pirita y la eficiencia de proceso, debido probablemente a que si el agente químico oxidante se mantiene disponible en la solución por más tiempo, </w:t>
      </w:r>
      <w:r w:rsidR="004125B0">
        <w:rPr>
          <w:rFonts w:ascii="Arial" w:hAnsi="Arial"/>
          <w:sz w:val="24"/>
          <w:szCs w:val="24"/>
        </w:rPr>
        <w:t>podría</w:t>
      </w:r>
      <w:r w:rsidR="008820B9">
        <w:rPr>
          <w:rFonts w:ascii="Arial" w:hAnsi="Arial"/>
          <w:sz w:val="24"/>
          <w:szCs w:val="24"/>
        </w:rPr>
        <w:t xml:space="preserve"> darse </w:t>
      </w:r>
      <w:r w:rsidRPr="0031297B">
        <w:rPr>
          <w:rFonts w:ascii="Arial" w:hAnsi="Arial"/>
          <w:sz w:val="24"/>
          <w:szCs w:val="24"/>
        </w:rPr>
        <w:t xml:space="preserve">un mayor ataque oxidativo, permitiendo un incremento en las tasas de extracción del sulfuro metálico. </w:t>
      </w:r>
    </w:p>
    <w:p w:rsidR="00B07DB4" w:rsidRPr="00B07DB4" w:rsidRDefault="00B07DB4" w:rsidP="006F2C2B">
      <w:pPr>
        <w:pStyle w:val="Sinespaciado"/>
        <w:jc w:val="both"/>
        <w:rPr>
          <w:rFonts w:ascii="Arial" w:hAnsi="Arial"/>
          <w:sz w:val="24"/>
          <w:szCs w:val="24"/>
        </w:rPr>
      </w:pPr>
    </w:p>
    <w:p w:rsidR="00072A3E" w:rsidRPr="0031297B" w:rsidRDefault="00072A3E" w:rsidP="006F2C2B">
      <w:pPr>
        <w:pStyle w:val="Sinespaciado"/>
        <w:jc w:val="both"/>
        <w:rPr>
          <w:rFonts w:ascii="Arial" w:hAnsi="Arial"/>
          <w:sz w:val="24"/>
          <w:szCs w:val="24"/>
        </w:rPr>
      </w:pPr>
      <w:r w:rsidRPr="0031297B">
        <w:rPr>
          <w:rFonts w:ascii="Arial" w:hAnsi="Arial"/>
          <w:sz w:val="24"/>
          <w:szCs w:val="24"/>
        </w:rPr>
        <w:lastRenderedPageBreak/>
        <w:t>Vale la pena mencionar, que los microorganismos nativos evidenciaron una mayor disminución en el pH en comparación con el cultivo axénico, independientemente de la concentración de hierro ferroso adicionada a la solución. Esto se debió probablemente a que el aislado nativo logró una mejor adaptació</w:t>
      </w:r>
      <w:r w:rsidR="00B07DB4">
        <w:rPr>
          <w:rFonts w:ascii="Arial" w:hAnsi="Arial"/>
          <w:sz w:val="24"/>
          <w:szCs w:val="24"/>
        </w:rPr>
        <w:t>n previo al proceso de biodesulfurización</w:t>
      </w:r>
      <w:r w:rsidRPr="0031297B">
        <w:rPr>
          <w:rFonts w:ascii="Arial" w:hAnsi="Arial"/>
          <w:sz w:val="24"/>
          <w:szCs w:val="24"/>
        </w:rPr>
        <w:t xml:space="preserve">, </w:t>
      </w:r>
      <w:r w:rsidR="00B07DB4">
        <w:rPr>
          <w:rFonts w:ascii="Arial" w:hAnsi="Arial"/>
          <w:sz w:val="24"/>
          <w:szCs w:val="24"/>
        </w:rPr>
        <w:t xml:space="preserve">obteniendo </w:t>
      </w:r>
      <w:r w:rsidRPr="0031297B">
        <w:rPr>
          <w:rFonts w:ascii="Arial" w:hAnsi="Arial"/>
          <w:sz w:val="24"/>
          <w:szCs w:val="24"/>
        </w:rPr>
        <w:t>una mayor población celular y por ende una mayor actividad oxidativa que le permite generar mayores cantidades de ácido para compensar el consumo de iones H</w:t>
      </w:r>
      <w:r w:rsidRPr="0031297B">
        <w:rPr>
          <w:rFonts w:ascii="Arial" w:hAnsi="Arial"/>
          <w:sz w:val="24"/>
          <w:szCs w:val="24"/>
          <w:vertAlign w:val="superscript"/>
        </w:rPr>
        <w:t>+</w:t>
      </w:r>
      <w:r w:rsidRPr="0031297B">
        <w:rPr>
          <w:rFonts w:ascii="Arial" w:hAnsi="Arial"/>
          <w:sz w:val="24"/>
          <w:szCs w:val="24"/>
        </w:rPr>
        <w:t xml:space="preserve"> </w:t>
      </w:r>
      <w:r w:rsidR="00B07DB4">
        <w:rPr>
          <w:rFonts w:ascii="Arial" w:hAnsi="Arial"/>
          <w:sz w:val="24"/>
          <w:szCs w:val="24"/>
        </w:rPr>
        <w:t xml:space="preserve">por parte de las bacterias </w:t>
      </w:r>
      <w:r w:rsidRPr="0031297B">
        <w:rPr>
          <w:rFonts w:ascii="Arial" w:hAnsi="Arial"/>
          <w:sz w:val="24"/>
          <w:szCs w:val="24"/>
        </w:rPr>
        <w:t xml:space="preserve">durante el proceso. Esta ventaja podría estar relacionada con una capacidad inherente de los microorganismos asociada con al medio natural (drenaje ácido de una mina de carbón) del cual fueron aisladas. </w:t>
      </w:r>
    </w:p>
    <w:p w:rsidR="001B772E" w:rsidRPr="0031297B" w:rsidRDefault="001B772E" w:rsidP="006F2C2B">
      <w:pPr>
        <w:pStyle w:val="Sinespaciado"/>
        <w:jc w:val="both"/>
        <w:rPr>
          <w:rFonts w:ascii="Arial" w:hAnsi="Arial"/>
          <w:sz w:val="24"/>
          <w:szCs w:val="24"/>
        </w:rPr>
      </w:pPr>
    </w:p>
    <w:p w:rsidR="00072A3E" w:rsidRPr="0031297B" w:rsidRDefault="008820B9" w:rsidP="006F2C2B">
      <w:pPr>
        <w:pStyle w:val="Sinespaciado"/>
        <w:jc w:val="both"/>
        <w:rPr>
          <w:rStyle w:val="A1"/>
          <w:rFonts w:ascii="Arial" w:hAnsi="Arial"/>
          <w:sz w:val="24"/>
          <w:szCs w:val="24"/>
        </w:rPr>
      </w:pPr>
      <w:r>
        <w:rPr>
          <w:rFonts w:ascii="Arial" w:hAnsi="Arial"/>
          <w:sz w:val="24"/>
          <w:szCs w:val="24"/>
        </w:rPr>
        <w:t xml:space="preserve">Por otra parte, </w:t>
      </w:r>
      <w:r w:rsidR="00072A3E" w:rsidRPr="0031297B">
        <w:rPr>
          <w:rFonts w:ascii="Arial" w:hAnsi="Arial"/>
          <w:sz w:val="24"/>
          <w:szCs w:val="24"/>
        </w:rPr>
        <w:t xml:space="preserve">los resultados </w:t>
      </w:r>
      <w:r w:rsidR="00614406">
        <w:rPr>
          <w:rFonts w:ascii="Arial" w:hAnsi="Arial"/>
          <w:sz w:val="24"/>
          <w:szCs w:val="24"/>
        </w:rPr>
        <w:t>de potencial de óxido-reducción</w:t>
      </w:r>
      <w:r w:rsidR="00072A3E" w:rsidRPr="0031297B">
        <w:rPr>
          <w:rFonts w:ascii="Arial" w:hAnsi="Arial"/>
          <w:sz w:val="24"/>
          <w:szCs w:val="24"/>
        </w:rPr>
        <w:t xml:space="preserve"> obtenidos p</w:t>
      </w:r>
      <w:r w:rsidR="00614406">
        <w:rPr>
          <w:rFonts w:ascii="Arial" w:hAnsi="Arial"/>
          <w:sz w:val="24"/>
          <w:szCs w:val="24"/>
        </w:rPr>
        <w:t>or</w:t>
      </w:r>
      <w:r w:rsidR="00770D26">
        <w:rPr>
          <w:rFonts w:ascii="Arial" w:hAnsi="Arial"/>
          <w:sz w:val="24"/>
          <w:szCs w:val="24"/>
        </w:rPr>
        <w:t xml:space="preserve"> </w:t>
      </w:r>
      <w:r w:rsidR="00614406">
        <w:rPr>
          <w:rFonts w:ascii="Arial" w:hAnsi="Arial"/>
          <w:sz w:val="24"/>
          <w:szCs w:val="24"/>
        </w:rPr>
        <w:t>los experimentos</w:t>
      </w:r>
      <w:r w:rsidR="00770D26">
        <w:rPr>
          <w:rFonts w:ascii="Arial" w:hAnsi="Arial"/>
          <w:sz w:val="24"/>
          <w:szCs w:val="24"/>
        </w:rPr>
        <w:t xml:space="preserve"> </w:t>
      </w:r>
      <w:r w:rsidR="00865796">
        <w:rPr>
          <w:rFonts w:ascii="Arial" w:hAnsi="Arial"/>
          <w:sz w:val="24"/>
          <w:szCs w:val="24"/>
        </w:rPr>
        <w:t xml:space="preserve">bióticos </w:t>
      </w:r>
      <w:r w:rsidR="00770D26">
        <w:rPr>
          <w:rFonts w:ascii="Arial" w:hAnsi="Arial"/>
          <w:sz w:val="24"/>
          <w:szCs w:val="24"/>
        </w:rPr>
        <w:t>realizados</w:t>
      </w:r>
      <w:r w:rsidR="00614406">
        <w:rPr>
          <w:rFonts w:ascii="Arial" w:hAnsi="Arial"/>
          <w:sz w:val="24"/>
          <w:szCs w:val="24"/>
        </w:rPr>
        <w:t xml:space="preserve"> (</w:t>
      </w:r>
      <w:r w:rsidR="00D623FD">
        <w:rPr>
          <w:rFonts w:ascii="Arial" w:hAnsi="Arial"/>
          <w:sz w:val="24"/>
          <w:szCs w:val="24"/>
        </w:rPr>
        <w:t>f</w:t>
      </w:r>
      <w:r w:rsidR="00614406">
        <w:rPr>
          <w:rFonts w:ascii="Arial" w:hAnsi="Arial"/>
          <w:sz w:val="24"/>
          <w:szCs w:val="24"/>
        </w:rPr>
        <w:t>igura 2),</w:t>
      </w:r>
      <w:r w:rsidR="00072A3E" w:rsidRPr="0031297B">
        <w:rPr>
          <w:rFonts w:ascii="Arial" w:hAnsi="Arial"/>
          <w:sz w:val="24"/>
          <w:szCs w:val="24"/>
        </w:rPr>
        <w:t xml:space="preserve"> mostraron valores alrededor de los 600 mV, similar a otros procesos de b</w:t>
      </w:r>
      <w:r w:rsidR="00A7018C">
        <w:rPr>
          <w:rFonts w:ascii="Arial" w:hAnsi="Arial"/>
          <w:sz w:val="24"/>
          <w:szCs w:val="24"/>
        </w:rPr>
        <w:t>iodesulfurización en suspensión</w:t>
      </w:r>
      <w:r w:rsidR="00EA4F02">
        <w:rPr>
          <w:rFonts w:ascii="Arial" w:hAnsi="Arial"/>
          <w:sz w:val="24"/>
          <w:szCs w:val="24"/>
        </w:rPr>
        <w:t xml:space="preserve"> (Caicedo &amp; </w:t>
      </w:r>
      <w:proofErr w:type="spellStart"/>
      <w:r w:rsidR="00EA4F02">
        <w:rPr>
          <w:rFonts w:ascii="Arial" w:hAnsi="Arial"/>
          <w:sz w:val="24"/>
          <w:szCs w:val="24"/>
        </w:rPr>
        <w:t>Marquéz</w:t>
      </w:r>
      <w:proofErr w:type="spellEnd"/>
      <w:r w:rsidR="00EA4F02">
        <w:rPr>
          <w:rFonts w:ascii="Arial" w:hAnsi="Arial"/>
          <w:sz w:val="24"/>
          <w:szCs w:val="24"/>
        </w:rPr>
        <w:t>, 2011)</w:t>
      </w:r>
      <w:r w:rsidR="00A7018C">
        <w:rPr>
          <w:rFonts w:ascii="Arial" w:hAnsi="Arial"/>
          <w:sz w:val="24"/>
          <w:szCs w:val="24"/>
        </w:rPr>
        <w:t>.</w:t>
      </w:r>
      <w:r w:rsidR="0036616F">
        <w:rPr>
          <w:rFonts w:ascii="Arial" w:hAnsi="Arial"/>
          <w:sz w:val="24"/>
          <w:szCs w:val="24"/>
        </w:rPr>
        <w:t xml:space="preserve"> </w:t>
      </w:r>
      <w:r w:rsidR="00072A3E" w:rsidRPr="0031297B">
        <w:rPr>
          <w:rFonts w:ascii="Arial" w:hAnsi="Arial"/>
          <w:sz w:val="24"/>
          <w:szCs w:val="24"/>
        </w:rPr>
        <w:t>Podría decirse que los altos valores de Eh fueron debidos al incremento de la concentración inicial de sulfato ferroso, la cual contribuyó con el hecho de que los microorganismos incrementaran su metabolismo, aumentando la relación Fe</w:t>
      </w:r>
      <w:r w:rsidR="00072A3E" w:rsidRPr="0031297B">
        <w:rPr>
          <w:rFonts w:ascii="Arial" w:hAnsi="Arial"/>
          <w:sz w:val="24"/>
          <w:szCs w:val="24"/>
          <w:vertAlign w:val="superscript"/>
        </w:rPr>
        <w:t>3+</w:t>
      </w:r>
      <w:r w:rsidR="00072A3E" w:rsidRPr="0031297B">
        <w:rPr>
          <w:rFonts w:ascii="Arial" w:hAnsi="Arial"/>
          <w:sz w:val="24"/>
          <w:szCs w:val="24"/>
        </w:rPr>
        <w:t>/Fe</w:t>
      </w:r>
      <w:r w:rsidR="00072A3E" w:rsidRPr="0031297B">
        <w:rPr>
          <w:rFonts w:ascii="Arial" w:hAnsi="Arial"/>
          <w:sz w:val="24"/>
          <w:szCs w:val="24"/>
          <w:vertAlign w:val="superscript"/>
        </w:rPr>
        <w:t>2+</w:t>
      </w:r>
      <w:r w:rsidR="00072A3E" w:rsidRPr="0031297B">
        <w:rPr>
          <w:rFonts w:ascii="Arial" w:hAnsi="Arial"/>
          <w:sz w:val="24"/>
          <w:szCs w:val="24"/>
        </w:rPr>
        <w:t xml:space="preserve"> en el medio lixiviante y </w:t>
      </w:r>
      <w:r w:rsidR="00072A3E" w:rsidRPr="0031297B">
        <w:rPr>
          <w:rStyle w:val="A1"/>
          <w:rFonts w:ascii="Arial" w:hAnsi="Arial"/>
          <w:sz w:val="24"/>
          <w:szCs w:val="24"/>
        </w:rPr>
        <w:t>generando un ambiente propicio para que se lleve a cabo la oxidación de la pirita</w:t>
      </w:r>
      <w:r w:rsidR="00EA4F02">
        <w:rPr>
          <w:rStyle w:val="A1"/>
          <w:rFonts w:ascii="Arial" w:hAnsi="Arial"/>
          <w:sz w:val="24"/>
          <w:szCs w:val="24"/>
        </w:rPr>
        <w:t xml:space="preserve"> (Meruane, 2002).</w:t>
      </w:r>
    </w:p>
    <w:p w:rsidR="001B772E" w:rsidRPr="0031297B" w:rsidRDefault="001B772E" w:rsidP="006F2C2B">
      <w:pPr>
        <w:pStyle w:val="Sinespaciado"/>
        <w:jc w:val="both"/>
        <w:rPr>
          <w:rFonts w:ascii="Arial" w:hAnsi="Arial"/>
          <w:sz w:val="24"/>
          <w:szCs w:val="24"/>
        </w:rPr>
      </w:pPr>
    </w:p>
    <w:p w:rsidR="00072A3E" w:rsidRPr="0031297B" w:rsidRDefault="00072A3E" w:rsidP="006F2C2B">
      <w:pPr>
        <w:pStyle w:val="Sinespaciado"/>
        <w:jc w:val="both"/>
        <w:rPr>
          <w:rFonts w:ascii="Arial" w:hAnsi="Arial"/>
          <w:color w:val="000000" w:themeColor="text1"/>
          <w:sz w:val="24"/>
          <w:szCs w:val="24"/>
        </w:rPr>
      </w:pPr>
      <w:r w:rsidRPr="0031297B">
        <w:rPr>
          <w:rFonts w:ascii="Arial" w:hAnsi="Arial"/>
          <w:sz w:val="24"/>
          <w:szCs w:val="24"/>
        </w:rPr>
        <w:t xml:space="preserve">Adicionalmente, los mayores valores de Eh alcanzados por los microorganismos compatibles con </w:t>
      </w:r>
      <w:r w:rsidR="0040566C">
        <w:rPr>
          <w:rFonts w:ascii="Arial" w:hAnsi="Arial"/>
          <w:i/>
          <w:sz w:val="24"/>
          <w:szCs w:val="24"/>
        </w:rPr>
        <w:t>Acidithiobacillus</w:t>
      </w:r>
      <w:r w:rsidRPr="0031297B">
        <w:rPr>
          <w:rFonts w:ascii="Arial" w:hAnsi="Arial"/>
          <w:i/>
          <w:sz w:val="24"/>
          <w:szCs w:val="24"/>
        </w:rPr>
        <w:t xml:space="preserve"> ferrooxidans </w:t>
      </w:r>
      <w:r w:rsidRPr="0031297B">
        <w:rPr>
          <w:rFonts w:ascii="Arial" w:hAnsi="Arial"/>
          <w:sz w:val="24"/>
          <w:szCs w:val="24"/>
        </w:rPr>
        <w:t>(NC1 y NC2) indicaron que estos tuvieron una mayor actividad oxidativa en comparación con el</w:t>
      </w:r>
      <w:r w:rsidR="004125B0">
        <w:rPr>
          <w:rFonts w:ascii="Arial" w:hAnsi="Arial"/>
          <w:sz w:val="24"/>
          <w:szCs w:val="24"/>
        </w:rPr>
        <w:t xml:space="preserve"> cultivo axénico. Esto se debe probablemente a que </w:t>
      </w:r>
      <w:r w:rsidRPr="0031297B">
        <w:rPr>
          <w:rFonts w:ascii="Arial" w:hAnsi="Arial"/>
          <w:sz w:val="24"/>
          <w:szCs w:val="24"/>
        </w:rPr>
        <w:t>mantuvieron una constante transferencia de electrones en el sistema, fundamentalmente en lo que se refiere a la reg</w:t>
      </w:r>
      <w:r w:rsidR="00FA2C44">
        <w:rPr>
          <w:rFonts w:ascii="Arial" w:hAnsi="Arial"/>
          <w:sz w:val="24"/>
          <w:szCs w:val="24"/>
        </w:rPr>
        <w:t>eneración de los iones férricos</w:t>
      </w:r>
      <w:r w:rsidR="00EA4F02">
        <w:rPr>
          <w:rFonts w:ascii="Arial" w:hAnsi="Arial"/>
          <w:sz w:val="24"/>
          <w:szCs w:val="24"/>
        </w:rPr>
        <w:t xml:space="preserve"> (</w:t>
      </w:r>
      <w:proofErr w:type="spellStart"/>
      <w:r w:rsidR="00EA4F02">
        <w:rPr>
          <w:rFonts w:ascii="Arial" w:hAnsi="Arial"/>
          <w:sz w:val="24"/>
          <w:szCs w:val="24"/>
        </w:rPr>
        <w:t>Menadier</w:t>
      </w:r>
      <w:proofErr w:type="spellEnd"/>
      <w:r w:rsidR="00EA4F02">
        <w:rPr>
          <w:rFonts w:ascii="Arial" w:hAnsi="Arial"/>
          <w:sz w:val="24"/>
          <w:szCs w:val="24"/>
        </w:rPr>
        <w:t xml:space="preserve">, 2009). </w:t>
      </w:r>
      <w:r w:rsidRPr="0031297B">
        <w:rPr>
          <w:rFonts w:ascii="Arial" w:hAnsi="Arial"/>
          <w:sz w:val="24"/>
          <w:szCs w:val="24"/>
        </w:rPr>
        <w:t xml:space="preserve">Una hipótesis </w:t>
      </w:r>
      <w:r w:rsidRPr="0031297B">
        <w:rPr>
          <w:rFonts w:ascii="Arial" w:hAnsi="Arial"/>
          <w:color w:val="000000" w:themeColor="text1"/>
          <w:sz w:val="24"/>
          <w:szCs w:val="24"/>
        </w:rPr>
        <w:t xml:space="preserve">que surge a partir de estos resultados es que el cultivo compatible con </w:t>
      </w:r>
      <w:r w:rsidR="0040566C">
        <w:rPr>
          <w:rFonts w:ascii="Arial" w:hAnsi="Arial"/>
          <w:i/>
          <w:color w:val="000000" w:themeColor="text1"/>
          <w:sz w:val="24"/>
          <w:szCs w:val="24"/>
        </w:rPr>
        <w:t>Acidithiobacillus</w:t>
      </w:r>
      <w:r w:rsidRPr="0031297B">
        <w:rPr>
          <w:rFonts w:ascii="Arial" w:hAnsi="Arial"/>
          <w:i/>
          <w:color w:val="000000" w:themeColor="text1"/>
          <w:sz w:val="24"/>
          <w:szCs w:val="24"/>
        </w:rPr>
        <w:t xml:space="preserve"> ferrooxidans</w:t>
      </w:r>
      <w:r w:rsidRPr="0031297B">
        <w:rPr>
          <w:rFonts w:ascii="Arial" w:hAnsi="Arial"/>
          <w:color w:val="000000" w:themeColor="text1"/>
          <w:sz w:val="24"/>
          <w:szCs w:val="24"/>
        </w:rPr>
        <w:t xml:space="preserve"> puede contener además de esta bacteria otro tipo de microorganismo caus</w:t>
      </w:r>
      <w:r w:rsidR="00FA2C44">
        <w:rPr>
          <w:rFonts w:ascii="Arial" w:hAnsi="Arial"/>
          <w:color w:val="000000" w:themeColor="text1"/>
          <w:sz w:val="24"/>
          <w:szCs w:val="24"/>
        </w:rPr>
        <w:t>ante de este efecto</w:t>
      </w:r>
      <w:r w:rsidR="00EA4F02">
        <w:rPr>
          <w:rFonts w:ascii="Arial" w:hAnsi="Arial"/>
          <w:color w:val="000000" w:themeColor="text1"/>
          <w:sz w:val="24"/>
          <w:szCs w:val="24"/>
        </w:rPr>
        <w:t xml:space="preserve"> (</w:t>
      </w:r>
      <w:proofErr w:type="spellStart"/>
      <w:r w:rsidR="00EA4F02">
        <w:rPr>
          <w:rFonts w:ascii="Arial" w:hAnsi="Arial"/>
          <w:color w:val="000000" w:themeColor="text1"/>
          <w:sz w:val="24"/>
          <w:szCs w:val="24"/>
        </w:rPr>
        <w:t>Boon</w:t>
      </w:r>
      <w:proofErr w:type="spellEnd"/>
      <w:r w:rsidR="00EA4F02">
        <w:rPr>
          <w:rFonts w:ascii="Arial" w:hAnsi="Arial"/>
          <w:color w:val="000000" w:themeColor="text1"/>
          <w:sz w:val="24"/>
          <w:szCs w:val="24"/>
        </w:rPr>
        <w:t>, 2001).</w:t>
      </w:r>
      <w:r w:rsidR="00FA2C44">
        <w:rPr>
          <w:rFonts w:ascii="Arial" w:hAnsi="Arial"/>
          <w:color w:val="000000" w:themeColor="text1"/>
          <w:sz w:val="24"/>
          <w:szCs w:val="24"/>
        </w:rPr>
        <w:t xml:space="preserve"> </w:t>
      </w:r>
    </w:p>
    <w:p w:rsidR="001B772E" w:rsidRPr="0031297B" w:rsidRDefault="001B772E" w:rsidP="006F2C2B">
      <w:pPr>
        <w:pStyle w:val="Sinespaciado"/>
        <w:jc w:val="both"/>
        <w:rPr>
          <w:rFonts w:ascii="Arial" w:hAnsi="Arial"/>
          <w:color w:val="000000" w:themeColor="text1"/>
          <w:sz w:val="24"/>
          <w:szCs w:val="24"/>
        </w:rPr>
      </w:pPr>
    </w:p>
    <w:p w:rsidR="00072A3E" w:rsidRPr="0031297B" w:rsidRDefault="00072A3E" w:rsidP="006F2C2B">
      <w:pPr>
        <w:pStyle w:val="Sinespaciado"/>
        <w:jc w:val="both"/>
        <w:rPr>
          <w:rFonts w:ascii="Arial" w:hAnsi="Arial"/>
          <w:sz w:val="24"/>
          <w:szCs w:val="24"/>
        </w:rPr>
      </w:pPr>
      <w:r w:rsidRPr="0031297B">
        <w:rPr>
          <w:rFonts w:ascii="Arial" w:hAnsi="Arial"/>
          <w:color w:val="000000" w:themeColor="text1"/>
          <w:sz w:val="24"/>
          <w:szCs w:val="24"/>
        </w:rPr>
        <w:t xml:space="preserve">Vale la pena mencionar que los valores de </w:t>
      </w:r>
      <w:r w:rsidRPr="0036616F">
        <w:rPr>
          <w:rFonts w:ascii="Arial" w:hAnsi="Arial"/>
          <w:color w:val="000000" w:themeColor="text1"/>
          <w:sz w:val="24"/>
          <w:szCs w:val="24"/>
        </w:rPr>
        <w:t>E</w:t>
      </w:r>
      <w:r w:rsidRPr="0031297B">
        <w:rPr>
          <w:rFonts w:ascii="Arial" w:hAnsi="Arial"/>
          <w:color w:val="000000" w:themeColor="text1"/>
          <w:sz w:val="24"/>
          <w:szCs w:val="24"/>
        </w:rPr>
        <w:t xml:space="preserve">h iniciales están relacionados estrechamente con la concentración inicial de hierro total adicionada al sistema. De esta manera, los ensayos a los cuales se </w:t>
      </w:r>
      <w:r w:rsidR="00614406">
        <w:rPr>
          <w:rFonts w:ascii="Arial" w:hAnsi="Arial"/>
          <w:color w:val="000000" w:themeColor="text1"/>
          <w:sz w:val="24"/>
          <w:szCs w:val="24"/>
        </w:rPr>
        <w:t xml:space="preserve">empleó </w:t>
      </w:r>
      <w:r w:rsidRPr="0031297B">
        <w:rPr>
          <w:rFonts w:ascii="Arial" w:hAnsi="Arial"/>
          <w:color w:val="000000" w:themeColor="text1"/>
          <w:sz w:val="24"/>
          <w:szCs w:val="24"/>
        </w:rPr>
        <w:t>una mayor concentración de hierro (NC2 y PC2) mostraron valores de Eh iniciales bajos en comparación con su contraparte de menor concentración, esto es debido</w:t>
      </w:r>
      <w:r w:rsidRPr="0031297B">
        <w:rPr>
          <w:rStyle w:val="A1"/>
          <w:rFonts w:ascii="Arial" w:hAnsi="Arial"/>
          <w:sz w:val="24"/>
          <w:szCs w:val="24"/>
        </w:rPr>
        <w:t xml:space="preserve"> posiblemente a que al iniciar el proceso, </w:t>
      </w:r>
      <w:r w:rsidRPr="0031297B">
        <w:rPr>
          <w:rFonts w:ascii="Arial" w:hAnsi="Arial"/>
          <w:sz w:val="24"/>
          <w:szCs w:val="24"/>
        </w:rPr>
        <w:t>la mayor parte del hierro en solución está presente como Fe</w:t>
      </w:r>
      <w:r w:rsidRPr="0031297B">
        <w:rPr>
          <w:rFonts w:ascii="Arial" w:hAnsi="Arial"/>
          <w:sz w:val="24"/>
          <w:szCs w:val="24"/>
          <w:vertAlign w:val="superscript"/>
        </w:rPr>
        <w:t>2+</w:t>
      </w:r>
      <w:r w:rsidRPr="0031297B">
        <w:rPr>
          <w:rFonts w:ascii="Arial" w:hAnsi="Arial"/>
          <w:sz w:val="24"/>
          <w:szCs w:val="24"/>
        </w:rPr>
        <w:t xml:space="preserve"> lo cual generó una disminución en la relación Fe</w:t>
      </w:r>
      <w:r w:rsidRPr="0031297B">
        <w:rPr>
          <w:rFonts w:ascii="Arial" w:hAnsi="Arial"/>
          <w:sz w:val="24"/>
          <w:szCs w:val="24"/>
          <w:vertAlign w:val="superscript"/>
        </w:rPr>
        <w:t>3+</w:t>
      </w:r>
      <w:r w:rsidRPr="0031297B">
        <w:rPr>
          <w:rFonts w:ascii="Arial" w:hAnsi="Arial"/>
          <w:sz w:val="24"/>
          <w:szCs w:val="24"/>
        </w:rPr>
        <w:t>/Fe</w:t>
      </w:r>
      <w:r w:rsidRPr="0031297B">
        <w:rPr>
          <w:rFonts w:ascii="Arial" w:hAnsi="Arial"/>
          <w:sz w:val="24"/>
          <w:szCs w:val="24"/>
          <w:vertAlign w:val="superscript"/>
        </w:rPr>
        <w:t xml:space="preserve">2+ </w:t>
      </w:r>
      <w:r w:rsidRPr="0031297B">
        <w:rPr>
          <w:rFonts w:ascii="Arial" w:hAnsi="Arial"/>
          <w:sz w:val="24"/>
          <w:szCs w:val="24"/>
        </w:rPr>
        <w:t xml:space="preserve">del sistema. En este sentido, al comparar los resultados obtenidos de pH y Eh durante el periodo inicial (día cero a dos), es posible notar que el pH de los ensayos a los cuales se </w:t>
      </w:r>
      <w:r w:rsidR="00614406">
        <w:rPr>
          <w:rFonts w:ascii="Arial" w:hAnsi="Arial"/>
          <w:sz w:val="24"/>
          <w:szCs w:val="24"/>
        </w:rPr>
        <w:t>utilizó</w:t>
      </w:r>
      <w:r w:rsidRPr="0031297B">
        <w:rPr>
          <w:rFonts w:ascii="Arial" w:hAnsi="Arial"/>
          <w:sz w:val="24"/>
          <w:szCs w:val="24"/>
        </w:rPr>
        <w:t xml:space="preserve"> una mayor concentración de hierro inicial es mayor por lo que se podría inferir que los microorganismos se encuentran activos o preparando la maquinaria </w:t>
      </w:r>
      <w:r w:rsidR="00614406">
        <w:rPr>
          <w:rFonts w:ascii="Arial" w:hAnsi="Arial"/>
          <w:sz w:val="24"/>
          <w:szCs w:val="24"/>
        </w:rPr>
        <w:t xml:space="preserve">metabólica </w:t>
      </w:r>
      <w:r w:rsidRPr="0031297B">
        <w:rPr>
          <w:rFonts w:ascii="Arial" w:hAnsi="Arial"/>
          <w:sz w:val="24"/>
          <w:szCs w:val="24"/>
        </w:rPr>
        <w:t>disponible para llevar a cabo el proceso, esta afirmación toma sentido si se tiene en cuenta que los expe</w:t>
      </w:r>
      <w:r w:rsidR="00614406">
        <w:rPr>
          <w:rFonts w:ascii="Arial" w:hAnsi="Arial"/>
          <w:sz w:val="24"/>
          <w:szCs w:val="24"/>
        </w:rPr>
        <w:t>rimentos en los cuales se empleó</w:t>
      </w:r>
      <w:r w:rsidRPr="0031297B">
        <w:rPr>
          <w:rFonts w:ascii="Arial" w:hAnsi="Arial"/>
          <w:sz w:val="24"/>
          <w:szCs w:val="24"/>
        </w:rPr>
        <w:t xml:space="preserve"> una menor concentración de hierro inicial mostraron un comportamiento semejante al obtenido </w:t>
      </w:r>
      <w:r w:rsidR="002E4D3C">
        <w:rPr>
          <w:rFonts w:ascii="Arial" w:hAnsi="Arial"/>
          <w:sz w:val="24"/>
          <w:szCs w:val="24"/>
        </w:rPr>
        <w:t>en la última etapa de adaptación (datos no mostrados)</w:t>
      </w:r>
      <w:r w:rsidRPr="0031297B">
        <w:rPr>
          <w:rFonts w:ascii="Arial" w:hAnsi="Arial"/>
          <w:sz w:val="24"/>
          <w:szCs w:val="24"/>
        </w:rPr>
        <w:t xml:space="preserve">. </w:t>
      </w:r>
    </w:p>
    <w:p w:rsidR="001B772E" w:rsidRPr="0031297B" w:rsidRDefault="001B772E" w:rsidP="006F2C2B">
      <w:pPr>
        <w:pStyle w:val="Sinespaciado"/>
        <w:jc w:val="both"/>
        <w:rPr>
          <w:rFonts w:ascii="Arial" w:hAnsi="Arial"/>
          <w:sz w:val="24"/>
          <w:szCs w:val="24"/>
        </w:rPr>
      </w:pPr>
    </w:p>
    <w:p w:rsidR="00072A3E" w:rsidRPr="0031297B" w:rsidRDefault="002E4D3C" w:rsidP="006F2C2B">
      <w:pPr>
        <w:pStyle w:val="Sinespaciado"/>
        <w:jc w:val="both"/>
        <w:rPr>
          <w:rFonts w:ascii="Arial" w:hAnsi="Arial"/>
          <w:sz w:val="24"/>
          <w:szCs w:val="24"/>
        </w:rPr>
      </w:pPr>
      <w:r>
        <w:rPr>
          <w:rFonts w:ascii="Arial" w:hAnsi="Arial"/>
          <w:sz w:val="24"/>
          <w:szCs w:val="24"/>
        </w:rPr>
        <w:t xml:space="preserve">Respecto al crecimiento celular, </w:t>
      </w:r>
      <w:r w:rsidR="00072A3E" w:rsidRPr="0031297B">
        <w:rPr>
          <w:rFonts w:ascii="Arial" w:hAnsi="Arial"/>
          <w:sz w:val="24"/>
          <w:szCs w:val="24"/>
        </w:rPr>
        <w:t>la fase</w:t>
      </w:r>
      <w:r w:rsidR="00072A3E" w:rsidRPr="0031297B">
        <w:rPr>
          <w:rFonts w:ascii="Arial" w:hAnsi="Arial"/>
          <w:i/>
          <w:sz w:val="24"/>
          <w:szCs w:val="24"/>
        </w:rPr>
        <w:t xml:space="preserve"> lag</w:t>
      </w:r>
      <w:r w:rsidR="00072A3E" w:rsidRPr="0031297B">
        <w:rPr>
          <w:rFonts w:ascii="Arial" w:hAnsi="Arial"/>
          <w:sz w:val="24"/>
          <w:szCs w:val="24"/>
        </w:rPr>
        <w:t xml:space="preserve"> evidenciada los primer</w:t>
      </w:r>
      <w:r>
        <w:rPr>
          <w:rFonts w:ascii="Arial" w:hAnsi="Arial"/>
          <w:sz w:val="24"/>
          <w:szCs w:val="24"/>
        </w:rPr>
        <w:t>os d</w:t>
      </w:r>
      <w:r w:rsidR="00614406">
        <w:rPr>
          <w:rFonts w:ascii="Arial" w:hAnsi="Arial"/>
          <w:sz w:val="24"/>
          <w:szCs w:val="24"/>
        </w:rPr>
        <w:t>ías del proceso (</w:t>
      </w:r>
      <w:r w:rsidR="00D623FD">
        <w:rPr>
          <w:rFonts w:ascii="Arial" w:hAnsi="Arial"/>
          <w:sz w:val="24"/>
          <w:szCs w:val="24"/>
        </w:rPr>
        <w:t>f</w:t>
      </w:r>
      <w:r w:rsidR="00614406">
        <w:rPr>
          <w:rFonts w:ascii="Arial" w:hAnsi="Arial"/>
          <w:sz w:val="24"/>
          <w:szCs w:val="24"/>
        </w:rPr>
        <w:t>igura 3</w:t>
      </w:r>
      <w:r w:rsidR="00072A3E" w:rsidRPr="0031297B">
        <w:rPr>
          <w:rFonts w:ascii="Arial" w:hAnsi="Arial"/>
          <w:sz w:val="24"/>
          <w:szCs w:val="24"/>
        </w:rPr>
        <w:t xml:space="preserve">), podría </w:t>
      </w:r>
      <w:r w:rsidR="004125B0">
        <w:rPr>
          <w:rFonts w:ascii="Arial" w:hAnsi="Arial"/>
          <w:sz w:val="24"/>
          <w:szCs w:val="24"/>
        </w:rPr>
        <w:t>estar relacionada con</w:t>
      </w:r>
      <w:r w:rsidR="0082126B">
        <w:rPr>
          <w:rFonts w:ascii="Arial" w:hAnsi="Arial"/>
          <w:sz w:val="24"/>
          <w:szCs w:val="24"/>
        </w:rPr>
        <w:t xml:space="preserve"> un atrapamiento</w:t>
      </w:r>
      <w:r w:rsidR="004125B0">
        <w:rPr>
          <w:rFonts w:ascii="Arial" w:hAnsi="Arial"/>
          <w:sz w:val="24"/>
          <w:szCs w:val="24"/>
        </w:rPr>
        <w:t xml:space="preserve"> </w:t>
      </w:r>
      <w:r w:rsidR="00072A3E" w:rsidRPr="0031297B">
        <w:rPr>
          <w:rFonts w:ascii="Arial" w:hAnsi="Arial"/>
          <w:sz w:val="24"/>
          <w:szCs w:val="24"/>
        </w:rPr>
        <w:t xml:space="preserve">de </w:t>
      </w:r>
      <w:r w:rsidR="0082126B">
        <w:rPr>
          <w:rFonts w:ascii="Arial" w:hAnsi="Arial"/>
          <w:sz w:val="24"/>
          <w:szCs w:val="24"/>
        </w:rPr>
        <w:t>las bacterias en el</w:t>
      </w:r>
      <w:r w:rsidR="004125B0">
        <w:rPr>
          <w:rFonts w:ascii="Arial" w:hAnsi="Arial"/>
          <w:sz w:val="24"/>
          <w:szCs w:val="24"/>
        </w:rPr>
        <w:t xml:space="preserve"> mineral o</w:t>
      </w:r>
      <w:r w:rsidR="00072A3E" w:rsidRPr="0031297B">
        <w:rPr>
          <w:rFonts w:ascii="Arial" w:hAnsi="Arial"/>
          <w:sz w:val="24"/>
          <w:szCs w:val="24"/>
        </w:rPr>
        <w:t xml:space="preserve"> con la adición de los iones Fe</w:t>
      </w:r>
      <w:r w:rsidR="00072A3E" w:rsidRPr="0031297B">
        <w:rPr>
          <w:rFonts w:ascii="Arial" w:hAnsi="Arial"/>
          <w:sz w:val="24"/>
          <w:szCs w:val="24"/>
          <w:vertAlign w:val="superscript"/>
        </w:rPr>
        <w:t>2+</w:t>
      </w:r>
      <w:r w:rsidR="00072A3E" w:rsidRPr="0031297B">
        <w:rPr>
          <w:rFonts w:ascii="Arial" w:hAnsi="Arial"/>
          <w:sz w:val="24"/>
          <w:szCs w:val="24"/>
        </w:rPr>
        <w:t xml:space="preserve"> al sistema. El rápido incremento que exhibió la concentració</w:t>
      </w:r>
      <w:r w:rsidR="00614406">
        <w:rPr>
          <w:rFonts w:ascii="Arial" w:hAnsi="Arial"/>
          <w:sz w:val="24"/>
          <w:szCs w:val="24"/>
        </w:rPr>
        <w:t xml:space="preserve">n celular en días posteriores, </w:t>
      </w:r>
      <w:r w:rsidR="00072A3E" w:rsidRPr="0031297B">
        <w:rPr>
          <w:rFonts w:ascii="Arial" w:hAnsi="Arial"/>
          <w:sz w:val="24"/>
          <w:szCs w:val="24"/>
        </w:rPr>
        <w:t xml:space="preserve">sugiere que las bacterias </w:t>
      </w:r>
      <w:r w:rsidR="00477E13">
        <w:rPr>
          <w:rFonts w:ascii="Arial" w:hAnsi="Arial"/>
          <w:sz w:val="24"/>
          <w:szCs w:val="24"/>
        </w:rPr>
        <w:t>prospe</w:t>
      </w:r>
      <w:r w:rsidR="00B1120C">
        <w:rPr>
          <w:rFonts w:ascii="Arial" w:hAnsi="Arial"/>
          <w:sz w:val="24"/>
          <w:szCs w:val="24"/>
        </w:rPr>
        <w:t>ra</w:t>
      </w:r>
      <w:r w:rsidR="00477E13">
        <w:rPr>
          <w:rFonts w:ascii="Arial" w:hAnsi="Arial"/>
          <w:sz w:val="24"/>
          <w:szCs w:val="24"/>
        </w:rPr>
        <w:t>ron</w:t>
      </w:r>
      <w:r w:rsidR="00072A3E" w:rsidRPr="0031297B">
        <w:rPr>
          <w:rFonts w:ascii="Arial" w:hAnsi="Arial"/>
          <w:sz w:val="24"/>
          <w:szCs w:val="24"/>
        </w:rPr>
        <w:t xml:space="preserve"> fácilmente en las condiciones impuestas e indica una respuesta favorable al proceso. </w:t>
      </w:r>
    </w:p>
    <w:p w:rsidR="001B772E" w:rsidRPr="0031297B" w:rsidRDefault="001B772E" w:rsidP="006F2C2B">
      <w:pPr>
        <w:pStyle w:val="Sinespaciado"/>
        <w:jc w:val="both"/>
        <w:rPr>
          <w:rFonts w:ascii="Arial" w:hAnsi="Arial"/>
          <w:sz w:val="24"/>
          <w:szCs w:val="24"/>
        </w:rPr>
      </w:pPr>
    </w:p>
    <w:p w:rsidR="00072A3E" w:rsidRDefault="00072A3E" w:rsidP="006F2C2B">
      <w:pPr>
        <w:pStyle w:val="Sinespaciado"/>
        <w:jc w:val="both"/>
        <w:rPr>
          <w:rFonts w:ascii="Arial" w:hAnsi="Arial"/>
          <w:color w:val="000000" w:themeColor="text1"/>
          <w:sz w:val="24"/>
          <w:szCs w:val="24"/>
        </w:rPr>
      </w:pPr>
      <w:r w:rsidRPr="0031297B">
        <w:rPr>
          <w:rFonts w:ascii="Arial" w:hAnsi="Arial"/>
          <w:sz w:val="24"/>
          <w:szCs w:val="24"/>
        </w:rPr>
        <w:t>Cabe resaltar, que los resultados obtenidos no indicaron la concentración real de células, debido a que se cuantificó solamente la población de células planctónicas y no se tuvo en cuenta la influencia de las bacterias sésiles. Sin embargo, estudios previos indican que al adicionar iones Fe</w:t>
      </w:r>
      <w:r w:rsidRPr="0031297B">
        <w:rPr>
          <w:rFonts w:ascii="Arial" w:hAnsi="Arial"/>
          <w:sz w:val="24"/>
          <w:szCs w:val="24"/>
          <w:vertAlign w:val="superscript"/>
        </w:rPr>
        <w:t>2+</w:t>
      </w:r>
      <w:r w:rsidRPr="0031297B">
        <w:rPr>
          <w:rFonts w:ascii="Arial" w:hAnsi="Arial"/>
          <w:sz w:val="24"/>
          <w:szCs w:val="24"/>
        </w:rPr>
        <w:t xml:space="preserve"> al medio se disminuye considerablemente la hidrofobicidad, rela</w:t>
      </w:r>
      <w:r w:rsidR="00614406">
        <w:rPr>
          <w:rFonts w:ascii="Arial" w:hAnsi="Arial"/>
          <w:sz w:val="24"/>
          <w:szCs w:val="24"/>
        </w:rPr>
        <w:t xml:space="preserve">cionada con la adhesión de las </w:t>
      </w:r>
      <w:r w:rsidRPr="0031297B">
        <w:rPr>
          <w:rFonts w:ascii="Arial" w:hAnsi="Arial"/>
          <w:sz w:val="24"/>
          <w:szCs w:val="24"/>
        </w:rPr>
        <w:t xml:space="preserve">células (mecanismo indirecto de contacto) a los sustratos insolubles tales </w:t>
      </w:r>
      <w:r w:rsidRPr="0031297B">
        <w:rPr>
          <w:rFonts w:ascii="Arial" w:hAnsi="Arial"/>
          <w:color w:val="000000" w:themeColor="text1"/>
          <w:sz w:val="24"/>
          <w:szCs w:val="24"/>
        </w:rPr>
        <w:t>como pirita</w:t>
      </w:r>
      <w:r w:rsidR="00EA4F02">
        <w:rPr>
          <w:rFonts w:ascii="Arial" w:hAnsi="Arial"/>
          <w:color w:val="000000" w:themeColor="text1"/>
          <w:sz w:val="24"/>
          <w:szCs w:val="24"/>
        </w:rPr>
        <w:t xml:space="preserve"> (Deveci, 2004).</w:t>
      </w:r>
      <w:r w:rsidRPr="0031297B">
        <w:rPr>
          <w:rFonts w:ascii="Arial" w:hAnsi="Arial"/>
          <w:color w:val="000000" w:themeColor="text1"/>
          <w:sz w:val="24"/>
          <w:szCs w:val="24"/>
        </w:rPr>
        <w:t xml:space="preserve"> </w:t>
      </w:r>
    </w:p>
    <w:p w:rsidR="0031297B" w:rsidRPr="0031297B" w:rsidRDefault="0031297B" w:rsidP="006F2C2B">
      <w:pPr>
        <w:pStyle w:val="Sinespaciado"/>
        <w:jc w:val="both"/>
        <w:rPr>
          <w:rFonts w:ascii="Arial" w:hAnsi="Arial"/>
          <w:sz w:val="24"/>
          <w:szCs w:val="24"/>
        </w:rPr>
      </w:pPr>
    </w:p>
    <w:p w:rsidR="0031297B" w:rsidRDefault="00072A3E" w:rsidP="006F2C2B">
      <w:pPr>
        <w:pStyle w:val="Sinespaciado"/>
        <w:jc w:val="both"/>
        <w:rPr>
          <w:rFonts w:ascii="Arial" w:hAnsi="Arial"/>
          <w:color w:val="000000" w:themeColor="text1"/>
          <w:sz w:val="24"/>
          <w:szCs w:val="24"/>
        </w:rPr>
      </w:pPr>
      <w:r w:rsidRPr="0031297B">
        <w:rPr>
          <w:rFonts w:ascii="Arial" w:hAnsi="Arial"/>
          <w:color w:val="000000" w:themeColor="text1"/>
          <w:sz w:val="24"/>
          <w:szCs w:val="24"/>
        </w:rPr>
        <w:t>Las tasas de crecimiento</w:t>
      </w:r>
      <w:r w:rsidR="00614406">
        <w:rPr>
          <w:rFonts w:ascii="Arial" w:hAnsi="Arial"/>
          <w:color w:val="000000" w:themeColor="text1"/>
          <w:sz w:val="24"/>
          <w:szCs w:val="24"/>
        </w:rPr>
        <w:t xml:space="preserve"> celular</w:t>
      </w:r>
      <w:r w:rsidRPr="0031297B">
        <w:rPr>
          <w:rFonts w:ascii="Arial" w:hAnsi="Arial"/>
          <w:color w:val="000000" w:themeColor="text1"/>
          <w:sz w:val="24"/>
          <w:szCs w:val="24"/>
        </w:rPr>
        <w:t xml:space="preserve"> alcanzadas</w:t>
      </w:r>
      <w:r w:rsidR="006833C2">
        <w:rPr>
          <w:rFonts w:ascii="Arial" w:hAnsi="Arial"/>
          <w:color w:val="000000" w:themeColor="text1"/>
          <w:sz w:val="24"/>
          <w:szCs w:val="24"/>
        </w:rPr>
        <w:t xml:space="preserve"> por los bioensayos podrían estar </w:t>
      </w:r>
      <w:r w:rsidRPr="0031297B">
        <w:rPr>
          <w:rFonts w:ascii="Arial" w:hAnsi="Arial"/>
          <w:color w:val="000000" w:themeColor="text1"/>
          <w:sz w:val="24"/>
          <w:szCs w:val="24"/>
        </w:rPr>
        <w:t>asociadas con la disponibilidad de los iones Fe</w:t>
      </w:r>
      <w:r w:rsidRPr="0031297B">
        <w:rPr>
          <w:rFonts w:ascii="Arial" w:hAnsi="Arial"/>
          <w:color w:val="000000" w:themeColor="text1"/>
          <w:sz w:val="24"/>
          <w:szCs w:val="24"/>
          <w:vertAlign w:val="superscript"/>
        </w:rPr>
        <w:t>2+</w:t>
      </w:r>
      <w:r w:rsidRPr="0031297B">
        <w:rPr>
          <w:rFonts w:ascii="Arial" w:hAnsi="Arial"/>
          <w:color w:val="000000" w:themeColor="text1"/>
          <w:sz w:val="24"/>
          <w:szCs w:val="24"/>
        </w:rPr>
        <w:t xml:space="preserve"> en la solución, de esta manera, al existir una mayor cantidad de sustrato soluble, las bacterias obtienen la energía necesaria para aumentar la población celular. Este comportamiento es coherente con el comportamiento de los demás parámetros evaluados (pH, Eh). Adicionalmente, se observó que adicionar concentraciones iniciales de hierro ferroso propi</w:t>
      </w:r>
      <w:r w:rsidR="0082126B">
        <w:rPr>
          <w:rFonts w:ascii="Arial" w:hAnsi="Arial"/>
          <w:color w:val="000000" w:themeColor="text1"/>
          <w:sz w:val="24"/>
          <w:szCs w:val="24"/>
        </w:rPr>
        <w:t xml:space="preserve">cia la división celular y </w:t>
      </w:r>
      <w:r w:rsidR="002E4D3C">
        <w:rPr>
          <w:rFonts w:ascii="Arial" w:hAnsi="Arial"/>
          <w:color w:val="000000" w:themeColor="text1"/>
          <w:sz w:val="24"/>
          <w:szCs w:val="24"/>
        </w:rPr>
        <w:t>evita</w:t>
      </w:r>
      <w:r w:rsidRPr="0031297B">
        <w:rPr>
          <w:rFonts w:ascii="Arial" w:hAnsi="Arial"/>
          <w:color w:val="000000" w:themeColor="text1"/>
          <w:sz w:val="24"/>
          <w:szCs w:val="24"/>
        </w:rPr>
        <w:t xml:space="preserve"> la limitación del crecimiento por falta de sustrato</w:t>
      </w:r>
      <w:r w:rsidR="00EA4F02">
        <w:rPr>
          <w:rFonts w:ascii="Arial" w:hAnsi="Arial"/>
          <w:color w:val="000000" w:themeColor="text1"/>
          <w:sz w:val="24"/>
          <w:szCs w:val="24"/>
        </w:rPr>
        <w:t xml:space="preserve"> (</w:t>
      </w:r>
      <w:proofErr w:type="spellStart"/>
      <w:r w:rsidR="00EA4F02">
        <w:rPr>
          <w:rFonts w:ascii="Arial" w:hAnsi="Arial"/>
          <w:color w:val="000000" w:themeColor="text1"/>
          <w:sz w:val="24"/>
          <w:szCs w:val="24"/>
        </w:rPr>
        <w:t>Bosecker</w:t>
      </w:r>
      <w:proofErr w:type="spellEnd"/>
      <w:r w:rsidR="00EA4F02">
        <w:rPr>
          <w:rFonts w:ascii="Arial" w:hAnsi="Arial"/>
          <w:color w:val="000000" w:themeColor="text1"/>
          <w:sz w:val="24"/>
          <w:szCs w:val="24"/>
        </w:rPr>
        <w:t xml:space="preserve">, 1997; </w:t>
      </w:r>
      <w:proofErr w:type="spellStart"/>
      <w:r w:rsidR="00EA4F02">
        <w:rPr>
          <w:rFonts w:ascii="Arial" w:hAnsi="Arial"/>
          <w:color w:val="000000" w:themeColor="text1"/>
          <w:sz w:val="24"/>
          <w:szCs w:val="24"/>
        </w:rPr>
        <w:t>Kargi</w:t>
      </w:r>
      <w:proofErr w:type="spellEnd"/>
      <w:r w:rsidR="00EA4F02">
        <w:rPr>
          <w:rFonts w:ascii="Arial" w:hAnsi="Arial"/>
          <w:color w:val="000000" w:themeColor="text1"/>
          <w:sz w:val="24"/>
          <w:szCs w:val="24"/>
        </w:rPr>
        <w:t>, 1986).</w:t>
      </w:r>
    </w:p>
    <w:p w:rsidR="00477E13" w:rsidRPr="0031297B" w:rsidRDefault="00477E13" w:rsidP="006F2C2B">
      <w:pPr>
        <w:pStyle w:val="Sinespaciado"/>
        <w:jc w:val="both"/>
        <w:rPr>
          <w:rFonts w:ascii="Arial" w:hAnsi="Arial"/>
          <w:color w:val="000000" w:themeColor="text1"/>
          <w:sz w:val="24"/>
          <w:szCs w:val="24"/>
        </w:rPr>
      </w:pPr>
    </w:p>
    <w:p w:rsidR="00967CB4" w:rsidRPr="0031297B" w:rsidRDefault="00072A3E" w:rsidP="006F2C2B">
      <w:pPr>
        <w:pStyle w:val="Sinespaciado"/>
        <w:jc w:val="both"/>
        <w:rPr>
          <w:rFonts w:ascii="Arial" w:hAnsi="Arial"/>
          <w:sz w:val="24"/>
          <w:szCs w:val="24"/>
        </w:rPr>
      </w:pPr>
      <w:r w:rsidRPr="0031297B">
        <w:rPr>
          <w:rFonts w:ascii="Arial" w:hAnsi="Arial"/>
          <w:sz w:val="24"/>
          <w:szCs w:val="24"/>
        </w:rPr>
        <w:t xml:space="preserve">Vale la pena mencionar, que los ensayos NC1 y NC2 lograron las más altas poblaciones celulares, en comparación con </w:t>
      </w:r>
      <w:r w:rsidR="00614406">
        <w:rPr>
          <w:rFonts w:ascii="Arial" w:hAnsi="Arial"/>
          <w:sz w:val="24"/>
          <w:szCs w:val="24"/>
        </w:rPr>
        <w:t xml:space="preserve">sus análogos realizados con la </w:t>
      </w:r>
      <w:r w:rsidRPr="0031297B">
        <w:rPr>
          <w:rFonts w:ascii="Arial" w:hAnsi="Arial"/>
          <w:sz w:val="24"/>
          <w:szCs w:val="24"/>
        </w:rPr>
        <w:t>cepa ATCC 23270. Este comportamiento puede estar re</w:t>
      </w:r>
      <w:r w:rsidR="00550C8B">
        <w:rPr>
          <w:rFonts w:ascii="Arial" w:hAnsi="Arial"/>
          <w:sz w:val="24"/>
          <w:szCs w:val="24"/>
        </w:rPr>
        <w:t xml:space="preserve">lacionado con el hecho de que </w:t>
      </w:r>
      <w:r w:rsidRPr="0031297B">
        <w:rPr>
          <w:rFonts w:ascii="Arial" w:hAnsi="Arial"/>
          <w:sz w:val="24"/>
          <w:szCs w:val="24"/>
        </w:rPr>
        <w:t xml:space="preserve">el aislado bacteriano compatible con </w:t>
      </w:r>
      <w:r w:rsidR="0040566C">
        <w:rPr>
          <w:rFonts w:ascii="Arial" w:hAnsi="Arial"/>
          <w:i/>
          <w:sz w:val="24"/>
          <w:szCs w:val="24"/>
        </w:rPr>
        <w:t>Acidithiobacillus</w:t>
      </w:r>
      <w:r w:rsidRPr="0031297B">
        <w:rPr>
          <w:rFonts w:ascii="Arial" w:hAnsi="Arial"/>
          <w:i/>
          <w:sz w:val="24"/>
          <w:szCs w:val="24"/>
        </w:rPr>
        <w:t xml:space="preserve"> ferrooxidans</w:t>
      </w:r>
      <w:r w:rsidR="00550C8B">
        <w:rPr>
          <w:rFonts w:ascii="Arial" w:hAnsi="Arial"/>
          <w:i/>
          <w:sz w:val="24"/>
          <w:szCs w:val="24"/>
        </w:rPr>
        <w:t xml:space="preserve"> </w:t>
      </w:r>
      <w:r w:rsidR="00550C8B">
        <w:rPr>
          <w:rFonts w:ascii="Arial" w:hAnsi="Arial"/>
          <w:sz w:val="24"/>
          <w:szCs w:val="24"/>
        </w:rPr>
        <w:t xml:space="preserve">se adaptó y próspero fácilmente </w:t>
      </w:r>
      <w:r w:rsidR="007C0608">
        <w:rPr>
          <w:rFonts w:ascii="Arial" w:hAnsi="Arial"/>
          <w:sz w:val="24"/>
          <w:szCs w:val="24"/>
        </w:rPr>
        <w:t>en</w:t>
      </w:r>
      <w:r w:rsidR="00550C8B">
        <w:rPr>
          <w:rFonts w:ascii="Arial" w:hAnsi="Arial"/>
          <w:sz w:val="24"/>
          <w:szCs w:val="24"/>
        </w:rPr>
        <w:t xml:space="preserve"> las condiciones impuestas, </w:t>
      </w:r>
      <w:r w:rsidR="007C0608">
        <w:rPr>
          <w:rFonts w:ascii="Arial" w:hAnsi="Arial"/>
          <w:sz w:val="24"/>
          <w:szCs w:val="24"/>
        </w:rPr>
        <w:t xml:space="preserve">y/o </w:t>
      </w:r>
      <w:r w:rsidR="00550C8B">
        <w:rPr>
          <w:rFonts w:ascii="Arial" w:hAnsi="Arial"/>
          <w:sz w:val="24"/>
          <w:szCs w:val="24"/>
        </w:rPr>
        <w:t xml:space="preserve">estar asociado </w:t>
      </w:r>
      <w:r w:rsidR="007C0608">
        <w:rPr>
          <w:rFonts w:ascii="Arial" w:hAnsi="Arial"/>
          <w:sz w:val="24"/>
          <w:szCs w:val="24"/>
        </w:rPr>
        <w:t>con</w:t>
      </w:r>
      <w:r w:rsidR="00550C8B">
        <w:rPr>
          <w:rFonts w:ascii="Arial" w:hAnsi="Arial"/>
          <w:sz w:val="24"/>
          <w:szCs w:val="24"/>
        </w:rPr>
        <w:t xml:space="preserve"> la</w:t>
      </w:r>
      <w:r w:rsidRPr="0031297B">
        <w:rPr>
          <w:rFonts w:ascii="Arial" w:hAnsi="Arial"/>
          <w:i/>
          <w:sz w:val="24"/>
          <w:szCs w:val="24"/>
        </w:rPr>
        <w:t xml:space="preserve"> </w:t>
      </w:r>
      <w:r w:rsidR="00967CB4">
        <w:rPr>
          <w:rFonts w:ascii="Arial" w:hAnsi="Arial"/>
          <w:sz w:val="24"/>
          <w:szCs w:val="24"/>
        </w:rPr>
        <w:t>coexiste</w:t>
      </w:r>
      <w:r w:rsidR="00967CB4" w:rsidRPr="0031297B">
        <w:rPr>
          <w:rFonts w:ascii="Arial" w:hAnsi="Arial"/>
          <w:sz w:val="24"/>
          <w:szCs w:val="24"/>
        </w:rPr>
        <w:t>n</w:t>
      </w:r>
      <w:r w:rsidR="00967CB4">
        <w:rPr>
          <w:rFonts w:ascii="Arial" w:hAnsi="Arial"/>
          <w:sz w:val="24"/>
          <w:szCs w:val="24"/>
        </w:rPr>
        <w:t xml:space="preserve">cia </w:t>
      </w:r>
      <w:r w:rsidR="00967CB4" w:rsidRPr="0031297B">
        <w:rPr>
          <w:rFonts w:ascii="Arial" w:hAnsi="Arial"/>
          <w:sz w:val="24"/>
          <w:szCs w:val="24"/>
        </w:rPr>
        <w:t>de otro tipo de microorganismos</w:t>
      </w:r>
      <w:r w:rsidR="00967CB4">
        <w:rPr>
          <w:rFonts w:ascii="Arial" w:hAnsi="Arial"/>
          <w:sz w:val="24"/>
          <w:szCs w:val="24"/>
        </w:rPr>
        <w:t xml:space="preserve"> de morfología similar</w:t>
      </w:r>
      <w:r w:rsidR="00967CB4" w:rsidRPr="0031297B">
        <w:rPr>
          <w:rFonts w:ascii="Arial" w:hAnsi="Arial"/>
          <w:sz w:val="24"/>
          <w:szCs w:val="24"/>
        </w:rPr>
        <w:t>, l</w:t>
      </w:r>
      <w:r w:rsidR="00967CB4">
        <w:rPr>
          <w:rFonts w:ascii="Arial" w:hAnsi="Arial"/>
          <w:sz w:val="24"/>
          <w:szCs w:val="24"/>
        </w:rPr>
        <w:t>as cuales se suma</w:t>
      </w:r>
      <w:r w:rsidR="00967CB4" w:rsidRPr="0031297B">
        <w:rPr>
          <w:rFonts w:ascii="Arial" w:hAnsi="Arial"/>
          <w:sz w:val="24"/>
          <w:szCs w:val="24"/>
        </w:rPr>
        <w:t>n al conteo total de células.</w:t>
      </w:r>
    </w:p>
    <w:p w:rsidR="001B772E" w:rsidRPr="0031297B" w:rsidRDefault="001B772E" w:rsidP="006F2C2B">
      <w:pPr>
        <w:pStyle w:val="Sinespaciado"/>
        <w:jc w:val="both"/>
        <w:rPr>
          <w:rFonts w:ascii="Arial" w:hAnsi="Arial"/>
          <w:sz w:val="24"/>
          <w:szCs w:val="24"/>
        </w:rPr>
      </w:pPr>
    </w:p>
    <w:p w:rsidR="00072A3E" w:rsidRPr="0031297B" w:rsidRDefault="00072A3E" w:rsidP="006F2C2B">
      <w:pPr>
        <w:pStyle w:val="Sinespaciado"/>
        <w:jc w:val="both"/>
        <w:rPr>
          <w:rFonts w:ascii="Arial" w:hAnsi="Arial"/>
          <w:color w:val="000000" w:themeColor="text1"/>
          <w:sz w:val="24"/>
          <w:szCs w:val="24"/>
        </w:rPr>
      </w:pPr>
      <w:r w:rsidRPr="0031297B">
        <w:rPr>
          <w:rFonts w:ascii="Arial" w:hAnsi="Arial"/>
          <w:sz w:val="24"/>
          <w:szCs w:val="24"/>
        </w:rPr>
        <w:t>El comportamien</w:t>
      </w:r>
      <w:r w:rsidR="002E4D3C">
        <w:rPr>
          <w:rFonts w:ascii="Arial" w:hAnsi="Arial"/>
          <w:sz w:val="24"/>
          <w:szCs w:val="24"/>
        </w:rPr>
        <w:t>to estacionario que se evidencia</w:t>
      </w:r>
      <w:r w:rsidRPr="0031297B">
        <w:rPr>
          <w:rFonts w:ascii="Arial" w:hAnsi="Arial"/>
          <w:sz w:val="24"/>
          <w:szCs w:val="24"/>
        </w:rPr>
        <w:t xml:space="preserve"> a partir del día cuatro pudo ser consecuencia del agotamiento del sustrato soluble adicionado al sistema, así pues, la pirita es el único sustrato disponible, pero obt</w:t>
      </w:r>
      <w:r w:rsidR="002E4D3C">
        <w:rPr>
          <w:rFonts w:ascii="Arial" w:hAnsi="Arial"/>
          <w:sz w:val="24"/>
          <w:szCs w:val="24"/>
        </w:rPr>
        <w:t>ener la energía a partir de este</w:t>
      </w:r>
      <w:r w:rsidRPr="0031297B">
        <w:rPr>
          <w:rFonts w:ascii="Arial" w:hAnsi="Arial"/>
          <w:sz w:val="24"/>
          <w:szCs w:val="24"/>
        </w:rPr>
        <w:t xml:space="preserve"> es un proceso de cinética lenta</w:t>
      </w:r>
      <w:r w:rsidR="002E4D3C">
        <w:rPr>
          <w:rFonts w:ascii="Arial" w:hAnsi="Arial"/>
          <w:sz w:val="24"/>
          <w:szCs w:val="24"/>
        </w:rPr>
        <w:t>,</w:t>
      </w:r>
      <w:r w:rsidRPr="0031297B">
        <w:rPr>
          <w:rFonts w:ascii="Arial" w:hAnsi="Arial"/>
          <w:sz w:val="24"/>
          <w:szCs w:val="24"/>
        </w:rPr>
        <w:t xml:space="preserve"> que frena el aumento expon</w:t>
      </w:r>
      <w:r w:rsidR="008B28EB">
        <w:rPr>
          <w:rFonts w:ascii="Arial" w:hAnsi="Arial"/>
          <w:sz w:val="24"/>
          <w:szCs w:val="24"/>
        </w:rPr>
        <w:t>encial del crecimiento celular</w:t>
      </w:r>
      <w:r w:rsidR="00EA4F02">
        <w:rPr>
          <w:rFonts w:ascii="Arial" w:hAnsi="Arial"/>
          <w:sz w:val="24"/>
          <w:szCs w:val="24"/>
        </w:rPr>
        <w:t xml:space="preserve"> (</w:t>
      </w:r>
      <w:proofErr w:type="spellStart"/>
      <w:r w:rsidR="00EA4F02">
        <w:rPr>
          <w:rFonts w:ascii="Arial" w:hAnsi="Arial"/>
          <w:sz w:val="24"/>
          <w:szCs w:val="24"/>
        </w:rPr>
        <w:t>Bozdemir</w:t>
      </w:r>
      <w:proofErr w:type="spellEnd"/>
      <w:r w:rsidR="00EA4F02">
        <w:rPr>
          <w:rFonts w:ascii="Arial" w:hAnsi="Arial"/>
          <w:sz w:val="24"/>
          <w:szCs w:val="24"/>
        </w:rPr>
        <w:t xml:space="preserve"> </w:t>
      </w:r>
      <w:r w:rsidR="00EA4F02" w:rsidRPr="00CF0580">
        <w:rPr>
          <w:rFonts w:ascii="Arial" w:hAnsi="Arial"/>
          <w:i/>
          <w:sz w:val="24"/>
          <w:szCs w:val="24"/>
        </w:rPr>
        <w:t>et al</w:t>
      </w:r>
      <w:r w:rsidR="00EA4F02">
        <w:rPr>
          <w:rFonts w:ascii="Arial" w:hAnsi="Arial"/>
          <w:sz w:val="24"/>
          <w:szCs w:val="24"/>
        </w:rPr>
        <w:t xml:space="preserve">., 1996). </w:t>
      </w:r>
      <w:r w:rsidRPr="0031297B">
        <w:rPr>
          <w:rFonts w:ascii="Arial" w:hAnsi="Arial"/>
          <w:sz w:val="24"/>
          <w:szCs w:val="24"/>
        </w:rPr>
        <w:t>Vale la pena resaltar que a pesar de que la población celular se encontró en fase estacionaria, la tran</w:t>
      </w:r>
      <w:r w:rsidR="002E4D3C">
        <w:rPr>
          <w:rFonts w:ascii="Arial" w:hAnsi="Arial"/>
          <w:sz w:val="24"/>
          <w:szCs w:val="24"/>
        </w:rPr>
        <w:t>sformación de los iones ferrosos</w:t>
      </w:r>
      <w:r w:rsidRPr="0031297B">
        <w:rPr>
          <w:rFonts w:ascii="Arial" w:hAnsi="Arial"/>
          <w:sz w:val="24"/>
          <w:szCs w:val="24"/>
        </w:rPr>
        <w:t xml:space="preserve"> en el sistema se mantiene en todos los bioensayos de acuerdo con </w:t>
      </w:r>
      <w:r w:rsidR="002E4D3C">
        <w:rPr>
          <w:rFonts w:ascii="Arial" w:hAnsi="Arial"/>
          <w:sz w:val="24"/>
          <w:szCs w:val="24"/>
        </w:rPr>
        <w:t xml:space="preserve">las curvas de Eh, </w:t>
      </w:r>
      <w:r w:rsidRPr="0031297B">
        <w:rPr>
          <w:rFonts w:ascii="Arial" w:hAnsi="Arial"/>
          <w:sz w:val="24"/>
          <w:szCs w:val="24"/>
        </w:rPr>
        <w:t>pH y las medidas de</w:t>
      </w:r>
      <w:r w:rsidRPr="0031297B">
        <w:rPr>
          <w:rFonts w:ascii="Arial" w:hAnsi="Arial"/>
          <w:color w:val="000000" w:themeColor="text1"/>
          <w:sz w:val="24"/>
          <w:szCs w:val="24"/>
        </w:rPr>
        <w:t xml:space="preserve"> hierro en solución. </w:t>
      </w:r>
    </w:p>
    <w:p w:rsidR="001B772E" w:rsidRPr="0031297B" w:rsidRDefault="001B772E" w:rsidP="006F2C2B">
      <w:pPr>
        <w:pStyle w:val="Sinespaciado"/>
        <w:jc w:val="both"/>
        <w:rPr>
          <w:rFonts w:ascii="Arial" w:hAnsi="Arial"/>
          <w:sz w:val="24"/>
          <w:szCs w:val="24"/>
        </w:rPr>
      </w:pPr>
    </w:p>
    <w:p w:rsidR="00072A3E" w:rsidRPr="0031297B" w:rsidRDefault="00072A3E" w:rsidP="006F2C2B">
      <w:pPr>
        <w:pStyle w:val="Sinespaciado"/>
        <w:jc w:val="both"/>
        <w:rPr>
          <w:rFonts w:ascii="Arial" w:hAnsi="Arial"/>
          <w:color w:val="000000" w:themeColor="text1"/>
          <w:sz w:val="24"/>
          <w:szCs w:val="24"/>
        </w:rPr>
      </w:pPr>
      <w:r w:rsidRPr="0031297B">
        <w:rPr>
          <w:rFonts w:ascii="Arial" w:hAnsi="Arial"/>
          <w:sz w:val="24"/>
          <w:szCs w:val="24"/>
        </w:rPr>
        <w:t>En relación con e</w:t>
      </w:r>
      <w:r w:rsidR="002F344E">
        <w:rPr>
          <w:rFonts w:ascii="Arial" w:hAnsi="Arial"/>
          <w:sz w:val="24"/>
          <w:szCs w:val="24"/>
        </w:rPr>
        <w:t>l porcentaje de hierro lixiviado</w:t>
      </w:r>
      <w:r w:rsidRPr="0031297B">
        <w:rPr>
          <w:rFonts w:ascii="Arial" w:hAnsi="Arial"/>
          <w:sz w:val="24"/>
          <w:szCs w:val="24"/>
        </w:rPr>
        <w:t xml:space="preserve"> y pirita oxidada (</w:t>
      </w:r>
      <w:r w:rsidR="00D623FD">
        <w:rPr>
          <w:rFonts w:ascii="Arial" w:hAnsi="Arial"/>
          <w:sz w:val="24"/>
          <w:szCs w:val="24"/>
        </w:rPr>
        <w:t>f</w:t>
      </w:r>
      <w:r w:rsidR="00556D7D">
        <w:rPr>
          <w:rFonts w:ascii="Arial" w:hAnsi="Arial"/>
          <w:sz w:val="24"/>
          <w:szCs w:val="24"/>
        </w:rPr>
        <w:t>igura</w:t>
      </w:r>
      <w:r w:rsidR="00D623FD">
        <w:rPr>
          <w:rFonts w:ascii="Arial" w:hAnsi="Arial"/>
          <w:sz w:val="24"/>
          <w:szCs w:val="24"/>
        </w:rPr>
        <w:t>s</w:t>
      </w:r>
      <w:r w:rsidR="00556D7D">
        <w:rPr>
          <w:rFonts w:ascii="Arial" w:hAnsi="Arial"/>
          <w:sz w:val="24"/>
          <w:szCs w:val="24"/>
        </w:rPr>
        <w:t xml:space="preserve"> 4 y 5</w:t>
      </w:r>
      <w:r w:rsidRPr="0031297B">
        <w:rPr>
          <w:rFonts w:ascii="Arial" w:hAnsi="Arial"/>
          <w:color w:val="000000" w:themeColor="text1"/>
          <w:sz w:val="24"/>
          <w:szCs w:val="24"/>
        </w:rPr>
        <w:t xml:space="preserve">), los ensayos en donde se utilizaron microorganismos compatibles con </w:t>
      </w:r>
      <w:r w:rsidR="0040566C">
        <w:rPr>
          <w:rFonts w:ascii="Arial" w:hAnsi="Arial"/>
          <w:i/>
          <w:color w:val="000000" w:themeColor="text1"/>
          <w:sz w:val="24"/>
          <w:szCs w:val="24"/>
        </w:rPr>
        <w:t>Acidithiobacillus</w:t>
      </w:r>
      <w:r w:rsidRPr="0031297B">
        <w:rPr>
          <w:rFonts w:ascii="Arial" w:hAnsi="Arial"/>
          <w:i/>
          <w:color w:val="000000" w:themeColor="text1"/>
          <w:sz w:val="24"/>
          <w:szCs w:val="24"/>
        </w:rPr>
        <w:t xml:space="preserve"> ferrooxidans</w:t>
      </w:r>
      <w:r w:rsidRPr="0031297B">
        <w:rPr>
          <w:rFonts w:ascii="Arial" w:hAnsi="Arial"/>
          <w:color w:val="000000" w:themeColor="text1"/>
          <w:sz w:val="24"/>
          <w:szCs w:val="24"/>
        </w:rPr>
        <w:t xml:space="preserve"> presentaron una solubilización significativa de hierro. De esta manera </w:t>
      </w:r>
      <w:r w:rsidRPr="0031297B">
        <w:rPr>
          <w:rFonts w:ascii="Arial" w:hAnsi="Arial"/>
          <w:color w:val="000000" w:themeColor="text1"/>
          <w:sz w:val="24"/>
          <w:szCs w:val="24"/>
        </w:rPr>
        <w:lastRenderedPageBreak/>
        <w:t xml:space="preserve">es posible inferir que el proceso de desulfurización depende principalmente de la actividad oxidativa de las bacterias empleadas, esta afirmación adquiere validez si se tiene </w:t>
      </w:r>
      <w:r w:rsidR="00556D7D">
        <w:rPr>
          <w:rFonts w:ascii="Arial" w:hAnsi="Arial"/>
          <w:color w:val="000000" w:themeColor="text1"/>
          <w:sz w:val="24"/>
          <w:szCs w:val="24"/>
        </w:rPr>
        <w:t xml:space="preserve">en cuenta que los experimentos </w:t>
      </w:r>
      <w:r w:rsidRPr="0031297B">
        <w:rPr>
          <w:rFonts w:ascii="Arial" w:hAnsi="Arial"/>
          <w:color w:val="000000" w:themeColor="text1"/>
          <w:sz w:val="24"/>
          <w:szCs w:val="24"/>
        </w:rPr>
        <w:t xml:space="preserve">realizados a las mismas condiciones con la cepa axénica (ATCC 23270) mostraron una menor eficiencia. Este hecho podría ser explicado probablemente porque las células compatibles con </w:t>
      </w:r>
      <w:r w:rsidR="0040566C">
        <w:rPr>
          <w:rFonts w:ascii="Arial" w:hAnsi="Arial"/>
          <w:i/>
          <w:color w:val="000000" w:themeColor="text1"/>
          <w:sz w:val="24"/>
          <w:szCs w:val="24"/>
        </w:rPr>
        <w:t>Acidithiobacillus</w:t>
      </w:r>
      <w:r w:rsidRPr="0031297B">
        <w:rPr>
          <w:rFonts w:ascii="Arial" w:hAnsi="Arial"/>
          <w:i/>
          <w:color w:val="000000" w:themeColor="text1"/>
          <w:sz w:val="24"/>
          <w:szCs w:val="24"/>
        </w:rPr>
        <w:t xml:space="preserve"> ferrooxidans</w:t>
      </w:r>
      <w:r w:rsidRPr="0031297B">
        <w:rPr>
          <w:rFonts w:ascii="Arial" w:hAnsi="Arial"/>
          <w:color w:val="000000" w:themeColor="text1"/>
          <w:sz w:val="24"/>
          <w:szCs w:val="24"/>
        </w:rPr>
        <w:t xml:space="preserve"> transformaron r</w:t>
      </w:r>
      <w:r w:rsidR="00556D7D">
        <w:rPr>
          <w:rFonts w:ascii="Arial" w:hAnsi="Arial"/>
          <w:color w:val="000000" w:themeColor="text1"/>
          <w:sz w:val="24"/>
          <w:szCs w:val="24"/>
        </w:rPr>
        <w:t xml:space="preserve">ápidamente los iones ferrosos y mantuvieron las condiciones </w:t>
      </w:r>
      <w:r w:rsidRPr="0031297B">
        <w:rPr>
          <w:rFonts w:ascii="Arial" w:hAnsi="Arial"/>
          <w:color w:val="000000" w:themeColor="text1"/>
          <w:sz w:val="24"/>
          <w:szCs w:val="24"/>
        </w:rPr>
        <w:t>favorables durante el proceso (bajo valo</w:t>
      </w:r>
      <w:r w:rsidR="00556D7D">
        <w:rPr>
          <w:rFonts w:ascii="Arial" w:hAnsi="Arial"/>
          <w:color w:val="000000" w:themeColor="text1"/>
          <w:sz w:val="24"/>
          <w:szCs w:val="24"/>
        </w:rPr>
        <w:t>res de</w:t>
      </w:r>
      <w:r w:rsidR="001644FD">
        <w:rPr>
          <w:rFonts w:ascii="Arial" w:hAnsi="Arial"/>
          <w:color w:val="000000" w:themeColor="text1"/>
          <w:sz w:val="24"/>
          <w:szCs w:val="24"/>
        </w:rPr>
        <w:t xml:space="preserve">  </w:t>
      </w:r>
      <w:r w:rsidR="00556D7D">
        <w:rPr>
          <w:rFonts w:ascii="Arial" w:hAnsi="Arial"/>
          <w:color w:val="000000" w:themeColor="text1"/>
          <w:sz w:val="24"/>
          <w:szCs w:val="24"/>
        </w:rPr>
        <w:t>pH, altos valores de Eh</w:t>
      </w:r>
      <w:r w:rsidRPr="0031297B">
        <w:rPr>
          <w:rFonts w:ascii="Arial" w:hAnsi="Arial"/>
          <w:color w:val="000000" w:themeColor="text1"/>
          <w:sz w:val="24"/>
          <w:szCs w:val="24"/>
        </w:rPr>
        <w:t xml:space="preserve">), lo cual pudo ser la causa del aumento en las tasas de remoción de pirita e impidió la precipitación de los productos de la oxidación respectivamente. </w:t>
      </w:r>
    </w:p>
    <w:p w:rsidR="001B772E" w:rsidRPr="0031297B" w:rsidRDefault="001B772E" w:rsidP="006F2C2B">
      <w:pPr>
        <w:pStyle w:val="Sinespaciado"/>
        <w:jc w:val="both"/>
        <w:rPr>
          <w:rFonts w:ascii="Arial" w:hAnsi="Arial"/>
          <w:color w:val="000000" w:themeColor="text1"/>
          <w:sz w:val="24"/>
          <w:szCs w:val="24"/>
        </w:rPr>
      </w:pPr>
    </w:p>
    <w:p w:rsidR="007F651E" w:rsidRDefault="00072A3E" w:rsidP="006F2C2B">
      <w:pPr>
        <w:pStyle w:val="Sinespaciado"/>
        <w:jc w:val="both"/>
        <w:rPr>
          <w:rFonts w:ascii="Arial" w:hAnsi="Arial"/>
          <w:color w:val="000000" w:themeColor="text1"/>
          <w:sz w:val="24"/>
          <w:szCs w:val="24"/>
        </w:rPr>
      </w:pPr>
      <w:r w:rsidRPr="0031297B">
        <w:rPr>
          <w:rFonts w:ascii="Arial" w:hAnsi="Arial"/>
          <w:sz w:val="24"/>
          <w:szCs w:val="24"/>
        </w:rPr>
        <w:t xml:space="preserve">Como ya se ha mencionado anteriormente, los microorganismos compatibles con </w:t>
      </w:r>
      <w:r w:rsidR="0040566C">
        <w:rPr>
          <w:rFonts w:ascii="Arial" w:hAnsi="Arial"/>
          <w:i/>
          <w:sz w:val="24"/>
          <w:szCs w:val="24"/>
        </w:rPr>
        <w:t>Acidithiobacillus</w:t>
      </w:r>
      <w:r w:rsidRPr="0031297B">
        <w:rPr>
          <w:rFonts w:ascii="Arial" w:hAnsi="Arial"/>
          <w:i/>
          <w:sz w:val="24"/>
          <w:szCs w:val="24"/>
        </w:rPr>
        <w:t xml:space="preserve"> ferrooxidans</w:t>
      </w:r>
      <w:r w:rsidRPr="0031297B">
        <w:rPr>
          <w:rFonts w:ascii="Arial" w:hAnsi="Arial"/>
          <w:sz w:val="24"/>
          <w:szCs w:val="24"/>
        </w:rPr>
        <w:t xml:space="preserve"> mostraron una mayor eficiencia del proceso de biodesulfurización. Una </w:t>
      </w:r>
      <w:r w:rsidR="002E4D3C">
        <w:rPr>
          <w:rFonts w:ascii="Arial" w:hAnsi="Arial"/>
          <w:sz w:val="24"/>
          <w:szCs w:val="24"/>
        </w:rPr>
        <w:t xml:space="preserve">primera </w:t>
      </w:r>
      <w:r w:rsidRPr="0031297B">
        <w:rPr>
          <w:rFonts w:ascii="Arial" w:hAnsi="Arial"/>
          <w:sz w:val="24"/>
          <w:szCs w:val="24"/>
        </w:rPr>
        <w:t xml:space="preserve">hipótesis que surge a partir de estos resultados es que esta ventaja está asociada posiblemente con una capacidad intrínseca -probablemente funcional- referida a un metabolismo hierro oxidante más eficiente, sugiriendo una mayor expresión de proteínas y genes (ej. </w:t>
      </w:r>
      <w:proofErr w:type="spellStart"/>
      <w:r w:rsidRPr="0031297B">
        <w:rPr>
          <w:rFonts w:ascii="Arial" w:hAnsi="Arial"/>
          <w:i/>
          <w:sz w:val="24"/>
          <w:szCs w:val="24"/>
        </w:rPr>
        <w:t>Iro</w:t>
      </w:r>
      <w:proofErr w:type="spellEnd"/>
      <w:r w:rsidRPr="0031297B">
        <w:rPr>
          <w:rFonts w:ascii="Arial" w:hAnsi="Arial"/>
          <w:sz w:val="24"/>
          <w:szCs w:val="24"/>
        </w:rPr>
        <w:t xml:space="preserve"> y </w:t>
      </w:r>
      <w:proofErr w:type="spellStart"/>
      <w:r w:rsidRPr="0031297B">
        <w:rPr>
          <w:rFonts w:ascii="Arial" w:hAnsi="Arial"/>
          <w:i/>
          <w:sz w:val="24"/>
          <w:szCs w:val="24"/>
        </w:rPr>
        <w:t>rusA</w:t>
      </w:r>
      <w:proofErr w:type="spellEnd"/>
      <w:r w:rsidRPr="0031297B">
        <w:rPr>
          <w:rFonts w:ascii="Arial" w:hAnsi="Arial"/>
          <w:sz w:val="24"/>
          <w:szCs w:val="24"/>
        </w:rPr>
        <w:t>), que jugaron un papel central en la cadena de trasferencia electrónica de Fe</w:t>
      </w:r>
      <w:r w:rsidRPr="0031297B">
        <w:rPr>
          <w:rFonts w:ascii="Arial" w:hAnsi="Arial"/>
          <w:sz w:val="24"/>
          <w:szCs w:val="24"/>
          <w:vertAlign w:val="superscript"/>
        </w:rPr>
        <w:t xml:space="preserve">2+ </w:t>
      </w:r>
      <w:r w:rsidRPr="0031297B">
        <w:rPr>
          <w:rFonts w:ascii="Arial" w:hAnsi="Arial"/>
          <w:sz w:val="24"/>
          <w:szCs w:val="24"/>
        </w:rPr>
        <w:t>a O</w:t>
      </w:r>
      <w:r w:rsidRPr="0031297B">
        <w:rPr>
          <w:rFonts w:ascii="Arial" w:hAnsi="Arial"/>
          <w:sz w:val="24"/>
          <w:szCs w:val="24"/>
          <w:vertAlign w:val="subscript"/>
        </w:rPr>
        <w:t>2</w:t>
      </w:r>
      <w:r w:rsidRPr="0031297B">
        <w:rPr>
          <w:rFonts w:ascii="Arial" w:hAnsi="Arial"/>
          <w:sz w:val="24"/>
          <w:szCs w:val="24"/>
        </w:rPr>
        <w:t xml:space="preserve">. El mecanismo biológico que subyace a esta diferencia no es objetivo de este estudio, pero probablemente este asociado a un polimorfismo genotípico de estas células, dependiente del ambiente de evolución que les confiere una ventaja sobre el cultivo </w:t>
      </w:r>
      <w:proofErr w:type="spellStart"/>
      <w:r w:rsidRPr="0031297B">
        <w:rPr>
          <w:rFonts w:ascii="Arial" w:hAnsi="Arial"/>
          <w:sz w:val="24"/>
          <w:szCs w:val="24"/>
        </w:rPr>
        <w:t>axénico</w:t>
      </w:r>
      <w:proofErr w:type="spellEnd"/>
      <w:r w:rsidR="00EA4F02">
        <w:rPr>
          <w:rFonts w:ascii="Arial" w:hAnsi="Arial"/>
          <w:sz w:val="24"/>
          <w:szCs w:val="24"/>
        </w:rPr>
        <w:t xml:space="preserve"> (</w:t>
      </w:r>
      <w:proofErr w:type="spellStart"/>
      <w:r w:rsidR="00EA4F02">
        <w:rPr>
          <w:rFonts w:ascii="Arial" w:hAnsi="Arial"/>
          <w:sz w:val="24"/>
          <w:szCs w:val="24"/>
        </w:rPr>
        <w:t>Bird</w:t>
      </w:r>
      <w:proofErr w:type="spellEnd"/>
      <w:r w:rsidR="00EA4F02">
        <w:rPr>
          <w:rFonts w:ascii="Arial" w:hAnsi="Arial"/>
          <w:sz w:val="24"/>
          <w:szCs w:val="24"/>
        </w:rPr>
        <w:t xml:space="preserve">, 2011). </w:t>
      </w:r>
      <w:r w:rsidRPr="0031297B">
        <w:rPr>
          <w:rFonts w:ascii="Arial" w:hAnsi="Arial"/>
          <w:sz w:val="24"/>
          <w:szCs w:val="24"/>
        </w:rPr>
        <w:t xml:space="preserve">Adicionalmente, </w:t>
      </w:r>
      <w:r w:rsidR="002E4D3C">
        <w:rPr>
          <w:rFonts w:ascii="Arial" w:hAnsi="Arial"/>
          <w:sz w:val="24"/>
          <w:szCs w:val="24"/>
        </w:rPr>
        <w:t>una segunda hipótesis indica que este comportamiento (mayor actividad oxidativa)</w:t>
      </w:r>
      <w:r w:rsidRPr="0031297B">
        <w:rPr>
          <w:rFonts w:ascii="Arial" w:hAnsi="Arial"/>
          <w:sz w:val="24"/>
          <w:szCs w:val="24"/>
        </w:rPr>
        <w:t xml:space="preserve"> podría estar relacionado con un trabajo sinérgico asociado a otro tipo de bacterias quimiolitotróficas presentes </w:t>
      </w:r>
      <w:r w:rsidR="002E4D3C">
        <w:rPr>
          <w:rFonts w:ascii="Arial" w:hAnsi="Arial"/>
          <w:sz w:val="24"/>
          <w:szCs w:val="24"/>
        </w:rPr>
        <w:t xml:space="preserve">en el cultivo </w:t>
      </w:r>
      <w:r w:rsidRPr="0031297B">
        <w:rPr>
          <w:rFonts w:ascii="Arial" w:hAnsi="Arial"/>
          <w:sz w:val="24"/>
          <w:szCs w:val="24"/>
        </w:rPr>
        <w:t>o a bacterias mutantes de la misma especie, las cuales contribuyen no solo con la disolución del sulfuro metálico sino que permiten una mayor disminución de los valores del pH y un incremento significativo de</w:t>
      </w:r>
      <w:r w:rsidR="00283D98">
        <w:rPr>
          <w:rFonts w:ascii="Arial" w:hAnsi="Arial"/>
          <w:sz w:val="24"/>
          <w:szCs w:val="24"/>
        </w:rPr>
        <w:t xml:space="preserve"> los valores de potencial </w:t>
      </w:r>
      <w:proofErr w:type="spellStart"/>
      <w:r w:rsidR="00283D98">
        <w:rPr>
          <w:rFonts w:ascii="Arial" w:hAnsi="Arial"/>
          <w:sz w:val="24"/>
          <w:szCs w:val="24"/>
        </w:rPr>
        <w:t>redox</w:t>
      </w:r>
      <w:proofErr w:type="spellEnd"/>
      <w:r w:rsidR="00EA4F02">
        <w:rPr>
          <w:rFonts w:ascii="Arial" w:hAnsi="Arial"/>
          <w:sz w:val="24"/>
          <w:szCs w:val="24"/>
        </w:rPr>
        <w:t xml:space="preserve"> (</w:t>
      </w:r>
      <w:proofErr w:type="spellStart"/>
      <w:r w:rsidR="00EA4F02">
        <w:rPr>
          <w:rFonts w:ascii="Arial" w:hAnsi="Arial"/>
          <w:sz w:val="24"/>
          <w:szCs w:val="24"/>
        </w:rPr>
        <w:t>Kargi</w:t>
      </w:r>
      <w:proofErr w:type="spellEnd"/>
      <w:r w:rsidR="00EA4F02">
        <w:rPr>
          <w:rFonts w:ascii="Arial" w:hAnsi="Arial"/>
          <w:sz w:val="24"/>
          <w:szCs w:val="24"/>
        </w:rPr>
        <w:t>, 1986)</w:t>
      </w:r>
      <w:r w:rsidR="00283D98">
        <w:rPr>
          <w:rFonts w:ascii="Arial" w:hAnsi="Arial"/>
          <w:sz w:val="24"/>
          <w:szCs w:val="24"/>
        </w:rPr>
        <w:t xml:space="preserve">. </w:t>
      </w:r>
      <w:r w:rsidRPr="0031297B">
        <w:rPr>
          <w:rFonts w:ascii="Arial" w:hAnsi="Arial"/>
          <w:sz w:val="24"/>
          <w:szCs w:val="24"/>
        </w:rPr>
        <w:t>Esta hipótesis resulta probable ya que se debe tener en cuenta que aunque se llevaron a cabo pruebas bioquímicas para corroborar la compatibilidad de la cepa escogida (</w:t>
      </w:r>
      <w:r w:rsidR="0040566C">
        <w:rPr>
          <w:rFonts w:ascii="Arial" w:hAnsi="Arial"/>
          <w:i/>
          <w:sz w:val="24"/>
          <w:szCs w:val="24"/>
        </w:rPr>
        <w:t>Acidithiobacillus</w:t>
      </w:r>
      <w:r w:rsidRPr="0031297B">
        <w:rPr>
          <w:rFonts w:ascii="Arial" w:hAnsi="Arial"/>
          <w:i/>
          <w:sz w:val="24"/>
          <w:szCs w:val="24"/>
        </w:rPr>
        <w:t xml:space="preserve"> ferrooxidans</w:t>
      </w:r>
      <w:r w:rsidRPr="0031297B">
        <w:rPr>
          <w:rFonts w:ascii="Arial" w:hAnsi="Arial"/>
          <w:sz w:val="24"/>
          <w:szCs w:val="24"/>
        </w:rPr>
        <w:t xml:space="preserve">), cualquier otra colonia de bacterias de metabolismo similar (oxidantes de hierro y azufre) podría estar presente. </w:t>
      </w:r>
      <w:r w:rsidR="00995F34">
        <w:rPr>
          <w:rFonts w:ascii="Arial" w:hAnsi="Arial"/>
          <w:sz w:val="24"/>
          <w:szCs w:val="24"/>
        </w:rPr>
        <w:t xml:space="preserve">Finalmente, </w:t>
      </w:r>
      <w:r w:rsidR="00995F34">
        <w:rPr>
          <w:rFonts w:ascii="Arial" w:hAnsi="Arial"/>
          <w:color w:val="000000" w:themeColor="text1"/>
          <w:sz w:val="24"/>
          <w:szCs w:val="24"/>
        </w:rPr>
        <w:t>l</w:t>
      </w:r>
      <w:r w:rsidRPr="0031297B">
        <w:rPr>
          <w:rFonts w:ascii="Arial" w:hAnsi="Arial"/>
          <w:color w:val="000000" w:themeColor="text1"/>
          <w:sz w:val="24"/>
          <w:szCs w:val="24"/>
        </w:rPr>
        <w:t>os resultados obtenidos en este estudio sugi</w:t>
      </w:r>
      <w:r w:rsidR="00556D7D">
        <w:rPr>
          <w:rFonts w:ascii="Arial" w:hAnsi="Arial"/>
          <w:color w:val="000000" w:themeColor="text1"/>
          <w:sz w:val="24"/>
          <w:szCs w:val="24"/>
        </w:rPr>
        <w:t>eren que el mecanismo indirecto</w:t>
      </w:r>
      <w:r w:rsidRPr="0031297B">
        <w:rPr>
          <w:rFonts w:ascii="Arial" w:hAnsi="Arial"/>
          <w:color w:val="000000" w:themeColor="text1"/>
          <w:sz w:val="24"/>
          <w:szCs w:val="24"/>
        </w:rPr>
        <w:t xml:space="preserve"> de no contacto es el más probable para la disolución del sulfuro de hierro, debido posiblemente a que la biolixiviación de metales sulfurados insolubles en ácido esta exclusivamente basado en el ataque oxidativo de los iones Fe</w:t>
      </w:r>
      <w:r w:rsidRPr="0031297B">
        <w:rPr>
          <w:rFonts w:ascii="Arial" w:hAnsi="Arial"/>
          <w:color w:val="000000" w:themeColor="text1"/>
          <w:sz w:val="24"/>
          <w:szCs w:val="24"/>
          <w:vertAlign w:val="superscript"/>
        </w:rPr>
        <w:t>3+</w:t>
      </w:r>
      <w:r w:rsidRPr="0031297B">
        <w:rPr>
          <w:rFonts w:ascii="Arial" w:hAnsi="Arial"/>
          <w:color w:val="000000" w:themeColor="text1"/>
          <w:sz w:val="24"/>
          <w:szCs w:val="24"/>
        </w:rPr>
        <w:t xml:space="preserve"> </w:t>
      </w:r>
      <w:r w:rsidR="00EA4F02">
        <w:rPr>
          <w:rFonts w:ascii="Arial" w:hAnsi="Arial"/>
          <w:color w:val="000000" w:themeColor="text1"/>
          <w:sz w:val="24"/>
          <w:szCs w:val="24"/>
        </w:rPr>
        <w:t xml:space="preserve">(Sand </w:t>
      </w:r>
      <w:r w:rsidR="00EA4F02" w:rsidRPr="00CF0580">
        <w:rPr>
          <w:rFonts w:ascii="Arial" w:hAnsi="Arial"/>
          <w:i/>
          <w:color w:val="000000" w:themeColor="text1"/>
          <w:sz w:val="24"/>
          <w:szCs w:val="24"/>
        </w:rPr>
        <w:t>et al</w:t>
      </w:r>
      <w:r w:rsidR="00EA4F02">
        <w:rPr>
          <w:rFonts w:ascii="Arial" w:hAnsi="Arial"/>
          <w:color w:val="000000" w:themeColor="text1"/>
          <w:sz w:val="24"/>
          <w:szCs w:val="24"/>
        </w:rPr>
        <w:t xml:space="preserve">., 2001). </w:t>
      </w:r>
    </w:p>
    <w:p w:rsidR="002F344E" w:rsidRDefault="002F344E" w:rsidP="006F2C2B">
      <w:pPr>
        <w:pStyle w:val="Sinespaciado"/>
        <w:jc w:val="both"/>
        <w:rPr>
          <w:rFonts w:ascii="Arial" w:hAnsi="Arial"/>
          <w:color w:val="000000" w:themeColor="text1"/>
          <w:sz w:val="24"/>
          <w:szCs w:val="24"/>
        </w:rPr>
      </w:pPr>
    </w:p>
    <w:p w:rsidR="001B71C6" w:rsidRDefault="001B71C6" w:rsidP="006F2C2B">
      <w:pPr>
        <w:pStyle w:val="Sinespaciado"/>
        <w:jc w:val="both"/>
        <w:rPr>
          <w:rFonts w:ascii="Arial" w:hAnsi="Arial"/>
          <w:b/>
          <w:sz w:val="24"/>
          <w:szCs w:val="24"/>
        </w:rPr>
      </w:pPr>
      <w:r>
        <w:rPr>
          <w:rFonts w:ascii="Arial" w:hAnsi="Arial"/>
          <w:b/>
          <w:sz w:val="24"/>
          <w:szCs w:val="24"/>
        </w:rPr>
        <w:t xml:space="preserve">Conclusiones </w:t>
      </w:r>
    </w:p>
    <w:p w:rsidR="00EA00EC" w:rsidRDefault="006D6EEA" w:rsidP="006F2C2B">
      <w:pPr>
        <w:pStyle w:val="Sinespaciado"/>
        <w:jc w:val="both"/>
        <w:rPr>
          <w:rFonts w:ascii="Arial" w:hAnsi="Arial"/>
          <w:color w:val="000000" w:themeColor="text1"/>
          <w:sz w:val="24"/>
          <w:szCs w:val="24"/>
        </w:rPr>
      </w:pPr>
      <w:r>
        <w:rPr>
          <w:rFonts w:ascii="Arial" w:hAnsi="Arial"/>
          <w:color w:val="000000" w:themeColor="text1"/>
          <w:sz w:val="24"/>
          <w:szCs w:val="24"/>
        </w:rPr>
        <w:t>Los</w:t>
      </w:r>
      <w:r w:rsidR="001B71C6">
        <w:rPr>
          <w:rFonts w:ascii="Arial" w:hAnsi="Arial"/>
          <w:color w:val="000000" w:themeColor="text1"/>
          <w:sz w:val="24"/>
          <w:szCs w:val="24"/>
        </w:rPr>
        <w:t xml:space="preserve"> ensayo</w:t>
      </w:r>
      <w:r>
        <w:rPr>
          <w:rFonts w:ascii="Arial" w:hAnsi="Arial"/>
          <w:color w:val="000000" w:themeColor="text1"/>
          <w:sz w:val="24"/>
          <w:szCs w:val="24"/>
        </w:rPr>
        <w:t>s en los</w:t>
      </w:r>
      <w:r w:rsidR="001B71C6">
        <w:rPr>
          <w:rFonts w:ascii="Arial" w:hAnsi="Arial"/>
          <w:color w:val="000000" w:themeColor="text1"/>
          <w:sz w:val="24"/>
          <w:szCs w:val="24"/>
        </w:rPr>
        <w:t xml:space="preserve"> cual</w:t>
      </w:r>
      <w:r>
        <w:rPr>
          <w:rFonts w:ascii="Arial" w:hAnsi="Arial"/>
          <w:color w:val="000000" w:themeColor="text1"/>
          <w:sz w:val="24"/>
          <w:szCs w:val="24"/>
        </w:rPr>
        <w:t>es</w:t>
      </w:r>
      <w:r w:rsidR="001B71C6">
        <w:rPr>
          <w:rFonts w:ascii="Arial" w:hAnsi="Arial"/>
          <w:color w:val="000000" w:themeColor="text1"/>
          <w:sz w:val="24"/>
          <w:szCs w:val="24"/>
        </w:rPr>
        <w:t xml:space="preserve"> se empleó microorganismos compatibles con </w:t>
      </w:r>
      <w:r w:rsidR="001B71C6" w:rsidRPr="001B71C6">
        <w:rPr>
          <w:rFonts w:ascii="Arial" w:hAnsi="Arial"/>
          <w:i/>
          <w:color w:val="000000" w:themeColor="text1"/>
          <w:sz w:val="24"/>
          <w:szCs w:val="24"/>
        </w:rPr>
        <w:t xml:space="preserve">Acidithiobacillus ferrooxidans </w:t>
      </w:r>
      <w:r w:rsidR="006A0D10">
        <w:rPr>
          <w:rFonts w:ascii="Arial" w:hAnsi="Arial"/>
          <w:color w:val="000000" w:themeColor="text1"/>
          <w:sz w:val="24"/>
          <w:szCs w:val="24"/>
        </w:rPr>
        <w:t>presentaron</w:t>
      </w:r>
      <w:r w:rsidR="009208E5">
        <w:rPr>
          <w:rFonts w:ascii="Arial" w:hAnsi="Arial"/>
          <w:color w:val="000000" w:themeColor="text1"/>
          <w:sz w:val="24"/>
          <w:szCs w:val="24"/>
        </w:rPr>
        <w:t xml:space="preserve"> mayor eficiencia</w:t>
      </w:r>
      <w:r w:rsidR="001B0009">
        <w:rPr>
          <w:rFonts w:ascii="Arial" w:hAnsi="Arial"/>
          <w:color w:val="000000" w:themeColor="text1"/>
          <w:sz w:val="24"/>
          <w:szCs w:val="24"/>
        </w:rPr>
        <w:t xml:space="preserve"> </w:t>
      </w:r>
      <w:r w:rsidR="007C420E">
        <w:rPr>
          <w:rFonts w:ascii="Arial" w:hAnsi="Arial"/>
          <w:color w:val="000000" w:themeColor="text1"/>
          <w:sz w:val="24"/>
          <w:szCs w:val="24"/>
        </w:rPr>
        <w:t>en comparación con los experimentos en los cuales se utilizó la</w:t>
      </w:r>
      <w:r w:rsidR="001B0009" w:rsidRPr="0031297B">
        <w:rPr>
          <w:rFonts w:ascii="Arial" w:hAnsi="Arial"/>
          <w:color w:val="000000" w:themeColor="text1"/>
          <w:sz w:val="24"/>
          <w:szCs w:val="24"/>
        </w:rPr>
        <w:t xml:space="preserve"> cepa </w:t>
      </w:r>
      <w:r w:rsidR="006A0D10">
        <w:rPr>
          <w:rFonts w:ascii="Arial" w:hAnsi="Arial"/>
          <w:color w:val="000000" w:themeColor="text1"/>
          <w:sz w:val="24"/>
          <w:szCs w:val="24"/>
        </w:rPr>
        <w:t>axénica (</w:t>
      </w:r>
      <w:r w:rsidR="001B0009" w:rsidRPr="0031297B">
        <w:rPr>
          <w:rFonts w:ascii="Arial" w:hAnsi="Arial"/>
          <w:color w:val="000000" w:themeColor="text1"/>
          <w:sz w:val="24"/>
          <w:szCs w:val="24"/>
        </w:rPr>
        <w:t>ATCC 23270</w:t>
      </w:r>
      <w:r w:rsidR="006A0D10">
        <w:rPr>
          <w:rFonts w:ascii="Arial" w:hAnsi="Arial"/>
          <w:color w:val="000000" w:themeColor="text1"/>
          <w:sz w:val="24"/>
          <w:szCs w:val="24"/>
        </w:rPr>
        <w:t>)</w:t>
      </w:r>
      <w:r w:rsidR="009208E5">
        <w:rPr>
          <w:rFonts w:ascii="Arial" w:hAnsi="Arial"/>
          <w:color w:val="000000" w:themeColor="text1"/>
          <w:sz w:val="24"/>
          <w:szCs w:val="24"/>
        </w:rPr>
        <w:t>, ya que obtuvieron</w:t>
      </w:r>
      <w:r w:rsidR="001B71C6">
        <w:rPr>
          <w:rFonts w:ascii="Arial" w:hAnsi="Arial"/>
          <w:color w:val="000000" w:themeColor="text1"/>
          <w:sz w:val="24"/>
          <w:szCs w:val="24"/>
        </w:rPr>
        <w:t xml:space="preserve"> el mayor porcentaje de biolixiviación de hierro en solución</w:t>
      </w:r>
      <w:r w:rsidR="009208E5">
        <w:rPr>
          <w:rFonts w:ascii="Arial" w:hAnsi="Arial"/>
          <w:color w:val="000000" w:themeColor="text1"/>
          <w:sz w:val="24"/>
          <w:szCs w:val="24"/>
        </w:rPr>
        <w:t xml:space="preserve"> en las dos concentraciones de hierro </w:t>
      </w:r>
      <w:r w:rsidR="001B0009">
        <w:rPr>
          <w:rFonts w:ascii="Arial" w:hAnsi="Arial"/>
          <w:color w:val="000000" w:themeColor="text1"/>
          <w:sz w:val="24"/>
          <w:szCs w:val="24"/>
        </w:rPr>
        <w:t xml:space="preserve">inicial </w:t>
      </w:r>
      <w:r w:rsidR="009208E5">
        <w:rPr>
          <w:rFonts w:ascii="Arial" w:hAnsi="Arial"/>
          <w:color w:val="000000" w:themeColor="text1"/>
          <w:sz w:val="24"/>
          <w:szCs w:val="24"/>
        </w:rPr>
        <w:t>evaluadas (200 mg/L y 1200mg/L)</w:t>
      </w:r>
      <w:r w:rsidR="001B71C6">
        <w:rPr>
          <w:rFonts w:ascii="Arial" w:hAnsi="Arial"/>
          <w:color w:val="000000" w:themeColor="text1"/>
          <w:sz w:val="24"/>
          <w:szCs w:val="24"/>
        </w:rPr>
        <w:t xml:space="preserve">, alcanzando 68% </w:t>
      </w:r>
      <w:r w:rsidR="009208E5">
        <w:rPr>
          <w:rFonts w:ascii="Arial" w:hAnsi="Arial"/>
          <w:color w:val="000000" w:themeColor="text1"/>
          <w:sz w:val="24"/>
          <w:szCs w:val="24"/>
        </w:rPr>
        <w:t xml:space="preserve">y 57% </w:t>
      </w:r>
      <w:r w:rsidR="001B71C6">
        <w:rPr>
          <w:rFonts w:ascii="Arial" w:hAnsi="Arial"/>
          <w:color w:val="000000" w:themeColor="text1"/>
          <w:sz w:val="24"/>
          <w:szCs w:val="24"/>
        </w:rPr>
        <w:t>de oxidación de pirita</w:t>
      </w:r>
      <w:r w:rsidR="009208E5">
        <w:rPr>
          <w:rFonts w:ascii="Arial" w:hAnsi="Arial"/>
          <w:color w:val="000000" w:themeColor="text1"/>
          <w:sz w:val="24"/>
          <w:szCs w:val="24"/>
        </w:rPr>
        <w:t xml:space="preserve"> respectivamente</w:t>
      </w:r>
      <w:r w:rsidR="001B71C6">
        <w:rPr>
          <w:rFonts w:ascii="Arial" w:hAnsi="Arial"/>
          <w:color w:val="000000" w:themeColor="text1"/>
          <w:sz w:val="24"/>
          <w:szCs w:val="24"/>
        </w:rPr>
        <w:t>, después de 12 días de proceso.</w:t>
      </w:r>
      <w:r>
        <w:rPr>
          <w:rFonts w:ascii="Arial" w:hAnsi="Arial"/>
          <w:color w:val="000000" w:themeColor="text1"/>
          <w:sz w:val="24"/>
          <w:szCs w:val="24"/>
        </w:rPr>
        <w:t xml:space="preserve"> </w:t>
      </w:r>
      <w:r w:rsidR="007821C3">
        <w:rPr>
          <w:rFonts w:ascii="Arial" w:hAnsi="Arial"/>
          <w:color w:val="000000" w:themeColor="text1"/>
          <w:sz w:val="24"/>
          <w:szCs w:val="24"/>
        </w:rPr>
        <w:t>Esto indica que</w:t>
      </w:r>
      <w:r w:rsidR="00726190">
        <w:rPr>
          <w:rFonts w:ascii="Arial" w:hAnsi="Arial"/>
          <w:color w:val="000000" w:themeColor="text1"/>
          <w:sz w:val="24"/>
          <w:szCs w:val="24"/>
        </w:rPr>
        <w:t xml:space="preserve"> la adición de los </w:t>
      </w:r>
      <w:r w:rsidR="00E61667">
        <w:rPr>
          <w:rFonts w:ascii="Arial" w:hAnsi="Arial"/>
          <w:color w:val="000000" w:themeColor="text1"/>
          <w:sz w:val="24"/>
          <w:szCs w:val="24"/>
        </w:rPr>
        <w:t>iones ferrosos al medio</w:t>
      </w:r>
      <w:r w:rsidR="00726190">
        <w:rPr>
          <w:rFonts w:ascii="Arial" w:hAnsi="Arial"/>
          <w:color w:val="000000" w:themeColor="text1"/>
          <w:sz w:val="24"/>
          <w:szCs w:val="24"/>
        </w:rPr>
        <w:t xml:space="preserve"> </w:t>
      </w:r>
      <w:r w:rsidR="00E61667">
        <w:rPr>
          <w:rFonts w:ascii="Arial" w:hAnsi="Arial"/>
          <w:color w:val="000000" w:themeColor="text1"/>
          <w:sz w:val="24"/>
          <w:szCs w:val="24"/>
        </w:rPr>
        <w:t xml:space="preserve">aumenta la actividad oxidativa de las bacterias y mejora significativamente la oxidación de la </w:t>
      </w:r>
      <w:r w:rsidR="00E61667">
        <w:rPr>
          <w:rFonts w:ascii="Arial" w:hAnsi="Arial"/>
          <w:color w:val="000000" w:themeColor="text1"/>
          <w:sz w:val="24"/>
          <w:szCs w:val="24"/>
        </w:rPr>
        <w:lastRenderedPageBreak/>
        <w:t>pirita</w:t>
      </w:r>
      <w:r w:rsidR="00726190">
        <w:rPr>
          <w:rFonts w:ascii="Arial" w:hAnsi="Arial"/>
          <w:color w:val="000000" w:themeColor="text1"/>
          <w:sz w:val="24"/>
          <w:szCs w:val="24"/>
        </w:rPr>
        <w:t xml:space="preserve">. </w:t>
      </w:r>
      <w:r w:rsidR="004A491E">
        <w:rPr>
          <w:rFonts w:ascii="Arial" w:hAnsi="Arial"/>
          <w:color w:val="000000" w:themeColor="text1"/>
          <w:sz w:val="24"/>
          <w:szCs w:val="24"/>
        </w:rPr>
        <w:t>Esto constituye la base principal de este estudio y se considera una buena alternativa a la hora de optimizar el proceso biológico de extracción de azufre inorgánico del carbón.</w:t>
      </w:r>
    </w:p>
    <w:p w:rsidR="00E61667" w:rsidRDefault="00E61667" w:rsidP="006F2C2B">
      <w:pPr>
        <w:pStyle w:val="Sinespaciado"/>
        <w:jc w:val="both"/>
        <w:rPr>
          <w:rFonts w:ascii="Arial" w:hAnsi="Arial"/>
          <w:color w:val="000000" w:themeColor="text1"/>
          <w:sz w:val="24"/>
          <w:szCs w:val="24"/>
        </w:rPr>
      </w:pPr>
    </w:p>
    <w:p w:rsidR="002857EF" w:rsidRPr="0031297B" w:rsidRDefault="002857EF" w:rsidP="006F2C2B">
      <w:pPr>
        <w:pStyle w:val="Sinespaciado"/>
        <w:jc w:val="both"/>
        <w:rPr>
          <w:rFonts w:ascii="Arial" w:hAnsi="Arial"/>
          <w:b/>
          <w:color w:val="000000" w:themeColor="text1"/>
          <w:sz w:val="24"/>
          <w:szCs w:val="24"/>
        </w:rPr>
      </w:pPr>
      <w:r w:rsidRPr="0031297B">
        <w:rPr>
          <w:rFonts w:ascii="Arial" w:hAnsi="Arial"/>
          <w:b/>
          <w:color w:val="000000" w:themeColor="text1"/>
          <w:sz w:val="24"/>
          <w:szCs w:val="24"/>
        </w:rPr>
        <w:t xml:space="preserve">Agradecimientos </w:t>
      </w:r>
    </w:p>
    <w:p w:rsidR="005D7C9A" w:rsidRDefault="00290B21" w:rsidP="006F2C2B">
      <w:pPr>
        <w:pStyle w:val="Sinespaciado"/>
        <w:jc w:val="both"/>
        <w:rPr>
          <w:rFonts w:ascii="Arial" w:hAnsi="Arial"/>
          <w:color w:val="000000" w:themeColor="text1"/>
          <w:sz w:val="24"/>
          <w:szCs w:val="24"/>
        </w:rPr>
      </w:pPr>
      <w:r w:rsidRPr="0031297B">
        <w:rPr>
          <w:rFonts w:ascii="Arial" w:hAnsi="Arial"/>
          <w:color w:val="000000" w:themeColor="text1"/>
          <w:sz w:val="24"/>
          <w:szCs w:val="24"/>
        </w:rPr>
        <w:t>A la</w:t>
      </w:r>
      <w:r w:rsidR="005D7C9A">
        <w:rPr>
          <w:rFonts w:ascii="Arial" w:hAnsi="Arial"/>
          <w:color w:val="000000" w:themeColor="text1"/>
          <w:sz w:val="24"/>
          <w:szCs w:val="24"/>
        </w:rPr>
        <w:t xml:space="preserve"> empresa cementera ARGOS S.A, a</w:t>
      </w:r>
      <w:r w:rsidR="001644FD">
        <w:rPr>
          <w:rFonts w:ascii="Arial" w:hAnsi="Arial"/>
          <w:color w:val="000000" w:themeColor="text1"/>
          <w:sz w:val="24"/>
          <w:szCs w:val="24"/>
        </w:rPr>
        <w:t xml:space="preserve"> </w:t>
      </w:r>
      <w:r w:rsidR="005D7C9A">
        <w:rPr>
          <w:rFonts w:ascii="Arial" w:hAnsi="Arial"/>
          <w:color w:val="000000" w:themeColor="text1"/>
          <w:sz w:val="24"/>
          <w:szCs w:val="24"/>
        </w:rPr>
        <w:t xml:space="preserve">COLCIENCIAS </w:t>
      </w:r>
      <w:r w:rsidR="00397621" w:rsidRPr="0031297B">
        <w:rPr>
          <w:rFonts w:ascii="Arial" w:hAnsi="Arial"/>
          <w:color w:val="000000" w:themeColor="text1"/>
          <w:sz w:val="24"/>
          <w:szCs w:val="24"/>
        </w:rPr>
        <w:t xml:space="preserve">y al grupo de mineralogía aplicada y </w:t>
      </w:r>
      <w:proofErr w:type="spellStart"/>
      <w:r w:rsidR="00397621" w:rsidRPr="0031297B">
        <w:rPr>
          <w:rFonts w:ascii="Arial" w:hAnsi="Arial"/>
          <w:color w:val="000000" w:themeColor="text1"/>
          <w:sz w:val="24"/>
          <w:szCs w:val="24"/>
        </w:rPr>
        <w:t>bioprocesos</w:t>
      </w:r>
      <w:proofErr w:type="spellEnd"/>
      <w:r w:rsidR="00397621" w:rsidRPr="0031297B">
        <w:rPr>
          <w:rFonts w:ascii="Arial" w:hAnsi="Arial"/>
          <w:color w:val="000000" w:themeColor="text1"/>
          <w:sz w:val="24"/>
          <w:szCs w:val="24"/>
        </w:rPr>
        <w:t xml:space="preserve"> (GMAB) de la U</w:t>
      </w:r>
      <w:r w:rsidR="002A7035">
        <w:rPr>
          <w:rFonts w:ascii="Arial" w:hAnsi="Arial"/>
          <w:color w:val="000000" w:themeColor="text1"/>
          <w:sz w:val="24"/>
          <w:szCs w:val="24"/>
        </w:rPr>
        <w:t xml:space="preserve">niversidad Nacional de Colombia - </w:t>
      </w:r>
      <w:r w:rsidR="00397621" w:rsidRPr="0031297B">
        <w:rPr>
          <w:rFonts w:ascii="Arial" w:hAnsi="Arial"/>
          <w:color w:val="000000" w:themeColor="text1"/>
          <w:sz w:val="24"/>
          <w:szCs w:val="24"/>
        </w:rPr>
        <w:t>sede Medellín, donde se l</w:t>
      </w:r>
      <w:r w:rsidR="00556D7D">
        <w:rPr>
          <w:rFonts w:ascii="Arial" w:hAnsi="Arial"/>
          <w:color w:val="000000" w:themeColor="text1"/>
          <w:sz w:val="24"/>
          <w:szCs w:val="24"/>
        </w:rPr>
        <w:t>levó a cabo la investigación.</w:t>
      </w:r>
    </w:p>
    <w:p w:rsidR="001B71C6" w:rsidRPr="005D7C9A" w:rsidRDefault="001B71C6" w:rsidP="006F2C2B">
      <w:pPr>
        <w:pStyle w:val="Sinespaciado"/>
        <w:jc w:val="both"/>
        <w:rPr>
          <w:rFonts w:ascii="Arial" w:hAnsi="Arial"/>
          <w:color w:val="000000" w:themeColor="text1"/>
          <w:sz w:val="24"/>
          <w:szCs w:val="24"/>
        </w:rPr>
      </w:pPr>
    </w:p>
    <w:p w:rsidR="00CA26AE" w:rsidRDefault="00D623FD" w:rsidP="006F2C2B">
      <w:pPr>
        <w:pStyle w:val="Sinespaciado"/>
        <w:jc w:val="both"/>
        <w:rPr>
          <w:rFonts w:ascii="Arial" w:hAnsi="Arial"/>
          <w:b/>
          <w:color w:val="000000" w:themeColor="text1"/>
          <w:sz w:val="24"/>
          <w:szCs w:val="24"/>
        </w:rPr>
      </w:pPr>
      <w:r>
        <w:rPr>
          <w:rFonts w:ascii="Arial" w:hAnsi="Arial"/>
          <w:b/>
          <w:color w:val="000000" w:themeColor="text1"/>
          <w:sz w:val="24"/>
          <w:szCs w:val="24"/>
        </w:rPr>
        <w:t>Referencias bibliográficas</w:t>
      </w:r>
    </w:p>
    <w:p w:rsidR="00CA26AE" w:rsidRPr="00D623FD" w:rsidRDefault="00CA26AE" w:rsidP="006F2C2B">
      <w:pPr>
        <w:spacing w:line="240" w:lineRule="auto"/>
        <w:jc w:val="both"/>
        <w:divId w:val="1879969478"/>
        <w:rPr>
          <w:rFonts w:ascii="Arial" w:hAnsi="Arial" w:cs="Arial"/>
          <w:sz w:val="24"/>
          <w:szCs w:val="24"/>
          <w:lang w:val="en-US"/>
        </w:rPr>
      </w:pPr>
      <w:r w:rsidRPr="003E211B">
        <w:rPr>
          <w:rFonts w:ascii="Arial" w:hAnsi="Arial" w:cs="Arial"/>
          <w:sz w:val="24"/>
          <w:szCs w:val="24"/>
        </w:rPr>
        <w:t xml:space="preserve">Aller, A., Martinez, O., de Linaje, J. A., Méndez, R., &amp; Morán, A. (2001). </w:t>
      </w:r>
      <w:proofErr w:type="spellStart"/>
      <w:r w:rsidRPr="00D623FD">
        <w:rPr>
          <w:rFonts w:ascii="Arial" w:hAnsi="Arial" w:cs="Arial"/>
          <w:sz w:val="24"/>
          <w:szCs w:val="24"/>
          <w:lang w:val="en-US"/>
        </w:rPr>
        <w:t>Biodesulphurization</w:t>
      </w:r>
      <w:proofErr w:type="spellEnd"/>
      <w:r w:rsidRPr="00D623FD">
        <w:rPr>
          <w:rFonts w:ascii="Arial" w:hAnsi="Arial" w:cs="Arial"/>
          <w:sz w:val="24"/>
          <w:szCs w:val="24"/>
          <w:lang w:val="en-US"/>
        </w:rPr>
        <w:t xml:space="preserve"> of coal by microorganisms isolated from the coal itself. </w:t>
      </w:r>
      <w:r w:rsidRPr="00D623FD">
        <w:rPr>
          <w:rFonts w:ascii="Arial" w:hAnsi="Arial" w:cs="Arial"/>
          <w:i/>
          <w:sz w:val="24"/>
          <w:szCs w:val="24"/>
          <w:lang w:val="en-US"/>
        </w:rPr>
        <w:t>Fuel Processing Technology</w:t>
      </w:r>
      <w:r w:rsidRPr="00D623FD">
        <w:rPr>
          <w:rFonts w:ascii="Arial" w:hAnsi="Arial" w:cs="Arial"/>
          <w:sz w:val="24"/>
          <w:szCs w:val="24"/>
          <w:lang w:val="en-US"/>
        </w:rPr>
        <w:t xml:space="preserve">, </w:t>
      </w:r>
      <w:r w:rsidRPr="00D623FD">
        <w:rPr>
          <w:rFonts w:ascii="Arial" w:hAnsi="Arial" w:cs="Arial"/>
          <w:i/>
          <w:sz w:val="24"/>
          <w:szCs w:val="24"/>
          <w:lang w:val="en-US"/>
        </w:rPr>
        <w:t>69</w:t>
      </w:r>
      <w:r w:rsidRPr="00D623FD">
        <w:rPr>
          <w:rFonts w:ascii="Arial" w:hAnsi="Arial" w:cs="Arial"/>
          <w:sz w:val="24"/>
          <w:szCs w:val="24"/>
          <w:lang w:val="en-US"/>
        </w:rPr>
        <w:t xml:space="preserve">(1), 45–57. </w:t>
      </w:r>
    </w:p>
    <w:p w:rsidR="00CA26AE" w:rsidRPr="00D623FD" w:rsidRDefault="00CA26AE" w:rsidP="006F2C2B">
      <w:pPr>
        <w:spacing w:line="240" w:lineRule="auto"/>
        <w:jc w:val="both"/>
        <w:divId w:val="1879969478"/>
        <w:rPr>
          <w:rFonts w:ascii="Arial" w:hAnsi="Arial" w:cs="Arial"/>
          <w:sz w:val="24"/>
          <w:szCs w:val="24"/>
          <w:lang w:val="en-US"/>
        </w:rPr>
      </w:pPr>
      <w:r w:rsidRPr="00D623FD">
        <w:rPr>
          <w:rFonts w:ascii="Arial" w:hAnsi="Arial" w:cs="Arial"/>
          <w:sz w:val="24"/>
          <w:szCs w:val="24"/>
          <w:lang w:val="en-US"/>
        </w:rPr>
        <w:t xml:space="preserve">Bird, L. J., </w:t>
      </w:r>
      <w:proofErr w:type="spellStart"/>
      <w:r w:rsidRPr="00D623FD">
        <w:rPr>
          <w:rFonts w:ascii="Arial" w:hAnsi="Arial" w:cs="Arial"/>
          <w:sz w:val="24"/>
          <w:szCs w:val="24"/>
          <w:lang w:val="en-US"/>
        </w:rPr>
        <w:t>Bonnefoy</w:t>
      </w:r>
      <w:proofErr w:type="spellEnd"/>
      <w:r w:rsidRPr="00D623FD">
        <w:rPr>
          <w:rFonts w:ascii="Arial" w:hAnsi="Arial" w:cs="Arial"/>
          <w:sz w:val="24"/>
          <w:szCs w:val="24"/>
          <w:lang w:val="en-US"/>
        </w:rPr>
        <w:t xml:space="preserve">, V., &amp; Newman, D. K. (2011). </w:t>
      </w:r>
      <w:proofErr w:type="spellStart"/>
      <w:r w:rsidRPr="00D623FD">
        <w:rPr>
          <w:rFonts w:ascii="Arial" w:hAnsi="Arial" w:cs="Arial"/>
          <w:sz w:val="24"/>
          <w:szCs w:val="24"/>
          <w:lang w:val="en-US"/>
        </w:rPr>
        <w:t>Bioenergetic</w:t>
      </w:r>
      <w:proofErr w:type="spellEnd"/>
      <w:r w:rsidRPr="00D623FD">
        <w:rPr>
          <w:rFonts w:ascii="Arial" w:hAnsi="Arial" w:cs="Arial"/>
          <w:sz w:val="24"/>
          <w:szCs w:val="24"/>
          <w:lang w:val="en-US"/>
        </w:rPr>
        <w:t xml:space="preserve"> challenges of microbial iron metabolisms. </w:t>
      </w:r>
      <w:r w:rsidRPr="00D623FD">
        <w:rPr>
          <w:rFonts w:ascii="Arial" w:hAnsi="Arial" w:cs="Arial"/>
          <w:i/>
          <w:sz w:val="24"/>
          <w:szCs w:val="24"/>
          <w:lang w:val="en-US"/>
        </w:rPr>
        <w:t>Trends in Microbiology</w:t>
      </w:r>
      <w:r w:rsidRPr="00D623FD">
        <w:rPr>
          <w:rFonts w:ascii="Arial" w:hAnsi="Arial" w:cs="Arial"/>
          <w:sz w:val="24"/>
          <w:szCs w:val="24"/>
          <w:lang w:val="en-US"/>
        </w:rPr>
        <w:t xml:space="preserve">, </w:t>
      </w:r>
      <w:r w:rsidRPr="00D623FD">
        <w:rPr>
          <w:rFonts w:ascii="Arial" w:hAnsi="Arial" w:cs="Arial"/>
          <w:i/>
          <w:sz w:val="24"/>
          <w:szCs w:val="24"/>
          <w:lang w:val="en-US"/>
        </w:rPr>
        <w:t>19</w:t>
      </w:r>
      <w:r w:rsidRPr="00D623FD">
        <w:rPr>
          <w:rFonts w:ascii="Arial" w:hAnsi="Arial" w:cs="Arial"/>
          <w:sz w:val="24"/>
          <w:szCs w:val="24"/>
          <w:lang w:val="en-US"/>
        </w:rPr>
        <w:t xml:space="preserve">(7), 330–340. </w:t>
      </w:r>
    </w:p>
    <w:p w:rsidR="00CA26AE" w:rsidRPr="00D623FD" w:rsidRDefault="00CA26AE" w:rsidP="006F2C2B">
      <w:pPr>
        <w:spacing w:line="240" w:lineRule="auto"/>
        <w:jc w:val="both"/>
        <w:divId w:val="1879969478"/>
        <w:rPr>
          <w:rFonts w:ascii="Arial" w:hAnsi="Arial" w:cs="Arial"/>
          <w:sz w:val="24"/>
          <w:szCs w:val="24"/>
          <w:lang w:val="en-US"/>
        </w:rPr>
      </w:pPr>
      <w:r w:rsidRPr="00D623FD">
        <w:rPr>
          <w:rFonts w:ascii="Arial" w:hAnsi="Arial" w:cs="Arial"/>
          <w:sz w:val="24"/>
          <w:szCs w:val="24"/>
          <w:lang w:val="en-US"/>
        </w:rPr>
        <w:t xml:space="preserve">Boon, M. (2001). The mechanism of “direct” and “indirect” bacterial oxidation of </w:t>
      </w:r>
      <w:proofErr w:type="spellStart"/>
      <w:r w:rsidRPr="00D623FD">
        <w:rPr>
          <w:rFonts w:ascii="Arial" w:hAnsi="Arial" w:cs="Arial"/>
          <w:sz w:val="24"/>
          <w:szCs w:val="24"/>
          <w:lang w:val="en-US"/>
        </w:rPr>
        <w:t>sulphide</w:t>
      </w:r>
      <w:proofErr w:type="spellEnd"/>
      <w:r w:rsidRPr="00D623FD">
        <w:rPr>
          <w:rFonts w:ascii="Arial" w:hAnsi="Arial" w:cs="Arial"/>
          <w:sz w:val="24"/>
          <w:szCs w:val="24"/>
          <w:lang w:val="en-US"/>
        </w:rPr>
        <w:t xml:space="preserve"> minerals.</w:t>
      </w:r>
      <w:r w:rsidRPr="00D623FD">
        <w:rPr>
          <w:rFonts w:ascii="Arial" w:hAnsi="Arial" w:cs="Arial"/>
          <w:i/>
          <w:sz w:val="24"/>
          <w:szCs w:val="24"/>
          <w:lang w:val="en-US"/>
        </w:rPr>
        <w:t xml:space="preserve"> Hydrometallurgy</w:t>
      </w:r>
      <w:r w:rsidRPr="00D623FD">
        <w:rPr>
          <w:rFonts w:ascii="Arial" w:hAnsi="Arial" w:cs="Arial"/>
          <w:sz w:val="24"/>
          <w:szCs w:val="24"/>
          <w:lang w:val="en-US"/>
        </w:rPr>
        <w:t xml:space="preserve">, </w:t>
      </w:r>
      <w:r w:rsidRPr="00D623FD">
        <w:rPr>
          <w:rFonts w:ascii="Arial" w:hAnsi="Arial" w:cs="Arial"/>
          <w:i/>
          <w:sz w:val="24"/>
          <w:szCs w:val="24"/>
          <w:lang w:val="en-US"/>
        </w:rPr>
        <w:t>62</w:t>
      </w:r>
      <w:r w:rsidRPr="00D623FD">
        <w:rPr>
          <w:rFonts w:ascii="Arial" w:hAnsi="Arial" w:cs="Arial"/>
          <w:sz w:val="24"/>
          <w:szCs w:val="24"/>
          <w:lang w:val="en-US"/>
        </w:rPr>
        <w:t xml:space="preserve">(1), 67–70. </w:t>
      </w:r>
    </w:p>
    <w:p w:rsidR="00CA26AE" w:rsidRPr="00D623FD" w:rsidRDefault="00CA26AE" w:rsidP="006F2C2B">
      <w:pPr>
        <w:spacing w:line="240" w:lineRule="auto"/>
        <w:jc w:val="both"/>
        <w:divId w:val="1879969478"/>
        <w:rPr>
          <w:rFonts w:ascii="Arial" w:hAnsi="Arial" w:cs="Arial"/>
          <w:sz w:val="24"/>
          <w:szCs w:val="24"/>
          <w:lang w:val="en-US"/>
        </w:rPr>
      </w:pPr>
      <w:proofErr w:type="spellStart"/>
      <w:r w:rsidRPr="00D623FD">
        <w:rPr>
          <w:rFonts w:ascii="Arial" w:hAnsi="Arial" w:cs="Arial"/>
          <w:sz w:val="24"/>
          <w:szCs w:val="24"/>
          <w:lang w:val="en-US"/>
        </w:rPr>
        <w:t>Bosecker</w:t>
      </w:r>
      <w:proofErr w:type="spellEnd"/>
      <w:r w:rsidRPr="00D623FD">
        <w:rPr>
          <w:rFonts w:ascii="Arial" w:hAnsi="Arial" w:cs="Arial"/>
          <w:sz w:val="24"/>
          <w:szCs w:val="24"/>
          <w:lang w:val="en-US"/>
        </w:rPr>
        <w:t xml:space="preserve">, K. (1997). Bioleaching: Metal </w:t>
      </w:r>
      <w:proofErr w:type="spellStart"/>
      <w:r w:rsidRPr="00D623FD">
        <w:rPr>
          <w:rFonts w:ascii="Arial" w:hAnsi="Arial" w:cs="Arial"/>
          <w:sz w:val="24"/>
          <w:szCs w:val="24"/>
          <w:lang w:val="en-US"/>
        </w:rPr>
        <w:t>solubilization</w:t>
      </w:r>
      <w:proofErr w:type="spellEnd"/>
      <w:r w:rsidRPr="00D623FD">
        <w:rPr>
          <w:rFonts w:ascii="Arial" w:hAnsi="Arial" w:cs="Arial"/>
          <w:sz w:val="24"/>
          <w:szCs w:val="24"/>
          <w:lang w:val="en-US"/>
        </w:rPr>
        <w:t xml:space="preserve"> by microorganisms. </w:t>
      </w:r>
      <w:r w:rsidRPr="00D623FD">
        <w:rPr>
          <w:rFonts w:ascii="Arial" w:hAnsi="Arial" w:cs="Arial"/>
          <w:i/>
          <w:sz w:val="24"/>
          <w:szCs w:val="24"/>
          <w:lang w:val="en-US"/>
        </w:rPr>
        <w:t>FEMS</w:t>
      </w:r>
      <w:r w:rsidRPr="00D623FD">
        <w:rPr>
          <w:rFonts w:ascii="Arial" w:hAnsi="Arial" w:cs="Arial"/>
          <w:sz w:val="24"/>
          <w:szCs w:val="24"/>
          <w:lang w:val="en-US"/>
        </w:rPr>
        <w:t xml:space="preserve"> </w:t>
      </w:r>
      <w:r w:rsidRPr="00D623FD">
        <w:rPr>
          <w:rFonts w:ascii="Arial" w:hAnsi="Arial" w:cs="Arial"/>
          <w:i/>
          <w:sz w:val="24"/>
          <w:szCs w:val="24"/>
          <w:lang w:val="en-US"/>
        </w:rPr>
        <w:t>Microbiology Reviews</w:t>
      </w:r>
      <w:r w:rsidRPr="00D623FD">
        <w:rPr>
          <w:rFonts w:ascii="Arial" w:hAnsi="Arial" w:cs="Arial"/>
          <w:sz w:val="24"/>
          <w:szCs w:val="24"/>
          <w:lang w:val="en-US"/>
        </w:rPr>
        <w:t xml:space="preserve">, </w:t>
      </w:r>
      <w:r w:rsidRPr="00D623FD">
        <w:rPr>
          <w:rFonts w:ascii="Arial" w:hAnsi="Arial" w:cs="Arial"/>
          <w:i/>
          <w:sz w:val="24"/>
          <w:szCs w:val="24"/>
          <w:lang w:val="en-US"/>
        </w:rPr>
        <w:t>20</w:t>
      </w:r>
      <w:r w:rsidRPr="00D623FD">
        <w:rPr>
          <w:rFonts w:ascii="Arial" w:hAnsi="Arial" w:cs="Arial"/>
          <w:sz w:val="24"/>
          <w:szCs w:val="24"/>
          <w:lang w:val="en-US"/>
        </w:rPr>
        <w:t>(3-4), 591–604</w:t>
      </w:r>
      <w:r w:rsidR="006A46B1" w:rsidRPr="00D623FD">
        <w:rPr>
          <w:rFonts w:ascii="Arial" w:hAnsi="Arial" w:cs="Arial"/>
          <w:sz w:val="24"/>
          <w:szCs w:val="24"/>
          <w:lang w:val="en-US"/>
        </w:rPr>
        <w:t>.</w:t>
      </w:r>
    </w:p>
    <w:p w:rsidR="00CA26AE" w:rsidRPr="003E211B" w:rsidRDefault="00CA26AE" w:rsidP="006F2C2B">
      <w:pPr>
        <w:spacing w:line="240" w:lineRule="auto"/>
        <w:jc w:val="both"/>
        <w:divId w:val="1879969478"/>
        <w:rPr>
          <w:rFonts w:ascii="Arial" w:hAnsi="Arial" w:cs="Arial"/>
          <w:sz w:val="24"/>
          <w:szCs w:val="24"/>
        </w:rPr>
      </w:pPr>
      <w:r w:rsidRPr="003E211B">
        <w:rPr>
          <w:rFonts w:ascii="Arial" w:hAnsi="Arial" w:cs="Arial"/>
          <w:sz w:val="24"/>
          <w:szCs w:val="24"/>
        </w:rPr>
        <w:t xml:space="preserve">Caicedo, G. (2008). Biodesulfurización de carbón de la zona Río </w:t>
      </w:r>
      <w:proofErr w:type="spellStart"/>
      <w:r w:rsidRPr="003E211B">
        <w:rPr>
          <w:rFonts w:ascii="Arial" w:hAnsi="Arial" w:cs="Arial"/>
          <w:sz w:val="24"/>
          <w:szCs w:val="24"/>
        </w:rPr>
        <w:t>Guachinté</w:t>
      </w:r>
      <w:proofErr w:type="spellEnd"/>
      <w:r w:rsidRPr="003E211B">
        <w:rPr>
          <w:rFonts w:ascii="Arial" w:hAnsi="Arial" w:cs="Arial"/>
          <w:sz w:val="24"/>
          <w:szCs w:val="24"/>
        </w:rPr>
        <w:t xml:space="preserve"> – Río </w:t>
      </w:r>
      <w:proofErr w:type="spellStart"/>
      <w:r w:rsidRPr="003E211B">
        <w:rPr>
          <w:rFonts w:ascii="Arial" w:hAnsi="Arial" w:cs="Arial"/>
          <w:sz w:val="24"/>
          <w:szCs w:val="24"/>
        </w:rPr>
        <w:t>Aznazú</w:t>
      </w:r>
      <w:proofErr w:type="spellEnd"/>
      <w:r w:rsidRPr="003E211B">
        <w:rPr>
          <w:rFonts w:ascii="Arial" w:hAnsi="Arial" w:cs="Arial"/>
          <w:sz w:val="24"/>
          <w:szCs w:val="24"/>
        </w:rPr>
        <w:t xml:space="preserve"> Valle Del Cauca y Cauca en biorreactores de columna, utilizando microorganismos nativos (tesis de maestría). Universidad Nacional de Colombia, Medellín. </w:t>
      </w:r>
    </w:p>
    <w:p w:rsidR="00CA26AE" w:rsidRPr="003E211B" w:rsidRDefault="00CA26AE" w:rsidP="006F2C2B">
      <w:pPr>
        <w:spacing w:line="240" w:lineRule="auto"/>
        <w:jc w:val="both"/>
        <w:divId w:val="1879969478"/>
        <w:rPr>
          <w:rFonts w:ascii="Arial" w:hAnsi="Arial" w:cs="Arial"/>
          <w:sz w:val="24"/>
          <w:szCs w:val="24"/>
        </w:rPr>
      </w:pPr>
      <w:r w:rsidRPr="003E211B">
        <w:rPr>
          <w:rFonts w:ascii="Arial" w:hAnsi="Arial" w:cs="Arial"/>
          <w:sz w:val="24"/>
          <w:szCs w:val="24"/>
        </w:rPr>
        <w:t xml:space="preserve">Caicedo, G., &amp; </w:t>
      </w:r>
      <w:proofErr w:type="spellStart"/>
      <w:r w:rsidRPr="003E211B">
        <w:rPr>
          <w:rFonts w:ascii="Arial" w:hAnsi="Arial" w:cs="Arial"/>
          <w:sz w:val="24"/>
          <w:szCs w:val="24"/>
        </w:rPr>
        <w:t>Marquéz</w:t>
      </w:r>
      <w:proofErr w:type="spellEnd"/>
      <w:r w:rsidRPr="003E211B">
        <w:rPr>
          <w:rFonts w:ascii="Arial" w:hAnsi="Arial" w:cs="Arial"/>
          <w:sz w:val="24"/>
          <w:szCs w:val="24"/>
        </w:rPr>
        <w:t>, M. (2011). Influencia de la concentración de hierro y pH iniciales en un proceso de biodesulfurización de carbón – ensayos a nivel de laboratorio.</w:t>
      </w:r>
      <w:r>
        <w:rPr>
          <w:rFonts w:ascii="Arial" w:hAnsi="Arial" w:cs="Arial"/>
          <w:sz w:val="24"/>
          <w:szCs w:val="24"/>
        </w:rPr>
        <w:t xml:space="preserve"> </w:t>
      </w:r>
      <w:r w:rsidRPr="00925060">
        <w:rPr>
          <w:rFonts w:ascii="Arial" w:hAnsi="Arial" w:cs="Arial"/>
          <w:i/>
          <w:sz w:val="24"/>
          <w:szCs w:val="24"/>
        </w:rPr>
        <w:t xml:space="preserve">Revista Colombiana de </w:t>
      </w:r>
      <w:r w:rsidR="0036616F">
        <w:rPr>
          <w:rFonts w:ascii="Arial" w:hAnsi="Arial" w:cs="Arial"/>
          <w:i/>
          <w:sz w:val="24"/>
          <w:szCs w:val="24"/>
        </w:rPr>
        <w:t>B</w:t>
      </w:r>
      <w:r w:rsidR="0036616F" w:rsidRPr="00925060">
        <w:rPr>
          <w:rFonts w:ascii="Arial" w:hAnsi="Arial" w:cs="Arial"/>
          <w:i/>
          <w:sz w:val="24"/>
          <w:szCs w:val="24"/>
        </w:rPr>
        <w:t>iotecnología</w:t>
      </w:r>
      <w:r w:rsidRPr="003E211B">
        <w:rPr>
          <w:rFonts w:ascii="Arial" w:hAnsi="Arial" w:cs="Arial"/>
          <w:sz w:val="24"/>
          <w:szCs w:val="24"/>
        </w:rPr>
        <w:t xml:space="preserve">, </w:t>
      </w:r>
      <w:r w:rsidRPr="00D623FD">
        <w:rPr>
          <w:rFonts w:ascii="Arial" w:hAnsi="Arial" w:cs="Arial"/>
          <w:i/>
          <w:sz w:val="24"/>
          <w:szCs w:val="24"/>
        </w:rPr>
        <w:t>13</w:t>
      </w:r>
      <w:r w:rsidR="00D623FD">
        <w:rPr>
          <w:rFonts w:ascii="Arial" w:hAnsi="Arial" w:cs="Arial"/>
          <w:sz w:val="24"/>
          <w:szCs w:val="24"/>
        </w:rPr>
        <w:t>(</w:t>
      </w:r>
      <w:r w:rsidR="0036616F">
        <w:rPr>
          <w:rFonts w:ascii="Arial" w:hAnsi="Arial" w:cs="Arial"/>
          <w:sz w:val="24"/>
          <w:szCs w:val="24"/>
        </w:rPr>
        <w:t>2</w:t>
      </w:r>
      <w:r w:rsidR="00D623FD">
        <w:rPr>
          <w:rFonts w:ascii="Arial" w:hAnsi="Arial" w:cs="Arial"/>
          <w:sz w:val="24"/>
          <w:szCs w:val="24"/>
        </w:rPr>
        <w:t>)</w:t>
      </w:r>
      <w:r w:rsidRPr="003E211B">
        <w:rPr>
          <w:rFonts w:ascii="Arial" w:hAnsi="Arial" w:cs="Arial"/>
          <w:sz w:val="24"/>
          <w:szCs w:val="24"/>
        </w:rPr>
        <w:t>, 199- 209.</w:t>
      </w:r>
    </w:p>
    <w:p w:rsidR="00CA26AE" w:rsidRPr="00D623FD" w:rsidRDefault="00CA26AE" w:rsidP="006F2C2B">
      <w:pPr>
        <w:spacing w:line="240" w:lineRule="auto"/>
        <w:jc w:val="both"/>
        <w:divId w:val="1879969478"/>
        <w:rPr>
          <w:rFonts w:ascii="Arial" w:hAnsi="Arial" w:cs="Arial"/>
          <w:sz w:val="24"/>
          <w:szCs w:val="24"/>
          <w:lang w:val="en-US"/>
        </w:rPr>
      </w:pPr>
      <w:r w:rsidRPr="003E211B">
        <w:rPr>
          <w:rFonts w:ascii="Arial" w:hAnsi="Arial" w:cs="Arial"/>
          <w:sz w:val="24"/>
          <w:szCs w:val="24"/>
        </w:rPr>
        <w:t xml:space="preserve">Cara, J., Carballo, M., Morán, A., Bonilla, D., Escolano, O., &amp; García Frutos, F. (2005). </w:t>
      </w:r>
      <w:proofErr w:type="spellStart"/>
      <w:r w:rsidRPr="00D623FD">
        <w:rPr>
          <w:rFonts w:ascii="Arial" w:hAnsi="Arial" w:cs="Arial"/>
          <w:sz w:val="24"/>
          <w:szCs w:val="24"/>
          <w:lang w:val="en-US"/>
        </w:rPr>
        <w:t>Biodesulphurisation</w:t>
      </w:r>
      <w:proofErr w:type="spellEnd"/>
      <w:r w:rsidRPr="00D623FD">
        <w:rPr>
          <w:rFonts w:ascii="Arial" w:hAnsi="Arial" w:cs="Arial"/>
          <w:sz w:val="24"/>
          <w:szCs w:val="24"/>
          <w:lang w:val="en-US"/>
        </w:rPr>
        <w:t xml:space="preserve"> of high </w:t>
      </w:r>
      <w:proofErr w:type="spellStart"/>
      <w:r w:rsidRPr="00D623FD">
        <w:rPr>
          <w:rFonts w:ascii="Arial" w:hAnsi="Arial" w:cs="Arial"/>
          <w:sz w:val="24"/>
          <w:szCs w:val="24"/>
          <w:lang w:val="en-US"/>
        </w:rPr>
        <w:t>sulphur</w:t>
      </w:r>
      <w:proofErr w:type="spellEnd"/>
      <w:r w:rsidRPr="00D623FD">
        <w:rPr>
          <w:rFonts w:ascii="Arial" w:hAnsi="Arial" w:cs="Arial"/>
          <w:sz w:val="24"/>
          <w:szCs w:val="24"/>
          <w:lang w:val="en-US"/>
        </w:rPr>
        <w:t xml:space="preserve"> coal by heap leaching. </w:t>
      </w:r>
      <w:r w:rsidRPr="00D623FD">
        <w:rPr>
          <w:rFonts w:ascii="Arial" w:hAnsi="Arial" w:cs="Arial"/>
          <w:i/>
          <w:sz w:val="24"/>
          <w:szCs w:val="24"/>
          <w:lang w:val="en-US"/>
        </w:rPr>
        <w:t>Fuel</w:t>
      </w:r>
      <w:r w:rsidRPr="00D623FD">
        <w:rPr>
          <w:rFonts w:ascii="Arial" w:hAnsi="Arial" w:cs="Arial"/>
          <w:sz w:val="24"/>
          <w:szCs w:val="24"/>
          <w:lang w:val="en-US"/>
        </w:rPr>
        <w:t xml:space="preserve">, </w:t>
      </w:r>
      <w:r w:rsidRPr="00D623FD">
        <w:rPr>
          <w:rFonts w:ascii="Arial" w:hAnsi="Arial" w:cs="Arial"/>
          <w:i/>
          <w:sz w:val="24"/>
          <w:szCs w:val="24"/>
          <w:lang w:val="en-US"/>
        </w:rPr>
        <w:t>84</w:t>
      </w:r>
      <w:r w:rsidRPr="00D623FD">
        <w:rPr>
          <w:rFonts w:ascii="Arial" w:hAnsi="Arial" w:cs="Arial"/>
          <w:sz w:val="24"/>
          <w:szCs w:val="24"/>
          <w:lang w:val="en-US"/>
        </w:rPr>
        <w:t>, 1905–1910.</w:t>
      </w:r>
    </w:p>
    <w:p w:rsidR="005D0A54" w:rsidRPr="00D623FD" w:rsidRDefault="005D0A54" w:rsidP="006F2C2B">
      <w:pPr>
        <w:spacing w:line="240" w:lineRule="auto"/>
        <w:jc w:val="both"/>
        <w:divId w:val="1879969478"/>
        <w:rPr>
          <w:rFonts w:ascii="Arial" w:hAnsi="Arial" w:cs="Arial"/>
          <w:sz w:val="24"/>
          <w:szCs w:val="24"/>
          <w:lang w:val="en-US"/>
        </w:rPr>
      </w:pPr>
      <w:r w:rsidRPr="00D623FD">
        <w:rPr>
          <w:rFonts w:ascii="Arial" w:hAnsi="Arial" w:cs="Arial"/>
          <w:sz w:val="24"/>
          <w:szCs w:val="24"/>
          <w:lang w:val="en-US"/>
        </w:rPr>
        <w:t xml:space="preserve">Cardona, C. (2008). </w:t>
      </w:r>
      <w:r w:rsidRPr="003E211B">
        <w:rPr>
          <w:rFonts w:ascii="Arial" w:hAnsi="Arial" w:cs="Arial"/>
          <w:sz w:val="24"/>
          <w:szCs w:val="24"/>
        </w:rPr>
        <w:t xml:space="preserve">Mineralogía del proceso de biodesulfurización de carbones provenientes de la zona del río </w:t>
      </w:r>
      <w:proofErr w:type="spellStart"/>
      <w:r w:rsidRPr="003E211B">
        <w:rPr>
          <w:rFonts w:ascii="Arial" w:hAnsi="Arial" w:cs="Arial"/>
          <w:sz w:val="24"/>
          <w:szCs w:val="24"/>
        </w:rPr>
        <w:t>Gu</w:t>
      </w:r>
      <w:r w:rsidR="009C2E38">
        <w:rPr>
          <w:rFonts w:ascii="Arial" w:hAnsi="Arial" w:cs="Arial"/>
          <w:sz w:val="24"/>
          <w:szCs w:val="24"/>
        </w:rPr>
        <w:t>achinté</w:t>
      </w:r>
      <w:proofErr w:type="spellEnd"/>
      <w:r w:rsidRPr="003E211B">
        <w:rPr>
          <w:rFonts w:ascii="Arial" w:hAnsi="Arial" w:cs="Arial"/>
          <w:sz w:val="24"/>
          <w:szCs w:val="24"/>
        </w:rPr>
        <w:t xml:space="preserve"> - río </w:t>
      </w:r>
      <w:proofErr w:type="spellStart"/>
      <w:r w:rsidRPr="003E211B">
        <w:rPr>
          <w:rFonts w:ascii="Arial" w:hAnsi="Arial" w:cs="Arial"/>
          <w:sz w:val="24"/>
          <w:szCs w:val="24"/>
        </w:rPr>
        <w:t>Aznazú</w:t>
      </w:r>
      <w:proofErr w:type="spellEnd"/>
      <w:r w:rsidRPr="003E211B">
        <w:rPr>
          <w:rFonts w:ascii="Arial" w:hAnsi="Arial" w:cs="Arial"/>
          <w:sz w:val="24"/>
          <w:szCs w:val="24"/>
        </w:rPr>
        <w:t xml:space="preserve"> (Valle del cauca y cauca), (tesis de </w:t>
      </w:r>
      <w:r w:rsidR="009C2E38" w:rsidRPr="003E211B">
        <w:rPr>
          <w:rFonts w:ascii="Arial" w:hAnsi="Arial" w:cs="Arial"/>
          <w:sz w:val="24"/>
          <w:szCs w:val="24"/>
        </w:rPr>
        <w:t>maestría</w:t>
      </w:r>
      <w:r w:rsidRPr="003E211B">
        <w:rPr>
          <w:rFonts w:ascii="Arial" w:hAnsi="Arial" w:cs="Arial"/>
          <w:sz w:val="24"/>
          <w:szCs w:val="24"/>
        </w:rPr>
        <w:t xml:space="preserve">). </w:t>
      </w:r>
      <w:r w:rsidRPr="00D623FD">
        <w:rPr>
          <w:rFonts w:ascii="Arial" w:hAnsi="Arial" w:cs="Arial"/>
          <w:sz w:val="24"/>
          <w:szCs w:val="24"/>
          <w:lang w:val="en-US"/>
        </w:rPr>
        <w:t>Universidad N</w:t>
      </w:r>
      <w:r w:rsidR="00925060" w:rsidRPr="00D623FD">
        <w:rPr>
          <w:rFonts w:ascii="Arial" w:hAnsi="Arial" w:cs="Arial"/>
          <w:sz w:val="24"/>
          <w:szCs w:val="24"/>
          <w:lang w:val="en-US"/>
        </w:rPr>
        <w:t xml:space="preserve">acional de Colombia, </w:t>
      </w:r>
      <w:proofErr w:type="spellStart"/>
      <w:r w:rsidR="00925060" w:rsidRPr="00D623FD">
        <w:rPr>
          <w:rFonts w:ascii="Arial" w:hAnsi="Arial" w:cs="Arial"/>
          <w:sz w:val="24"/>
          <w:szCs w:val="24"/>
          <w:lang w:val="en-US"/>
        </w:rPr>
        <w:t>Medellín</w:t>
      </w:r>
      <w:proofErr w:type="spellEnd"/>
      <w:r w:rsidR="00925060" w:rsidRPr="00D623FD">
        <w:rPr>
          <w:rFonts w:ascii="Arial" w:hAnsi="Arial" w:cs="Arial"/>
          <w:sz w:val="24"/>
          <w:szCs w:val="24"/>
          <w:lang w:val="en-US"/>
        </w:rPr>
        <w:t xml:space="preserve">. </w:t>
      </w:r>
      <w:r w:rsidRPr="00D623FD">
        <w:rPr>
          <w:rFonts w:ascii="Arial" w:hAnsi="Arial" w:cs="Arial"/>
          <w:sz w:val="24"/>
          <w:szCs w:val="24"/>
          <w:lang w:val="en-US"/>
        </w:rPr>
        <w:t>Colombia</w:t>
      </w:r>
      <w:r w:rsidR="008F4AF0" w:rsidRPr="00D623FD">
        <w:rPr>
          <w:rFonts w:ascii="Arial" w:hAnsi="Arial" w:cs="Arial"/>
          <w:sz w:val="24"/>
          <w:szCs w:val="24"/>
          <w:lang w:val="en-US"/>
        </w:rPr>
        <w:t>.</w:t>
      </w:r>
    </w:p>
    <w:p w:rsidR="008F4AF0" w:rsidRPr="00D623FD" w:rsidRDefault="008F4AF0" w:rsidP="006F2C2B">
      <w:pPr>
        <w:spacing w:line="240" w:lineRule="auto"/>
        <w:jc w:val="both"/>
        <w:divId w:val="1879969478"/>
        <w:rPr>
          <w:rFonts w:ascii="Arial" w:hAnsi="Arial" w:cs="Arial"/>
          <w:sz w:val="24"/>
          <w:szCs w:val="24"/>
          <w:lang w:val="en-US"/>
        </w:rPr>
      </w:pPr>
      <w:r w:rsidRPr="00D623FD">
        <w:rPr>
          <w:rFonts w:ascii="Arial" w:hAnsi="Arial" w:cs="Arial"/>
          <w:sz w:val="24"/>
          <w:szCs w:val="24"/>
          <w:lang w:val="en-US"/>
        </w:rPr>
        <w:t xml:space="preserve">Chou, C. (2012). Sulfur in coals: A review of geochemistry and origins. </w:t>
      </w:r>
      <w:r w:rsidRPr="00D623FD">
        <w:rPr>
          <w:rFonts w:ascii="Arial" w:hAnsi="Arial" w:cs="Arial"/>
          <w:i/>
          <w:sz w:val="24"/>
          <w:szCs w:val="24"/>
          <w:lang w:val="en-US"/>
        </w:rPr>
        <w:t>International Journal of Coal Geology</w:t>
      </w:r>
      <w:r w:rsidRPr="00D623FD">
        <w:rPr>
          <w:rFonts w:ascii="Arial" w:hAnsi="Arial" w:cs="Arial"/>
          <w:sz w:val="24"/>
          <w:szCs w:val="24"/>
          <w:lang w:val="en-US"/>
        </w:rPr>
        <w:t xml:space="preserve">, </w:t>
      </w:r>
      <w:r w:rsidRPr="00D623FD">
        <w:rPr>
          <w:rFonts w:ascii="Arial" w:hAnsi="Arial" w:cs="Arial"/>
          <w:i/>
          <w:sz w:val="24"/>
          <w:szCs w:val="24"/>
          <w:lang w:val="en-US"/>
        </w:rPr>
        <w:t>100</w:t>
      </w:r>
      <w:r w:rsidRPr="00D623FD">
        <w:rPr>
          <w:rFonts w:ascii="Arial" w:hAnsi="Arial" w:cs="Arial"/>
          <w:sz w:val="24"/>
          <w:szCs w:val="24"/>
          <w:lang w:val="en-US"/>
        </w:rPr>
        <w:t>, 1–13.</w:t>
      </w:r>
    </w:p>
    <w:p w:rsidR="00674E9A" w:rsidRPr="00D623FD" w:rsidRDefault="00674E9A" w:rsidP="006F2C2B">
      <w:pPr>
        <w:spacing w:line="240" w:lineRule="auto"/>
        <w:jc w:val="both"/>
        <w:divId w:val="1879969478"/>
        <w:rPr>
          <w:rFonts w:ascii="Arial" w:hAnsi="Arial" w:cs="Arial"/>
          <w:sz w:val="24"/>
          <w:szCs w:val="24"/>
          <w:lang w:val="en-US"/>
        </w:rPr>
      </w:pPr>
      <w:r w:rsidRPr="00D623FD">
        <w:rPr>
          <w:rFonts w:ascii="Arial" w:hAnsi="Arial" w:cs="Arial"/>
          <w:sz w:val="24"/>
          <w:szCs w:val="24"/>
          <w:lang w:val="en-US"/>
        </w:rPr>
        <w:t xml:space="preserve">Daoud, J., &amp; </w:t>
      </w:r>
      <w:proofErr w:type="spellStart"/>
      <w:r w:rsidRPr="00D623FD">
        <w:rPr>
          <w:rFonts w:ascii="Arial" w:hAnsi="Arial" w:cs="Arial"/>
          <w:sz w:val="24"/>
          <w:szCs w:val="24"/>
          <w:lang w:val="en-US"/>
        </w:rPr>
        <w:t>Karamanev</w:t>
      </w:r>
      <w:proofErr w:type="spellEnd"/>
      <w:r w:rsidRPr="00D623FD">
        <w:rPr>
          <w:rFonts w:ascii="Arial" w:hAnsi="Arial" w:cs="Arial"/>
          <w:sz w:val="24"/>
          <w:szCs w:val="24"/>
          <w:lang w:val="en-US"/>
        </w:rPr>
        <w:t xml:space="preserve">, D. (2006). Formation of </w:t>
      </w:r>
      <w:proofErr w:type="spellStart"/>
      <w:r w:rsidRPr="00D623FD">
        <w:rPr>
          <w:rFonts w:ascii="Arial" w:hAnsi="Arial" w:cs="Arial"/>
          <w:sz w:val="24"/>
          <w:szCs w:val="24"/>
          <w:lang w:val="en-US"/>
        </w:rPr>
        <w:t>jarosite</w:t>
      </w:r>
      <w:proofErr w:type="spellEnd"/>
      <w:r w:rsidRPr="00D623FD">
        <w:rPr>
          <w:rFonts w:ascii="Arial" w:hAnsi="Arial" w:cs="Arial"/>
          <w:sz w:val="24"/>
          <w:szCs w:val="24"/>
          <w:lang w:val="en-US"/>
        </w:rPr>
        <w:t xml:space="preserve"> during Fe2+ oxidation by </w:t>
      </w:r>
      <w:r w:rsidRPr="00D623FD">
        <w:rPr>
          <w:rFonts w:ascii="Arial" w:hAnsi="Arial" w:cs="Arial"/>
          <w:i/>
          <w:sz w:val="24"/>
          <w:szCs w:val="24"/>
          <w:lang w:val="en-US"/>
        </w:rPr>
        <w:t>Acidithiobacillus ferrooxidans</w:t>
      </w:r>
      <w:r w:rsidRPr="00D623FD">
        <w:rPr>
          <w:rFonts w:ascii="Arial" w:hAnsi="Arial" w:cs="Arial"/>
          <w:sz w:val="24"/>
          <w:szCs w:val="24"/>
          <w:lang w:val="en-US"/>
        </w:rPr>
        <w:t xml:space="preserve">. </w:t>
      </w:r>
      <w:r w:rsidRPr="00D623FD">
        <w:rPr>
          <w:rFonts w:ascii="Arial" w:hAnsi="Arial" w:cs="Arial"/>
          <w:i/>
          <w:sz w:val="24"/>
          <w:szCs w:val="24"/>
          <w:lang w:val="en-US"/>
        </w:rPr>
        <w:t>Minerals Engineering</w:t>
      </w:r>
      <w:r w:rsidRPr="00D623FD">
        <w:rPr>
          <w:rFonts w:ascii="Arial" w:hAnsi="Arial" w:cs="Arial"/>
          <w:sz w:val="24"/>
          <w:szCs w:val="24"/>
          <w:lang w:val="en-US"/>
        </w:rPr>
        <w:t xml:space="preserve">, </w:t>
      </w:r>
      <w:r w:rsidRPr="00D623FD">
        <w:rPr>
          <w:rFonts w:ascii="Arial" w:hAnsi="Arial" w:cs="Arial"/>
          <w:i/>
          <w:sz w:val="24"/>
          <w:szCs w:val="24"/>
          <w:lang w:val="en-US"/>
        </w:rPr>
        <w:t>19</w:t>
      </w:r>
      <w:r w:rsidRPr="00D623FD">
        <w:rPr>
          <w:rFonts w:ascii="Arial" w:hAnsi="Arial" w:cs="Arial"/>
          <w:sz w:val="24"/>
          <w:szCs w:val="24"/>
          <w:lang w:val="en-US"/>
        </w:rPr>
        <w:t xml:space="preserve">, 960–967. </w:t>
      </w:r>
    </w:p>
    <w:p w:rsidR="00CA26AE" w:rsidRPr="00D623FD" w:rsidRDefault="00674E9A" w:rsidP="006F2C2B">
      <w:pPr>
        <w:spacing w:line="240" w:lineRule="auto"/>
        <w:jc w:val="both"/>
        <w:divId w:val="1879969478"/>
        <w:rPr>
          <w:rFonts w:ascii="Arial" w:hAnsi="Arial" w:cs="Arial"/>
          <w:sz w:val="24"/>
          <w:szCs w:val="24"/>
          <w:lang w:val="en-US"/>
        </w:rPr>
      </w:pPr>
      <w:proofErr w:type="spellStart"/>
      <w:r w:rsidRPr="00D623FD">
        <w:rPr>
          <w:rFonts w:ascii="Arial" w:hAnsi="Arial" w:cs="Arial"/>
          <w:sz w:val="24"/>
          <w:szCs w:val="24"/>
          <w:lang w:val="en-US"/>
        </w:rPr>
        <w:t>Harneit</w:t>
      </w:r>
      <w:proofErr w:type="spellEnd"/>
      <w:r w:rsidRPr="00D623FD">
        <w:rPr>
          <w:rFonts w:ascii="Arial" w:hAnsi="Arial" w:cs="Arial"/>
          <w:sz w:val="24"/>
          <w:szCs w:val="24"/>
          <w:lang w:val="en-US"/>
        </w:rPr>
        <w:t xml:space="preserve">, K., </w:t>
      </w:r>
      <w:proofErr w:type="spellStart"/>
      <w:r w:rsidRPr="00D623FD">
        <w:rPr>
          <w:rFonts w:ascii="Arial" w:hAnsi="Arial" w:cs="Arial"/>
          <w:sz w:val="24"/>
          <w:szCs w:val="24"/>
          <w:lang w:val="en-US"/>
        </w:rPr>
        <w:t>Göksel</w:t>
      </w:r>
      <w:proofErr w:type="spellEnd"/>
      <w:r w:rsidRPr="00D623FD">
        <w:rPr>
          <w:rFonts w:ascii="Arial" w:hAnsi="Arial" w:cs="Arial"/>
          <w:sz w:val="24"/>
          <w:szCs w:val="24"/>
          <w:lang w:val="en-US"/>
        </w:rPr>
        <w:t xml:space="preserve">, A., </w:t>
      </w:r>
      <w:proofErr w:type="spellStart"/>
      <w:r w:rsidRPr="00D623FD">
        <w:rPr>
          <w:rFonts w:ascii="Arial" w:hAnsi="Arial" w:cs="Arial"/>
          <w:sz w:val="24"/>
          <w:szCs w:val="24"/>
          <w:lang w:val="en-US"/>
        </w:rPr>
        <w:t>Kock</w:t>
      </w:r>
      <w:proofErr w:type="spellEnd"/>
      <w:r w:rsidRPr="00D623FD">
        <w:rPr>
          <w:rFonts w:ascii="Arial" w:hAnsi="Arial" w:cs="Arial"/>
          <w:sz w:val="24"/>
          <w:szCs w:val="24"/>
          <w:lang w:val="en-US"/>
        </w:rPr>
        <w:t xml:space="preserve">, D., </w:t>
      </w:r>
      <w:proofErr w:type="spellStart"/>
      <w:r w:rsidRPr="00D623FD">
        <w:rPr>
          <w:rFonts w:ascii="Arial" w:hAnsi="Arial" w:cs="Arial"/>
          <w:sz w:val="24"/>
          <w:szCs w:val="24"/>
          <w:lang w:val="en-US"/>
        </w:rPr>
        <w:t>Klock</w:t>
      </w:r>
      <w:proofErr w:type="spellEnd"/>
      <w:r w:rsidRPr="00D623FD">
        <w:rPr>
          <w:rFonts w:ascii="Arial" w:hAnsi="Arial" w:cs="Arial"/>
          <w:sz w:val="24"/>
          <w:szCs w:val="24"/>
          <w:lang w:val="en-US"/>
        </w:rPr>
        <w:t xml:space="preserve">, J. H., Gehrke, T., &amp; Sand, W. (2006). Adhesion to metal sulfide surfaces by cells of </w:t>
      </w:r>
      <w:r w:rsidRPr="00D623FD">
        <w:rPr>
          <w:rFonts w:ascii="Arial" w:hAnsi="Arial" w:cs="Arial"/>
          <w:i/>
          <w:sz w:val="24"/>
          <w:szCs w:val="24"/>
          <w:lang w:val="en-US"/>
        </w:rPr>
        <w:t xml:space="preserve">Acidithiobacillus ferrooxidans, </w:t>
      </w:r>
      <w:proofErr w:type="spellStart"/>
      <w:r w:rsidRPr="00D623FD">
        <w:rPr>
          <w:rFonts w:ascii="Arial" w:hAnsi="Arial" w:cs="Arial"/>
          <w:i/>
          <w:sz w:val="24"/>
          <w:szCs w:val="24"/>
          <w:lang w:val="en-US"/>
        </w:rPr>
        <w:lastRenderedPageBreak/>
        <w:t>Acidithiobacillus</w:t>
      </w:r>
      <w:proofErr w:type="spellEnd"/>
      <w:r w:rsidRPr="00D623FD">
        <w:rPr>
          <w:rFonts w:ascii="Arial" w:hAnsi="Arial" w:cs="Arial"/>
          <w:i/>
          <w:sz w:val="24"/>
          <w:szCs w:val="24"/>
          <w:lang w:val="en-US"/>
        </w:rPr>
        <w:t xml:space="preserve"> </w:t>
      </w:r>
      <w:proofErr w:type="spellStart"/>
      <w:r w:rsidRPr="00D623FD">
        <w:rPr>
          <w:rFonts w:ascii="Arial" w:hAnsi="Arial" w:cs="Arial"/>
          <w:i/>
          <w:sz w:val="24"/>
          <w:szCs w:val="24"/>
          <w:lang w:val="en-US"/>
        </w:rPr>
        <w:t>thiooxidans</w:t>
      </w:r>
      <w:proofErr w:type="spellEnd"/>
      <w:r w:rsidRPr="00D623FD">
        <w:rPr>
          <w:rFonts w:ascii="Arial" w:hAnsi="Arial" w:cs="Arial"/>
          <w:i/>
          <w:sz w:val="24"/>
          <w:szCs w:val="24"/>
          <w:lang w:val="en-US"/>
        </w:rPr>
        <w:t xml:space="preserve"> </w:t>
      </w:r>
      <w:r w:rsidRPr="00D623FD">
        <w:rPr>
          <w:rFonts w:ascii="Arial" w:hAnsi="Arial" w:cs="Arial"/>
          <w:sz w:val="24"/>
          <w:szCs w:val="24"/>
          <w:lang w:val="en-US"/>
        </w:rPr>
        <w:t xml:space="preserve">and </w:t>
      </w:r>
      <w:proofErr w:type="spellStart"/>
      <w:r w:rsidRPr="00D623FD">
        <w:rPr>
          <w:rFonts w:ascii="Arial" w:hAnsi="Arial" w:cs="Arial"/>
          <w:i/>
          <w:sz w:val="24"/>
          <w:szCs w:val="24"/>
          <w:lang w:val="en-US"/>
        </w:rPr>
        <w:t>Leptospirillum</w:t>
      </w:r>
      <w:proofErr w:type="spellEnd"/>
      <w:r w:rsidRPr="00D623FD">
        <w:rPr>
          <w:rFonts w:ascii="Arial" w:hAnsi="Arial" w:cs="Arial"/>
          <w:i/>
          <w:sz w:val="24"/>
          <w:szCs w:val="24"/>
          <w:lang w:val="en-US"/>
        </w:rPr>
        <w:t xml:space="preserve"> </w:t>
      </w:r>
      <w:proofErr w:type="spellStart"/>
      <w:r w:rsidRPr="00D623FD">
        <w:rPr>
          <w:rFonts w:ascii="Arial" w:hAnsi="Arial" w:cs="Arial"/>
          <w:i/>
          <w:sz w:val="24"/>
          <w:szCs w:val="24"/>
          <w:lang w:val="en-US"/>
        </w:rPr>
        <w:t>ferrooxidans</w:t>
      </w:r>
      <w:proofErr w:type="spellEnd"/>
      <w:r w:rsidRPr="00D623FD">
        <w:rPr>
          <w:rFonts w:ascii="Arial" w:hAnsi="Arial" w:cs="Arial"/>
          <w:sz w:val="24"/>
          <w:szCs w:val="24"/>
          <w:lang w:val="en-US"/>
        </w:rPr>
        <w:t xml:space="preserve">. </w:t>
      </w:r>
      <w:r w:rsidRPr="00D623FD">
        <w:rPr>
          <w:rFonts w:ascii="Arial" w:hAnsi="Arial" w:cs="Arial"/>
          <w:i/>
          <w:sz w:val="24"/>
          <w:szCs w:val="24"/>
          <w:lang w:val="en-US"/>
        </w:rPr>
        <w:t>Hydrometallurgy</w:t>
      </w:r>
      <w:r w:rsidRPr="00D623FD">
        <w:rPr>
          <w:rFonts w:ascii="Arial" w:hAnsi="Arial" w:cs="Arial"/>
          <w:sz w:val="24"/>
          <w:szCs w:val="24"/>
          <w:lang w:val="en-US"/>
        </w:rPr>
        <w:t xml:space="preserve">, </w:t>
      </w:r>
      <w:r w:rsidRPr="00D623FD">
        <w:rPr>
          <w:rFonts w:ascii="Arial" w:hAnsi="Arial" w:cs="Arial"/>
          <w:i/>
          <w:sz w:val="24"/>
          <w:szCs w:val="24"/>
          <w:lang w:val="en-US"/>
        </w:rPr>
        <w:t>83</w:t>
      </w:r>
      <w:r w:rsidRPr="00D623FD">
        <w:rPr>
          <w:rFonts w:ascii="Arial" w:hAnsi="Arial" w:cs="Arial"/>
          <w:sz w:val="24"/>
          <w:szCs w:val="24"/>
          <w:lang w:val="en-US"/>
        </w:rPr>
        <w:t>(1-4), 245–254</w:t>
      </w:r>
      <w:r w:rsidR="006A46B1" w:rsidRPr="00D623FD">
        <w:rPr>
          <w:rFonts w:ascii="Arial" w:hAnsi="Arial" w:cs="Arial"/>
          <w:sz w:val="24"/>
          <w:szCs w:val="24"/>
          <w:lang w:val="en-US"/>
        </w:rPr>
        <w:t>.</w:t>
      </w:r>
    </w:p>
    <w:p w:rsidR="00674E9A" w:rsidRPr="00D623FD" w:rsidRDefault="00674E9A" w:rsidP="006F2C2B">
      <w:pPr>
        <w:spacing w:line="240" w:lineRule="auto"/>
        <w:jc w:val="both"/>
        <w:divId w:val="1879969478"/>
        <w:rPr>
          <w:rFonts w:ascii="Arial" w:hAnsi="Arial" w:cs="Arial"/>
          <w:sz w:val="24"/>
          <w:szCs w:val="24"/>
          <w:lang w:val="en-US"/>
        </w:rPr>
      </w:pPr>
      <w:r w:rsidRPr="00D623FD">
        <w:rPr>
          <w:rFonts w:ascii="Arial" w:hAnsi="Arial" w:cs="Arial"/>
          <w:sz w:val="24"/>
          <w:szCs w:val="24"/>
          <w:lang w:val="en-US"/>
        </w:rPr>
        <w:t xml:space="preserve">He, Z., Yin, Z., Wang, X., </w:t>
      </w:r>
      <w:proofErr w:type="spellStart"/>
      <w:r w:rsidRPr="00D623FD">
        <w:rPr>
          <w:rFonts w:ascii="Arial" w:hAnsi="Arial" w:cs="Arial"/>
          <w:sz w:val="24"/>
          <w:szCs w:val="24"/>
          <w:lang w:val="en-US"/>
        </w:rPr>
        <w:t>Zhong</w:t>
      </w:r>
      <w:proofErr w:type="spellEnd"/>
      <w:r w:rsidRPr="00D623FD">
        <w:rPr>
          <w:rFonts w:ascii="Arial" w:hAnsi="Arial" w:cs="Arial"/>
          <w:sz w:val="24"/>
          <w:szCs w:val="24"/>
          <w:lang w:val="en-US"/>
        </w:rPr>
        <w:t xml:space="preserve">, H., &amp; Sun, W. (2012). Microbial community changes during the process of pyrite bioleaching. </w:t>
      </w:r>
      <w:r w:rsidRPr="00D623FD">
        <w:rPr>
          <w:rFonts w:ascii="Arial" w:hAnsi="Arial" w:cs="Arial"/>
          <w:i/>
          <w:sz w:val="24"/>
          <w:szCs w:val="24"/>
          <w:lang w:val="en-US"/>
        </w:rPr>
        <w:t>Hydrometallurgy</w:t>
      </w:r>
      <w:r w:rsidRPr="00D623FD">
        <w:rPr>
          <w:rFonts w:ascii="Arial" w:hAnsi="Arial" w:cs="Arial"/>
          <w:sz w:val="24"/>
          <w:szCs w:val="24"/>
          <w:lang w:val="en-US"/>
        </w:rPr>
        <w:t>, 125-126(3), 81–89</w:t>
      </w:r>
      <w:r w:rsidR="006A46B1" w:rsidRPr="00D623FD">
        <w:rPr>
          <w:rFonts w:ascii="Arial" w:hAnsi="Arial" w:cs="Arial"/>
          <w:sz w:val="24"/>
          <w:szCs w:val="24"/>
          <w:lang w:val="en-US"/>
        </w:rPr>
        <w:t>.</w:t>
      </w:r>
    </w:p>
    <w:p w:rsidR="00674E9A" w:rsidRPr="00D623FD" w:rsidRDefault="00674E9A" w:rsidP="006F2C2B">
      <w:pPr>
        <w:spacing w:line="240" w:lineRule="auto"/>
        <w:jc w:val="both"/>
        <w:divId w:val="1879969478"/>
        <w:rPr>
          <w:rFonts w:ascii="Arial" w:hAnsi="Arial" w:cs="Arial"/>
          <w:sz w:val="24"/>
          <w:szCs w:val="24"/>
          <w:lang w:val="en-US"/>
        </w:rPr>
      </w:pPr>
      <w:r w:rsidRPr="00D623FD">
        <w:rPr>
          <w:rFonts w:ascii="Arial" w:hAnsi="Arial" w:cs="Arial"/>
          <w:sz w:val="24"/>
          <w:szCs w:val="24"/>
          <w:lang w:val="en-US"/>
        </w:rPr>
        <w:t xml:space="preserve">Johnson, D., &amp; Hallberg, K. (2003). The microbiology of acidic mine waters. </w:t>
      </w:r>
      <w:r w:rsidRPr="00D623FD">
        <w:rPr>
          <w:rFonts w:ascii="Arial" w:hAnsi="Arial" w:cs="Arial"/>
          <w:i/>
          <w:sz w:val="24"/>
          <w:szCs w:val="24"/>
          <w:lang w:val="en-US"/>
        </w:rPr>
        <w:t>Research in Microbiology</w:t>
      </w:r>
      <w:r w:rsidRPr="00D623FD">
        <w:rPr>
          <w:rFonts w:ascii="Arial" w:hAnsi="Arial" w:cs="Arial"/>
          <w:sz w:val="24"/>
          <w:szCs w:val="24"/>
          <w:lang w:val="en-US"/>
        </w:rPr>
        <w:t xml:space="preserve">, </w:t>
      </w:r>
      <w:r w:rsidRPr="00D623FD">
        <w:rPr>
          <w:rFonts w:ascii="Arial" w:hAnsi="Arial" w:cs="Arial"/>
          <w:i/>
          <w:sz w:val="24"/>
          <w:szCs w:val="24"/>
          <w:lang w:val="en-US"/>
        </w:rPr>
        <w:t>154</w:t>
      </w:r>
      <w:r w:rsidRPr="00D623FD">
        <w:rPr>
          <w:rFonts w:ascii="Arial" w:hAnsi="Arial" w:cs="Arial"/>
          <w:sz w:val="24"/>
          <w:szCs w:val="24"/>
          <w:lang w:val="en-US"/>
        </w:rPr>
        <w:t>(7), 466–473.</w:t>
      </w:r>
    </w:p>
    <w:p w:rsidR="00674E9A" w:rsidRPr="003E211B" w:rsidRDefault="00674E9A" w:rsidP="006F2C2B">
      <w:pPr>
        <w:spacing w:line="240" w:lineRule="auto"/>
        <w:jc w:val="both"/>
        <w:divId w:val="1879969478"/>
        <w:rPr>
          <w:rFonts w:ascii="Arial" w:hAnsi="Arial" w:cs="Arial"/>
          <w:sz w:val="24"/>
          <w:szCs w:val="24"/>
        </w:rPr>
      </w:pPr>
      <w:proofErr w:type="spellStart"/>
      <w:r w:rsidRPr="00D623FD">
        <w:rPr>
          <w:rFonts w:ascii="Arial" w:hAnsi="Arial" w:cs="Arial"/>
          <w:sz w:val="24"/>
          <w:szCs w:val="24"/>
          <w:lang w:val="en-US"/>
        </w:rPr>
        <w:t>Juszczak</w:t>
      </w:r>
      <w:proofErr w:type="spellEnd"/>
      <w:r w:rsidRPr="00D623FD">
        <w:rPr>
          <w:rFonts w:ascii="Arial" w:hAnsi="Arial" w:cs="Arial"/>
          <w:sz w:val="24"/>
          <w:szCs w:val="24"/>
          <w:lang w:val="en-US"/>
        </w:rPr>
        <w:t xml:space="preserve">, A., </w:t>
      </w:r>
      <w:proofErr w:type="spellStart"/>
      <w:r w:rsidRPr="00D623FD">
        <w:rPr>
          <w:rFonts w:ascii="Arial" w:hAnsi="Arial" w:cs="Arial"/>
          <w:sz w:val="24"/>
          <w:szCs w:val="24"/>
          <w:lang w:val="en-US"/>
        </w:rPr>
        <w:t>Domka</w:t>
      </w:r>
      <w:proofErr w:type="spellEnd"/>
      <w:r w:rsidRPr="00D623FD">
        <w:rPr>
          <w:rFonts w:ascii="Arial" w:hAnsi="Arial" w:cs="Arial"/>
          <w:sz w:val="24"/>
          <w:szCs w:val="24"/>
          <w:lang w:val="en-US"/>
        </w:rPr>
        <w:t xml:space="preserve">, F., </w:t>
      </w:r>
      <w:proofErr w:type="spellStart"/>
      <w:r w:rsidRPr="00D623FD">
        <w:rPr>
          <w:rFonts w:ascii="Arial" w:hAnsi="Arial" w:cs="Arial"/>
          <w:sz w:val="24"/>
          <w:szCs w:val="24"/>
          <w:lang w:val="en-US"/>
        </w:rPr>
        <w:t>Kozłowski</w:t>
      </w:r>
      <w:proofErr w:type="spellEnd"/>
      <w:r w:rsidRPr="00D623FD">
        <w:rPr>
          <w:rFonts w:ascii="Arial" w:hAnsi="Arial" w:cs="Arial"/>
          <w:sz w:val="24"/>
          <w:szCs w:val="24"/>
          <w:lang w:val="en-US"/>
        </w:rPr>
        <w:t xml:space="preserve">, M., &amp; </w:t>
      </w:r>
      <w:proofErr w:type="spellStart"/>
      <w:r w:rsidRPr="00D623FD">
        <w:rPr>
          <w:rFonts w:ascii="Arial" w:hAnsi="Arial" w:cs="Arial"/>
          <w:sz w:val="24"/>
          <w:szCs w:val="24"/>
          <w:lang w:val="en-US"/>
        </w:rPr>
        <w:t>Wachowska</w:t>
      </w:r>
      <w:proofErr w:type="spellEnd"/>
      <w:r w:rsidRPr="00D623FD">
        <w:rPr>
          <w:rFonts w:ascii="Arial" w:hAnsi="Arial" w:cs="Arial"/>
          <w:sz w:val="24"/>
          <w:szCs w:val="24"/>
          <w:lang w:val="en-US"/>
        </w:rPr>
        <w:t xml:space="preserve">, H. (1995). Microbial desulfurization of coal with </w:t>
      </w:r>
      <w:proofErr w:type="spellStart"/>
      <w:r w:rsidRPr="00D623FD">
        <w:rPr>
          <w:rFonts w:ascii="Arial" w:hAnsi="Arial" w:cs="Arial"/>
          <w:i/>
          <w:sz w:val="24"/>
          <w:szCs w:val="24"/>
          <w:lang w:val="en-US"/>
        </w:rPr>
        <w:t>Thiobacillus</w:t>
      </w:r>
      <w:proofErr w:type="spellEnd"/>
      <w:r w:rsidRPr="00D623FD">
        <w:rPr>
          <w:rFonts w:ascii="Arial" w:hAnsi="Arial" w:cs="Arial"/>
          <w:i/>
          <w:sz w:val="24"/>
          <w:szCs w:val="24"/>
          <w:lang w:val="en-US"/>
        </w:rPr>
        <w:t xml:space="preserve"> </w:t>
      </w:r>
      <w:proofErr w:type="spellStart"/>
      <w:r w:rsidRPr="00D623FD">
        <w:rPr>
          <w:rFonts w:ascii="Arial" w:hAnsi="Arial" w:cs="Arial"/>
          <w:i/>
          <w:sz w:val="24"/>
          <w:szCs w:val="24"/>
          <w:lang w:val="en-US"/>
        </w:rPr>
        <w:t>ferrooxidans</w:t>
      </w:r>
      <w:proofErr w:type="spellEnd"/>
      <w:r w:rsidRPr="00D623FD">
        <w:rPr>
          <w:rFonts w:ascii="Arial" w:hAnsi="Arial" w:cs="Arial"/>
          <w:sz w:val="24"/>
          <w:szCs w:val="24"/>
          <w:lang w:val="en-US"/>
        </w:rPr>
        <w:t xml:space="preserve"> bacteria. </w:t>
      </w:r>
      <w:r w:rsidRPr="00925060">
        <w:rPr>
          <w:rFonts w:ascii="Arial" w:hAnsi="Arial" w:cs="Arial"/>
          <w:i/>
          <w:sz w:val="24"/>
          <w:szCs w:val="24"/>
        </w:rPr>
        <w:t>Fuel,</w:t>
      </w:r>
      <w:r w:rsidRPr="003E211B">
        <w:rPr>
          <w:rFonts w:ascii="Arial" w:hAnsi="Arial" w:cs="Arial"/>
          <w:sz w:val="24"/>
          <w:szCs w:val="24"/>
        </w:rPr>
        <w:t xml:space="preserve"> </w:t>
      </w:r>
      <w:r w:rsidRPr="00D623FD">
        <w:rPr>
          <w:rFonts w:ascii="Arial" w:hAnsi="Arial" w:cs="Arial"/>
          <w:i/>
          <w:sz w:val="24"/>
          <w:szCs w:val="24"/>
        </w:rPr>
        <w:t>74</w:t>
      </w:r>
      <w:r w:rsidRPr="003E211B">
        <w:rPr>
          <w:rFonts w:ascii="Arial" w:hAnsi="Arial" w:cs="Arial"/>
          <w:sz w:val="24"/>
          <w:szCs w:val="24"/>
        </w:rPr>
        <w:t xml:space="preserve">(5), 725–728. </w:t>
      </w:r>
    </w:p>
    <w:p w:rsidR="00EA495C" w:rsidRDefault="00674E9A" w:rsidP="006F2C2B">
      <w:pPr>
        <w:spacing w:line="240" w:lineRule="auto"/>
        <w:jc w:val="both"/>
        <w:divId w:val="1879969478"/>
        <w:rPr>
          <w:rFonts w:ascii="Arial" w:hAnsi="Arial" w:cs="Arial"/>
          <w:sz w:val="24"/>
          <w:szCs w:val="24"/>
        </w:rPr>
      </w:pPr>
      <w:proofErr w:type="spellStart"/>
      <w:r w:rsidRPr="003E211B">
        <w:rPr>
          <w:rFonts w:ascii="Arial" w:hAnsi="Arial" w:cs="Arial"/>
          <w:sz w:val="24"/>
          <w:szCs w:val="24"/>
        </w:rPr>
        <w:t>León</w:t>
      </w:r>
      <w:proofErr w:type="spellEnd"/>
      <w:r w:rsidRPr="003E211B">
        <w:rPr>
          <w:rFonts w:ascii="Arial" w:hAnsi="Arial" w:cs="Arial"/>
          <w:sz w:val="24"/>
          <w:szCs w:val="24"/>
        </w:rPr>
        <w:t xml:space="preserve">, E. (2006). La importancia del </w:t>
      </w:r>
      <w:r w:rsidR="00E245A3" w:rsidRPr="003E211B">
        <w:rPr>
          <w:rFonts w:ascii="Arial" w:hAnsi="Arial" w:cs="Arial"/>
          <w:sz w:val="24"/>
          <w:szCs w:val="24"/>
        </w:rPr>
        <w:t>carbón</w:t>
      </w:r>
      <w:r w:rsidRPr="003E211B">
        <w:rPr>
          <w:rFonts w:ascii="Arial" w:hAnsi="Arial" w:cs="Arial"/>
          <w:sz w:val="24"/>
          <w:szCs w:val="24"/>
        </w:rPr>
        <w:t xml:space="preserve"> mineral en el desarrollo. </w:t>
      </w:r>
      <w:r w:rsidRPr="00925060">
        <w:rPr>
          <w:rFonts w:ascii="Arial" w:hAnsi="Arial" w:cs="Arial"/>
          <w:i/>
          <w:sz w:val="24"/>
          <w:szCs w:val="24"/>
        </w:rPr>
        <w:t xml:space="preserve">Revista Del Instituto de Investigaciones FIGMMG, </w:t>
      </w:r>
      <w:r w:rsidRPr="00D623FD">
        <w:rPr>
          <w:rFonts w:ascii="Arial" w:hAnsi="Arial" w:cs="Arial"/>
          <w:i/>
          <w:sz w:val="24"/>
          <w:szCs w:val="24"/>
        </w:rPr>
        <w:t>9</w:t>
      </w:r>
      <w:r w:rsidRPr="003E211B">
        <w:rPr>
          <w:rFonts w:ascii="Arial" w:hAnsi="Arial" w:cs="Arial"/>
          <w:sz w:val="24"/>
          <w:szCs w:val="24"/>
        </w:rPr>
        <w:t>(18), 91–97.</w:t>
      </w:r>
    </w:p>
    <w:p w:rsidR="005A435D" w:rsidRPr="003E211B" w:rsidRDefault="005A435D" w:rsidP="006F2C2B">
      <w:pPr>
        <w:spacing w:line="240" w:lineRule="auto"/>
        <w:jc w:val="both"/>
        <w:divId w:val="1879969478"/>
        <w:rPr>
          <w:rFonts w:ascii="Arial" w:hAnsi="Arial" w:cs="Arial"/>
          <w:sz w:val="24"/>
          <w:szCs w:val="24"/>
        </w:rPr>
      </w:pPr>
      <w:proofErr w:type="spellStart"/>
      <w:r w:rsidRPr="003E211B">
        <w:rPr>
          <w:rFonts w:ascii="Arial" w:hAnsi="Arial" w:cs="Arial"/>
          <w:sz w:val="24"/>
          <w:szCs w:val="24"/>
        </w:rPr>
        <w:t>May</w:t>
      </w:r>
      <w:proofErr w:type="spellEnd"/>
      <w:r w:rsidRPr="003E211B">
        <w:rPr>
          <w:rFonts w:ascii="Arial" w:hAnsi="Arial" w:cs="Arial"/>
          <w:sz w:val="24"/>
          <w:szCs w:val="24"/>
        </w:rPr>
        <w:t xml:space="preserve">, N., Ralph, D. E., &amp; Hansford, G. S. (1997). </w:t>
      </w:r>
      <w:r w:rsidRPr="00D623FD">
        <w:rPr>
          <w:rFonts w:ascii="Arial" w:hAnsi="Arial" w:cs="Arial"/>
          <w:sz w:val="24"/>
          <w:szCs w:val="24"/>
          <w:lang w:val="en-US"/>
        </w:rPr>
        <w:t xml:space="preserve">Dynamic redox potential measurement for determining the ferric leach kinetics of pyrite. </w:t>
      </w:r>
      <w:proofErr w:type="spellStart"/>
      <w:r w:rsidRPr="00925060">
        <w:rPr>
          <w:rFonts w:ascii="Arial" w:hAnsi="Arial" w:cs="Arial"/>
          <w:i/>
          <w:sz w:val="24"/>
          <w:szCs w:val="24"/>
        </w:rPr>
        <w:t>Minerals</w:t>
      </w:r>
      <w:proofErr w:type="spellEnd"/>
      <w:r w:rsidRPr="00925060">
        <w:rPr>
          <w:rFonts w:ascii="Arial" w:hAnsi="Arial" w:cs="Arial"/>
          <w:i/>
          <w:sz w:val="24"/>
          <w:szCs w:val="24"/>
        </w:rPr>
        <w:t xml:space="preserve"> </w:t>
      </w:r>
      <w:proofErr w:type="spellStart"/>
      <w:r w:rsidRPr="00925060">
        <w:rPr>
          <w:rFonts w:ascii="Arial" w:hAnsi="Arial" w:cs="Arial"/>
          <w:i/>
          <w:sz w:val="24"/>
          <w:szCs w:val="24"/>
        </w:rPr>
        <w:t>Engineering</w:t>
      </w:r>
      <w:proofErr w:type="spellEnd"/>
      <w:r w:rsidRPr="003E211B">
        <w:rPr>
          <w:rFonts w:ascii="Arial" w:hAnsi="Arial" w:cs="Arial"/>
          <w:sz w:val="24"/>
          <w:szCs w:val="24"/>
        </w:rPr>
        <w:t xml:space="preserve">, </w:t>
      </w:r>
      <w:r w:rsidRPr="00D623FD">
        <w:rPr>
          <w:rFonts w:ascii="Arial" w:hAnsi="Arial" w:cs="Arial"/>
          <w:i/>
          <w:sz w:val="24"/>
          <w:szCs w:val="24"/>
        </w:rPr>
        <w:t>10</w:t>
      </w:r>
      <w:r w:rsidRPr="003E211B">
        <w:rPr>
          <w:rFonts w:ascii="Arial" w:hAnsi="Arial" w:cs="Arial"/>
          <w:sz w:val="24"/>
          <w:szCs w:val="24"/>
        </w:rPr>
        <w:t xml:space="preserve">(11), 1279–1290. </w:t>
      </w:r>
    </w:p>
    <w:p w:rsidR="005A435D" w:rsidRPr="003E211B" w:rsidRDefault="005A435D" w:rsidP="006F2C2B">
      <w:pPr>
        <w:spacing w:line="240" w:lineRule="auto"/>
        <w:jc w:val="both"/>
        <w:divId w:val="1879969478"/>
        <w:rPr>
          <w:rFonts w:ascii="Arial" w:hAnsi="Arial" w:cs="Arial"/>
          <w:sz w:val="24"/>
          <w:szCs w:val="24"/>
        </w:rPr>
      </w:pPr>
      <w:proofErr w:type="spellStart"/>
      <w:r w:rsidRPr="003E211B">
        <w:rPr>
          <w:rFonts w:ascii="Arial" w:hAnsi="Arial" w:cs="Arial"/>
          <w:sz w:val="24"/>
          <w:szCs w:val="24"/>
        </w:rPr>
        <w:t>Me</w:t>
      </w:r>
      <w:r w:rsidR="00E245A3">
        <w:rPr>
          <w:rFonts w:ascii="Arial" w:hAnsi="Arial" w:cs="Arial"/>
          <w:sz w:val="24"/>
          <w:szCs w:val="24"/>
        </w:rPr>
        <w:t>nadier</w:t>
      </w:r>
      <w:proofErr w:type="spellEnd"/>
      <w:r w:rsidR="00E245A3">
        <w:rPr>
          <w:rFonts w:ascii="Arial" w:hAnsi="Arial" w:cs="Arial"/>
          <w:sz w:val="24"/>
          <w:szCs w:val="24"/>
        </w:rPr>
        <w:t>, A. (2009). Biolixiviació</w:t>
      </w:r>
      <w:r w:rsidRPr="003E211B">
        <w:rPr>
          <w:rFonts w:ascii="Arial" w:hAnsi="Arial" w:cs="Arial"/>
          <w:sz w:val="24"/>
          <w:szCs w:val="24"/>
        </w:rPr>
        <w:t xml:space="preserve">n de piritas por </w:t>
      </w:r>
      <w:r w:rsidRPr="00925060">
        <w:rPr>
          <w:rFonts w:ascii="Arial" w:hAnsi="Arial" w:cs="Arial"/>
          <w:i/>
          <w:sz w:val="24"/>
          <w:szCs w:val="24"/>
        </w:rPr>
        <w:t>Acidithiobacillus ferrooxidans</w:t>
      </w:r>
      <w:r w:rsidRPr="003E211B">
        <w:rPr>
          <w:rFonts w:ascii="Arial" w:hAnsi="Arial" w:cs="Arial"/>
          <w:sz w:val="24"/>
          <w:szCs w:val="24"/>
        </w:rPr>
        <w:t xml:space="preserve"> y cepas nativas (tesis pregrado).Universidad de Chile, Santiago de Chile. Chile</w:t>
      </w:r>
      <w:r>
        <w:rPr>
          <w:rFonts w:ascii="Arial" w:hAnsi="Arial" w:cs="Arial"/>
          <w:sz w:val="24"/>
          <w:szCs w:val="24"/>
        </w:rPr>
        <w:t>.</w:t>
      </w:r>
    </w:p>
    <w:p w:rsidR="00C81AAD" w:rsidRPr="003E211B" w:rsidRDefault="00C81AAD" w:rsidP="006F2C2B">
      <w:pPr>
        <w:spacing w:line="240" w:lineRule="auto"/>
        <w:jc w:val="both"/>
        <w:divId w:val="1879969478"/>
        <w:rPr>
          <w:rFonts w:ascii="Arial" w:hAnsi="Arial" w:cs="Arial"/>
          <w:sz w:val="24"/>
          <w:szCs w:val="24"/>
        </w:rPr>
      </w:pPr>
      <w:r w:rsidRPr="003E211B">
        <w:rPr>
          <w:rFonts w:ascii="Arial" w:hAnsi="Arial" w:cs="Arial"/>
          <w:sz w:val="24"/>
          <w:szCs w:val="24"/>
        </w:rPr>
        <w:t xml:space="preserve">Meruane, G. (2002). Oxidación bacteriana de sulfato ferroso con </w:t>
      </w:r>
      <w:r w:rsidRPr="00925060">
        <w:rPr>
          <w:rFonts w:ascii="Arial" w:hAnsi="Arial" w:cs="Arial"/>
          <w:i/>
          <w:sz w:val="24"/>
          <w:szCs w:val="24"/>
        </w:rPr>
        <w:t xml:space="preserve">Acidithiobacillus ferrooxidans </w:t>
      </w:r>
      <w:r w:rsidRPr="003E211B">
        <w:rPr>
          <w:rFonts w:ascii="Arial" w:hAnsi="Arial" w:cs="Arial"/>
          <w:sz w:val="24"/>
          <w:szCs w:val="24"/>
        </w:rPr>
        <w:t>(tesis doctoral). Universidad de Chile, Santiago de chile. Chile</w:t>
      </w:r>
      <w:r w:rsidR="006A46B1">
        <w:rPr>
          <w:rFonts w:ascii="Arial" w:hAnsi="Arial" w:cs="Arial"/>
          <w:sz w:val="24"/>
          <w:szCs w:val="24"/>
        </w:rPr>
        <w:t>.</w:t>
      </w:r>
    </w:p>
    <w:p w:rsidR="00C81AAD" w:rsidRPr="003E211B" w:rsidRDefault="00C81AAD" w:rsidP="006F2C2B">
      <w:pPr>
        <w:spacing w:line="240" w:lineRule="auto"/>
        <w:jc w:val="both"/>
        <w:divId w:val="1879969478"/>
        <w:rPr>
          <w:rFonts w:ascii="Arial" w:hAnsi="Arial" w:cs="Arial"/>
          <w:sz w:val="24"/>
          <w:szCs w:val="24"/>
        </w:rPr>
      </w:pPr>
      <w:r w:rsidRPr="003E211B">
        <w:rPr>
          <w:rFonts w:ascii="Arial" w:hAnsi="Arial" w:cs="Arial"/>
          <w:sz w:val="24"/>
          <w:szCs w:val="24"/>
        </w:rPr>
        <w:t xml:space="preserve">Peláez, H., Prada, M., Caicedo, G., Moreno, C., &amp; </w:t>
      </w:r>
      <w:proofErr w:type="spellStart"/>
      <w:r w:rsidRPr="003E211B">
        <w:rPr>
          <w:rFonts w:ascii="Arial" w:hAnsi="Arial" w:cs="Arial"/>
          <w:sz w:val="24"/>
          <w:szCs w:val="24"/>
        </w:rPr>
        <w:t>Marquéz</w:t>
      </w:r>
      <w:proofErr w:type="spellEnd"/>
      <w:r w:rsidRPr="003E211B">
        <w:rPr>
          <w:rFonts w:ascii="Arial" w:hAnsi="Arial" w:cs="Arial"/>
          <w:sz w:val="24"/>
          <w:szCs w:val="24"/>
        </w:rPr>
        <w:t>, M. (2013). Influencia de la relación inicial de Fe</w:t>
      </w:r>
      <w:r w:rsidRPr="00927D05">
        <w:rPr>
          <w:rFonts w:ascii="Arial" w:hAnsi="Arial" w:cs="Arial"/>
          <w:sz w:val="24"/>
          <w:szCs w:val="24"/>
          <w:vertAlign w:val="superscript"/>
        </w:rPr>
        <w:t>2+</w:t>
      </w:r>
      <w:r w:rsidRPr="003E211B">
        <w:rPr>
          <w:rFonts w:ascii="Arial" w:hAnsi="Arial" w:cs="Arial"/>
          <w:sz w:val="24"/>
          <w:szCs w:val="24"/>
        </w:rPr>
        <w:t>/Fe</w:t>
      </w:r>
      <w:r w:rsidRPr="00927D05">
        <w:rPr>
          <w:rFonts w:ascii="Arial" w:hAnsi="Arial" w:cs="Arial"/>
          <w:sz w:val="24"/>
          <w:szCs w:val="24"/>
          <w:vertAlign w:val="superscript"/>
        </w:rPr>
        <w:t>3+</w:t>
      </w:r>
      <w:r w:rsidRPr="003E211B">
        <w:rPr>
          <w:rFonts w:ascii="Arial" w:hAnsi="Arial" w:cs="Arial"/>
          <w:sz w:val="24"/>
          <w:szCs w:val="24"/>
        </w:rPr>
        <w:t xml:space="preserve">, en un proceso de biodesulfurización de carbones en suspensión. </w:t>
      </w:r>
      <w:r w:rsidRPr="00927D05">
        <w:rPr>
          <w:rFonts w:ascii="Arial" w:hAnsi="Arial" w:cs="Arial"/>
          <w:i/>
          <w:sz w:val="24"/>
          <w:szCs w:val="24"/>
        </w:rPr>
        <w:t xml:space="preserve">Revista </w:t>
      </w:r>
      <w:r w:rsidR="0036616F">
        <w:rPr>
          <w:rFonts w:ascii="Arial" w:hAnsi="Arial" w:cs="Arial"/>
          <w:i/>
          <w:sz w:val="24"/>
          <w:szCs w:val="24"/>
        </w:rPr>
        <w:t>I</w:t>
      </w:r>
      <w:r w:rsidR="0036616F" w:rsidRPr="00927D05">
        <w:rPr>
          <w:rFonts w:ascii="Arial" w:hAnsi="Arial" w:cs="Arial"/>
          <w:i/>
          <w:sz w:val="24"/>
          <w:szCs w:val="24"/>
        </w:rPr>
        <w:t xml:space="preserve">nternacional </w:t>
      </w:r>
      <w:r w:rsidRPr="00927D05">
        <w:rPr>
          <w:rFonts w:ascii="Arial" w:hAnsi="Arial" w:cs="Arial"/>
          <w:i/>
          <w:sz w:val="24"/>
          <w:szCs w:val="24"/>
        </w:rPr>
        <w:t xml:space="preserve">de </w:t>
      </w:r>
      <w:r w:rsidR="0036616F">
        <w:rPr>
          <w:rFonts w:ascii="Arial" w:hAnsi="Arial" w:cs="Arial"/>
          <w:i/>
          <w:sz w:val="24"/>
          <w:szCs w:val="24"/>
        </w:rPr>
        <w:t>C</w:t>
      </w:r>
      <w:r w:rsidR="0036616F" w:rsidRPr="00927D05">
        <w:rPr>
          <w:rFonts w:ascii="Arial" w:hAnsi="Arial" w:cs="Arial"/>
          <w:i/>
          <w:sz w:val="24"/>
          <w:szCs w:val="24"/>
        </w:rPr>
        <w:t xml:space="preserve">ontaminación </w:t>
      </w:r>
      <w:r w:rsidR="0036616F">
        <w:rPr>
          <w:rFonts w:ascii="Arial" w:hAnsi="Arial" w:cs="Arial"/>
          <w:i/>
          <w:sz w:val="24"/>
          <w:szCs w:val="24"/>
        </w:rPr>
        <w:t>A</w:t>
      </w:r>
      <w:r w:rsidR="0036616F" w:rsidRPr="00927D05">
        <w:rPr>
          <w:rFonts w:ascii="Arial" w:hAnsi="Arial" w:cs="Arial"/>
          <w:i/>
          <w:sz w:val="24"/>
          <w:szCs w:val="24"/>
        </w:rPr>
        <w:t>mbiental</w:t>
      </w:r>
      <w:r w:rsidRPr="003E211B">
        <w:rPr>
          <w:rFonts w:ascii="Arial" w:hAnsi="Arial" w:cs="Arial"/>
          <w:sz w:val="24"/>
          <w:szCs w:val="24"/>
        </w:rPr>
        <w:t xml:space="preserve">, </w:t>
      </w:r>
      <w:r w:rsidRPr="00D623FD">
        <w:rPr>
          <w:rFonts w:ascii="Arial" w:hAnsi="Arial" w:cs="Arial"/>
          <w:i/>
          <w:sz w:val="24"/>
          <w:szCs w:val="24"/>
        </w:rPr>
        <w:t>29</w:t>
      </w:r>
      <w:r w:rsidRPr="003E211B">
        <w:rPr>
          <w:rFonts w:ascii="Arial" w:hAnsi="Arial" w:cs="Arial"/>
          <w:sz w:val="24"/>
          <w:szCs w:val="24"/>
        </w:rPr>
        <w:t>(2), 211–217.</w:t>
      </w:r>
    </w:p>
    <w:p w:rsidR="00C81AAD" w:rsidRPr="00D623FD" w:rsidRDefault="00C81AAD" w:rsidP="006F2C2B">
      <w:pPr>
        <w:spacing w:line="240" w:lineRule="auto"/>
        <w:jc w:val="both"/>
        <w:divId w:val="1879969478"/>
        <w:rPr>
          <w:rFonts w:ascii="Arial" w:hAnsi="Arial" w:cs="Arial"/>
          <w:sz w:val="24"/>
          <w:szCs w:val="24"/>
          <w:lang w:val="en-US"/>
        </w:rPr>
      </w:pPr>
      <w:r w:rsidRPr="003E211B">
        <w:rPr>
          <w:rFonts w:ascii="Arial" w:hAnsi="Arial" w:cs="Arial"/>
          <w:sz w:val="24"/>
          <w:szCs w:val="24"/>
        </w:rPr>
        <w:t xml:space="preserve">Prayuenyong, P. (2002). Coal </w:t>
      </w:r>
      <w:proofErr w:type="spellStart"/>
      <w:r w:rsidRPr="003E211B">
        <w:rPr>
          <w:rFonts w:ascii="Arial" w:hAnsi="Arial" w:cs="Arial"/>
          <w:sz w:val="24"/>
          <w:szCs w:val="24"/>
        </w:rPr>
        <w:t>biodesulfurization</w:t>
      </w:r>
      <w:proofErr w:type="spellEnd"/>
      <w:r w:rsidRPr="003E211B">
        <w:rPr>
          <w:rFonts w:ascii="Arial" w:hAnsi="Arial" w:cs="Arial"/>
          <w:sz w:val="24"/>
          <w:szCs w:val="24"/>
        </w:rPr>
        <w:t xml:space="preserve"> </w:t>
      </w:r>
      <w:proofErr w:type="spellStart"/>
      <w:r w:rsidRPr="003E211B">
        <w:rPr>
          <w:rFonts w:ascii="Arial" w:hAnsi="Arial" w:cs="Arial"/>
          <w:sz w:val="24"/>
          <w:szCs w:val="24"/>
        </w:rPr>
        <w:t>processes</w:t>
      </w:r>
      <w:proofErr w:type="spellEnd"/>
      <w:r w:rsidRPr="003E211B">
        <w:rPr>
          <w:rFonts w:ascii="Arial" w:hAnsi="Arial" w:cs="Arial"/>
          <w:sz w:val="24"/>
          <w:szCs w:val="24"/>
        </w:rPr>
        <w:t xml:space="preserve">. </w:t>
      </w:r>
      <w:proofErr w:type="spellStart"/>
      <w:r w:rsidRPr="00D623FD">
        <w:rPr>
          <w:rFonts w:ascii="Arial" w:hAnsi="Arial" w:cs="Arial"/>
          <w:i/>
          <w:sz w:val="24"/>
          <w:szCs w:val="24"/>
          <w:lang w:val="en-US"/>
        </w:rPr>
        <w:t>Songklanakarin</w:t>
      </w:r>
      <w:proofErr w:type="spellEnd"/>
      <w:r w:rsidRPr="00D623FD">
        <w:rPr>
          <w:rFonts w:ascii="Arial" w:hAnsi="Arial" w:cs="Arial"/>
          <w:i/>
          <w:sz w:val="24"/>
          <w:szCs w:val="24"/>
          <w:lang w:val="en-US"/>
        </w:rPr>
        <w:t xml:space="preserve"> Journal of Science and </w:t>
      </w:r>
      <w:r w:rsidR="0036616F">
        <w:rPr>
          <w:rFonts w:ascii="Arial" w:hAnsi="Arial" w:cs="Arial"/>
          <w:i/>
          <w:sz w:val="24"/>
          <w:szCs w:val="24"/>
          <w:lang w:val="en-US"/>
        </w:rPr>
        <w:t>T</w:t>
      </w:r>
      <w:r w:rsidR="0036616F" w:rsidRPr="00D623FD">
        <w:rPr>
          <w:rFonts w:ascii="Arial" w:hAnsi="Arial" w:cs="Arial"/>
          <w:i/>
          <w:sz w:val="24"/>
          <w:szCs w:val="24"/>
          <w:lang w:val="en-US"/>
        </w:rPr>
        <w:t>echnology</w:t>
      </w:r>
      <w:r w:rsidRPr="00D623FD">
        <w:rPr>
          <w:rFonts w:ascii="Arial" w:hAnsi="Arial" w:cs="Arial"/>
          <w:sz w:val="24"/>
          <w:szCs w:val="24"/>
          <w:lang w:val="en-US"/>
        </w:rPr>
        <w:t xml:space="preserve">, </w:t>
      </w:r>
      <w:r w:rsidRPr="00D623FD">
        <w:rPr>
          <w:rFonts w:ascii="Arial" w:hAnsi="Arial" w:cs="Arial"/>
          <w:i/>
          <w:sz w:val="24"/>
          <w:szCs w:val="24"/>
          <w:lang w:val="en-US"/>
        </w:rPr>
        <w:t>24</w:t>
      </w:r>
      <w:r w:rsidRPr="00D623FD">
        <w:rPr>
          <w:rFonts w:ascii="Arial" w:hAnsi="Arial" w:cs="Arial"/>
          <w:sz w:val="24"/>
          <w:szCs w:val="24"/>
          <w:lang w:val="en-US"/>
        </w:rPr>
        <w:t>, 493–507.</w:t>
      </w:r>
    </w:p>
    <w:p w:rsidR="00E245A3" w:rsidRPr="00D623FD" w:rsidRDefault="00E245A3" w:rsidP="006F2C2B">
      <w:pPr>
        <w:spacing w:line="240" w:lineRule="auto"/>
        <w:jc w:val="both"/>
        <w:divId w:val="1879969478"/>
        <w:rPr>
          <w:rFonts w:ascii="Arial" w:hAnsi="Arial" w:cs="Arial"/>
          <w:sz w:val="24"/>
          <w:szCs w:val="24"/>
          <w:lang w:val="en-US"/>
        </w:rPr>
      </w:pPr>
      <w:r w:rsidRPr="00D623FD">
        <w:rPr>
          <w:rFonts w:ascii="Arial" w:hAnsi="Arial" w:cs="Arial"/>
          <w:sz w:val="24"/>
          <w:szCs w:val="24"/>
          <w:lang w:val="en-US"/>
        </w:rPr>
        <w:t xml:space="preserve">Rawlings, D. (2001). Molecular genetics of </w:t>
      </w:r>
      <w:proofErr w:type="spellStart"/>
      <w:r w:rsidRPr="00D623FD">
        <w:rPr>
          <w:rFonts w:ascii="Arial" w:hAnsi="Arial" w:cs="Arial"/>
          <w:sz w:val="24"/>
          <w:szCs w:val="24"/>
          <w:lang w:val="en-US"/>
        </w:rPr>
        <w:t>Thiobacillus</w:t>
      </w:r>
      <w:proofErr w:type="spellEnd"/>
      <w:r w:rsidRPr="00D623FD">
        <w:rPr>
          <w:rFonts w:ascii="Arial" w:hAnsi="Arial" w:cs="Arial"/>
          <w:sz w:val="24"/>
          <w:szCs w:val="24"/>
          <w:lang w:val="en-US"/>
        </w:rPr>
        <w:t xml:space="preserve"> </w:t>
      </w:r>
      <w:proofErr w:type="spellStart"/>
      <w:r w:rsidRPr="00D623FD">
        <w:rPr>
          <w:rFonts w:ascii="Arial" w:hAnsi="Arial" w:cs="Arial"/>
          <w:sz w:val="24"/>
          <w:szCs w:val="24"/>
          <w:lang w:val="en-US"/>
        </w:rPr>
        <w:t>ferrooxidans</w:t>
      </w:r>
      <w:proofErr w:type="spellEnd"/>
      <w:r w:rsidRPr="00D623FD">
        <w:rPr>
          <w:rFonts w:ascii="Arial" w:hAnsi="Arial" w:cs="Arial"/>
          <w:sz w:val="24"/>
          <w:szCs w:val="24"/>
          <w:lang w:val="en-US"/>
        </w:rPr>
        <w:t xml:space="preserve"> and other </w:t>
      </w:r>
      <w:proofErr w:type="spellStart"/>
      <w:r w:rsidRPr="00D623FD">
        <w:rPr>
          <w:rFonts w:ascii="Arial" w:hAnsi="Arial" w:cs="Arial"/>
          <w:sz w:val="24"/>
          <w:szCs w:val="24"/>
          <w:lang w:val="en-US"/>
        </w:rPr>
        <w:t>mesophilic</w:t>
      </w:r>
      <w:proofErr w:type="spellEnd"/>
      <w:r w:rsidRPr="00D623FD">
        <w:rPr>
          <w:rFonts w:ascii="Arial" w:hAnsi="Arial" w:cs="Arial"/>
          <w:sz w:val="24"/>
          <w:szCs w:val="24"/>
          <w:lang w:val="en-US"/>
        </w:rPr>
        <w:t xml:space="preserve">, acidophilic, </w:t>
      </w:r>
      <w:proofErr w:type="spellStart"/>
      <w:r w:rsidRPr="00D623FD">
        <w:rPr>
          <w:rFonts w:ascii="Arial" w:hAnsi="Arial" w:cs="Arial"/>
          <w:sz w:val="24"/>
          <w:szCs w:val="24"/>
          <w:lang w:val="en-US"/>
        </w:rPr>
        <w:t>chemolithotrophic</w:t>
      </w:r>
      <w:proofErr w:type="spellEnd"/>
      <w:r w:rsidRPr="00D623FD">
        <w:rPr>
          <w:rFonts w:ascii="Arial" w:hAnsi="Arial" w:cs="Arial"/>
          <w:sz w:val="24"/>
          <w:szCs w:val="24"/>
          <w:lang w:val="en-US"/>
        </w:rPr>
        <w:t xml:space="preserve">, iron- or sulfur-oxidizing bacteria. </w:t>
      </w:r>
      <w:r w:rsidRPr="00D623FD">
        <w:rPr>
          <w:rFonts w:ascii="Arial" w:hAnsi="Arial" w:cs="Arial"/>
          <w:i/>
          <w:sz w:val="24"/>
          <w:szCs w:val="24"/>
          <w:lang w:val="en-US"/>
        </w:rPr>
        <w:t>Hydrometallurgy</w:t>
      </w:r>
      <w:r w:rsidRPr="00D623FD">
        <w:rPr>
          <w:rFonts w:ascii="Arial" w:hAnsi="Arial" w:cs="Arial"/>
          <w:sz w:val="24"/>
          <w:szCs w:val="24"/>
          <w:lang w:val="en-US"/>
        </w:rPr>
        <w:t xml:space="preserve">, </w:t>
      </w:r>
      <w:r w:rsidRPr="00D623FD">
        <w:rPr>
          <w:rFonts w:ascii="Arial" w:hAnsi="Arial" w:cs="Arial"/>
          <w:i/>
          <w:sz w:val="24"/>
          <w:szCs w:val="24"/>
          <w:lang w:val="en-US"/>
        </w:rPr>
        <w:t>59</w:t>
      </w:r>
      <w:r w:rsidRPr="00D623FD">
        <w:rPr>
          <w:rFonts w:ascii="Arial" w:hAnsi="Arial" w:cs="Arial"/>
          <w:sz w:val="24"/>
          <w:szCs w:val="24"/>
          <w:lang w:val="en-US"/>
        </w:rPr>
        <w:t>(2-3), 187–201.</w:t>
      </w:r>
    </w:p>
    <w:p w:rsidR="00E245A3" w:rsidRPr="00D623FD" w:rsidRDefault="00E245A3" w:rsidP="006F2C2B">
      <w:pPr>
        <w:spacing w:line="240" w:lineRule="auto"/>
        <w:jc w:val="both"/>
        <w:divId w:val="1879969478"/>
        <w:rPr>
          <w:rFonts w:ascii="Arial" w:hAnsi="Arial" w:cs="Arial"/>
          <w:sz w:val="24"/>
          <w:szCs w:val="24"/>
          <w:lang w:val="en-US"/>
        </w:rPr>
      </w:pPr>
      <w:r w:rsidRPr="00D623FD">
        <w:rPr>
          <w:rFonts w:ascii="Arial" w:hAnsi="Arial" w:cs="Arial"/>
          <w:sz w:val="24"/>
          <w:szCs w:val="24"/>
          <w:lang w:val="en-US"/>
        </w:rPr>
        <w:t xml:space="preserve">Sand, W., Gehrke, T., </w:t>
      </w:r>
      <w:proofErr w:type="spellStart"/>
      <w:r w:rsidRPr="00D623FD">
        <w:rPr>
          <w:rFonts w:ascii="Arial" w:hAnsi="Arial" w:cs="Arial"/>
          <w:sz w:val="24"/>
          <w:szCs w:val="24"/>
          <w:lang w:val="en-US"/>
        </w:rPr>
        <w:t>Jozsa</w:t>
      </w:r>
      <w:proofErr w:type="spellEnd"/>
      <w:r w:rsidRPr="00D623FD">
        <w:rPr>
          <w:rFonts w:ascii="Arial" w:hAnsi="Arial" w:cs="Arial"/>
          <w:sz w:val="24"/>
          <w:szCs w:val="24"/>
          <w:lang w:val="en-US"/>
        </w:rPr>
        <w:t>, P., &amp; Schippers, A. (2001). (Bio</w:t>
      </w:r>
      <w:proofErr w:type="gramStart"/>
      <w:r w:rsidRPr="00D623FD">
        <w:rPr>
          <w:rFonts w:ascii="Arial" w:hAnsi="Arial" w:cs="Arial"/>
          <w:sz w:val="24"/>
          <w:szCs w:val="24"/>
          <w:lang w:val="en-US"/>
        </w:rPr>
        <w:t>)chemistry</w:t>
      </w:r>
      <w:proofErr w:type="gramEnd"/>
      <w:r w:rsidRPr="00D623FD">
        <w:rPr>
          <w:rFonts w:ascii="Arial" w:hAnsi="Arial" w:cs="Arial"/>
          <w:sz w:val="24"/>
          <w:szCs w:val="24"/>
          <w:lang w:val="en-US"/>
        </w:rPr>
        <w:t xml:space="preserve"> of bacterial leaching - direct vs.  </w:t>
      </w:r>
      <w:proofErr w:type="gramStart"/>
      <w:r w:rsidRPr="00D623FD">
        <w:rPr>
          <w:rFonts w:ascii="Arial" w:hAnsi="Arial" w:cs="Arial"/>
          <w:sz w:val="24"/>
          <w:szCs w:val="24"/>
          <w:lang w:val="en-US"/>
        </w:rPr>
        <w:t>indirect</w:t>
      </w:r>
      <w:proofErr w:type="gramEnd"/>
      <w:r w:rsidRPr="00D623FD">
        <w:rPr>
          <w:rFonts w:ascii="Arial" w:hAnsi="Arial" w:cs="Arial"/>
          <w:sz w:val="24"/>
          <w:szCs w:val="24"/>
          <w:lang w:val="en-US"/>
        </w:rPr>
        <w:t xml:space="preserve"> bioleaching. </w:t>
      </w:r>
      <w:r w:rsidRPr="00D623FD">
        <w:rPr>
          <w:rFonts w:ascii="Arial" w:hAnsi="Arial" w:cs="Arial"/>
          <w:i/>
          <w:sz w:val="24"/>
          <w:szCs w:val="24"/>
          <w:lang w:val="en-US"/>
        </w:rPr>
        <w:t>Hydrometallurgy</w:t>
      </w:r>
      <w:r w:rsidRPr="00D623FD">
        <w:rPr>
          <w:rFonts w:ascii="Arial" w:hAnsi="Arial" w:cs="Arial"/>
          <w:sz w:val="24"/>
          <w:szCs w:val="24"/>
          <w:lang w:val="en-US"/>
        </w:rPr>
        <w:t xml:space="preserve">, </w:t>
      </w:r>
      <w:r w:rsidRPr="00D623FD">
        <w:rPr>
          <w:rFonts w:ascii="Arial" w:hAnsi="Arial" w:cs="Arial"/>
          <w:i/>
          <w:sz w:val="24"/>
          <w:szCs w:val="24"/>
          <w:lang w:val="en-US"/>
        </w:rPr>
        <w:t>59</w:t>
      </w:r>
      <w:r w:rsidRPr="00D623FD">
        <w:rPr>
          <w:rFonts w:ascii="Arial" w:hAnsi="Arial" w:cs="Arial"/>
          <w:sz w:val="24"/>
          <w:szCs w:val="24"/>
          <w:lang w:val="en-US"/>
        </w:rPr>
        <w:t xml:space="preserve">(2-3), 159–175. </w:t>
      </w:r>
    </w:p>
    <w:p w:rsidR="00D41AB7" w:rsidRPr="00E245A3" w:rsidRDefault="00E245A3" w:rsidP="006F2C2B">
      <w:pPr>
        <w:spacing w:line="240" w:lineRule="auto"/>
        <w:jc w:val="both"/>
        <w:divId w:val="1879969478"/>
        <w:rPr>
          <w:rFonts w:ascii="Arial" w:hAnsi="Arial" w:cs="Arial"/>
          <w:sz w:val="24"/>
          <w:szCs w:val="24"/>
        </w:rPr>
      </w:pPr>
      <w:r w:rsidRPr="00D623FD">
        <w:rPr>
          <w:rFonts w:ascii="Arial" w:hAnsi="Arial" w:cs="Arial"/>
          <w:sz w:val="24"/>
          <w:szCs w:val="24"/>
          <w:lang w:val="en-US"/>
        </w:rPr>
        <w:t xml:space="preserve">Zhang, L., </w:t>
      </w:r>
      <w:proofErr w:type="spellStart"/>
      <w:r w:rsidRPr="00D623FD">
        <w:rPr>
          <w:rFonts w:ascii="Arial" w:hAnsi="Arial" w:cs="Arial"/>
          <w:sz w:val="24"/>
          <w:szCs w:val="24"/>
          <w:lang w:val="en-US"/>
        </w:rPr>
        <w:t>Qiu</w:t>
      </w:r>
      <w:proofErr w:type="spellEnd"/>
      <w:r w:rsidRPr="00D623FD">
        <w:rPr>
          <w:rFonts w:ascii="Arial" w:hAnsi="Arial" w:cs="Arial"/>
          <w:sz w:val="24"/>
          <w:szCs w:val="24"/>
          <w:lang w:val="en-US"/>
        </w:rPr>
        <w:t xml:space="preserve">, G., Hu, Y., Sun, X., Li, J., &amp; Hu, G. (2008). Bioleaching of pyrite by </w:t>
      </w:r>
      <w:r w:rsidRPr="00D623FD">
        <w:rPr>
          <w:rFonts w:ascii="Arial" w:hAnsi="Arial" w:cs="Arial"/>
          <w:i/>
          <w:sz w:val="24"/>
          <w:szCs w:val="24"/>
          <w:lang w:val="en-US"/>
        </w:rPr>
        <w:t>A. ferrooxidans</w:t>
      </w:r>
      <w:r w:rsidRPr="00D623FD">
        <w:rPr>
          <w:rFonts w:ascii="Arial" w:hAnsi="Arial" w:cs="Arial"/>
          <w:sz w:val="24"/>
          <w:szCs w:val="24"/>
          <w:lang w:val="en-US"/>
        </w:rPr>
        <w:t xml:space="preserve"> and </w:t>
      </w:r>
      <w:r w:rsidRPr="00D623FD">
        <w:rPr>
          <w:rFonts w:ascii="Arial" w:hAnsi="Arial" w:cs="Arial"/>
          <w:i/>
          <w:sz w:val="24"/>
          <w:szCs w:val="24"/>
          <w:lang w:val="en-US"/>
        </w:rPr>
        <w:t xml:space="preserve">L. </w:t>
      </w:r>
      <w:proofErr w:type="spellStart"/>
      <w:r w:rsidRPr="00D623FD">
        <w:rPr>
          <w:rFonts w:ascii="Arial" w:hAnsi="Arial" w:cs="Arial"/>
          <w:i/>
          <w:sz w:val="24"/>
          <w:szCs w:val="24"/>
          <w:lang w:val="en-US"/>
        </w:rPr>
        <w:t>ferriphilum</w:t>
      </w:r>
      <w:proofErr w:type="spellEnd"/>
      <w:r w:rsidRPr="00D623FD">
        <w:rPr>
          <w:rFonts w:ascii="Arial" w:hAnsi="Arial" w:cs="Arial"/>
          <w:sz w:val="24"/>
          <w:szCs w:val="24"/>
          <w:lang w:val="en-US"/>
        </w:rPr>
        <w:t xml:space="preserve">. </w:t>
      </w:r>
      <w:proofErr w:type="spellStart"/>
      <w:r w:rsidRPr="00927D05">
        <w:rPr>
          <w:rFonts w:ascii="Arial" w:hAnsi="Arial" w:cs="Arial"/>
          <w:i/>
          <w:sz w:val="24"/>
          <w:szCs w:val="24"/>
        </w:rPr>
        <w:t>Transactions</w:t>
      </w:r>
      <w:proofErr w:type="spellEnd"/>
      <w:r w:rsidRPr="00927D05">
        <w:rPr>
          <w:rFonts w:ascii="Arial" w:hAnsi="Arial" w:cs="Arial"/>
          <w:i/>
          <w:sz w:val="24"/>
          <w:szCs w:val="24"/>
        </w:rPr>
        <w:t xml:space="preserve"> of </w:t>
      </w:r>
      <w:proofErr w:type="spellStart"/>
      <w:r w:rsidRPr="00927D05">
        <w:rPr>
          <w:rFonts w:ascii="Arial" w:hAnsi="Arial" w:cs="Arial"/>
          <w:i/>
          <w:sz w:val="24"/>
          <w:szCs w:val="24"/>
        </w:rPr>
        <w:t>Nonferrous</w:t>
      </w:r>
      <w:proofErr w:type="spellEnd"/>
      <w:r w:rsidRPr="00927D05">
        <w:rPr>
          <w:rFonts w:ascii="Arial" w:hAnsi="Arial" w:cs="Arial"/>
          <w:i/>
          <w:sz w:val="24"/>
          <w:szCs w:val="24"/>
        </w:rPr>
        <w:t xml:space="preserve"> </w:t>
      </w:r>
      <w:proofErr w:type="spellStart"/>
      <w:r w:rsidRPr="00927D05">
        <w:rPr>
          <w:rFonts w:ascii="Arial" w:hAnsi="Arial" w:cs="Arial"/>
          <w:i/>
          <w:sz w:val="24"/>
          <w:szCs w:val="24"/>
        </w:rPr>
        <w:t>Metals</w:t>
      </w:r>
      <w:proofErr w:type="spellEnd"/>
      <w:r w:rsidRPr="00927D05">
        <w:rPr>
          <w:rFonts w:ascii="Arial" w:hAnsi="Arial" w:cs="Arial"/>
          <w:i/>
          <w:sz w:val="24"/>
          <w:szCs w:val="24"/>
        </w:rPr>
        <w:t xml:space="preserve"> </w:t>
      </w:r>
      <w:proofErr w:type="spellStart"/>
      <w:r w:rsidRPr="00927D05">
        <w:rPr>
          <w:rFonts w:ascii="Arial" w:hAnsi="Arial" w:cs="Arial"/>
          <w:i/>
          <w:sz w:val="24"/>
          <w:szCs w:val="24"/>
        </w:rPr>
        <w:t>Society</w:t>
      </w:r>
      <w:proofErr w:type="spellEnd"/>
      <w:r w:rsidRPr="00927D05">
        <w:rPr>
          <w:rFonts w:ascii="Arial" w:hAnsi="Arial" w:cs="Arial"/>
          <w:i/>
          <w:sz w:val="24"/>
          <w:szCs w:val="24"/>
        </w:rPr>
        <w:t xml:space="preserve"> of China</w:t>
      </w:r>
      <w:r>
        <w:rPr>
          <w:rFonts w:ascii="Arial" w:hAnsi="Arial" w:cs="Arial"/>
          <w:sz w:val="24"/>
          <w:szCs w:val="24"/>
        </w:rPr>
        <w:t xml:space="preserve">, </w:t>
      </w:r>
      <w:r w:rsidRPr="00D623FD">
        <w:rPr>
          <w:rFonts w:ascii="Arial" w:hAnsi="Arial" w:cs="Arial"/>
          <w:i/>
          <w:sz w:val="24"/>
          <w:szCs w:val="24"/>
        </w:rPr>
        <w:t>18</w:t>
      </w:r>
      <w:r>
        <w:rPr>
          <w:rFonts w:ascii="Arial" w:hAnsi="Arial" w:cs="Arial"/>
          <w:sz w:val="24"/>
          <w:szCs w:val="24"/>
        </w:rPr>
        <w:t>(6), 1415–1420.</w:t>
      </w:r>
    </w:p>
    <w:sectPr w:rsidR="00D41AB7" w:rsidRPr="00E245A3" w:rsidSect="00B61228">
      <w:footerReference w:type="default" r:id="rId19"/>
      <w:footnotePr>
        <w:numFmt w:val="chicago"/>
      </w:footnotePr>
      <w:type w:val="continuous"/>
      <w:pgSz w:w="12240" w:h="15840" w:code="1"/>
      <w:pgMar w:top="1701" w:right="1701" w:bottom="1701" w:left="1701" w:header="709" w:footer="709"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25B" w:rsidRDefault="00DC125B" w:rsidP="0031297B">
      <w:pPr>
        <w:spacing w:after="0" w:line="240" w:lineRule="auto"/>
      </w:pPr>
      <w:r>
        <w:separator/>
      </w:r>
    </w:p>
  </w:endnote>
  <w:endnote w:type="continuationSeparator" w:id="0">
    <w:p w:rsidR="00DC125B" w:rsidRDefault="00DC125B" w:rsidP="003129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4502707"/>
      <w:docPartObj>
        <w:docPartGallery w:val="Page Numbers (Bottom of Page)"/>
        <w:docPartUnique/>
      </w:docPartObj>
    </w:sdtPr>
    <w:sdtContent>
      <w:p w:rsidR="00296E26" w:rsidRDefault="00AB75EE">
        <w:pPr>
          <w:pStyle w:val="Piedepgina"/>
          <w:jc w:val="center"/>
        </w:pPr>
        <w:r>
          <w:fldChar w:fldCharType="begin"/>
        </w:r>
        <w:r w:rsidR="00296E26">
          <w:instrText>PAGE   \* MERGEFORMAT</w:instrText>
        </w:r>
        <w:r>
          <w:fldChar w:fldCharType="separate"/>
        </w:r>
        <w:r w:rsidR="00E11F0A" w:rsidRPr="00E11F0A">
          <w:rPr>
            <w:noProof/>
            <w:lang w:val="es-ES"/>
          </w:rPr>
          <w:t>2</w:t>
        </w:r>
        <w:r>
          <w:fldChar w:fldCharType="end"/>
        </w:r>
      </w:p>
    </w:sdtContent>
  </w:sdt>
  <w:p w:rsidR="00296E26" w:rsidRDefault="00296E2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25B" w:rsidRDefault="00DC125B" w:rsidP="0031297B">
      <w:pPr>
        <w:spacing w:after="0" w:line="240" w:lineRule="auto"/>
      </w:pPr>
      <w:r>
        <w:separator/>
      </w:r>
    </w:p>
  </w:footnote>
  <w:footnote w:type="continuationSeparator" w:id="0">
    <w:p w:rsidR="00DC125B" w:rsidRDefault="00DC125B" w:rsidP="003129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A131F"/>
    <w:multiLevelType w:val="hybridMultilevel"/>
    <w:tmpl w:val="38CC44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62404EA"/>
    <w:multiLevelType w:val="hybridMultilevel"/>
    <w:tmpl w:val="DEDE76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48257C5A"/>
    <w:multiLevelType w:val="hybridMultilevel"/>
    <w:tmpl w:val="852EC878"/>
    <w:lvl w:ilvl="0" w:tplc="44865CAC">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C911C4F"/>
    <w:multiLevelType w:val="multilevel"/>
    <w:tmpl w:val="A2562748"/>
    <w:lvl w:ilvl="0">
      <w:start w:val="1"/>
      <w:numFmt w:val="decimal"/>
      <w:lvlText w:val="%1."/>
      <w:lvlJc w:val="left"/>
      <w:pPr>
        <w:ind w:left="2345" w:hanging="360"/>
      </w:pPr>
      <w:rPr>
        <w:rFonts w:hint="default"/>
      </w:rPr>
    </w:lvl>
    <w:lvl w:ilvl="1">
      <w:start w:val="1"/>
      <w:numFmt w:val="decimal"/>
      <w:lvlText w:val="%1.%2"/>
      <w:lvlJc w:val="left"/>
      <w:pPr>
        <w:ind w:left="2561" w:hanging="576"/>
      </w:pPr>
      <w:rPr>
        <w:rFonts w:hint="default"/>
        <w:b/>
      </w:rPr>
    </w:lvl>
    <w:lvl w:ilvl="2">
      <w:start w:val="1"/>
      <w:numFmt w:val="decimal"/>
      <w:lvlText w:val="%1.%2.%3"/>
      <w:lvlJc w:val="left"/>
      <w:pPr>
        <w:ind w:left="2705" w:hanging="720"/>
      </w:pPr>
      <w:rPr>
        <w:rFonts w:hint="default"/>
        <w:b/>
        <w:i w:val="0"/>
      </w:rPr>
    </w:lvl>
    <w:lvl w:ilvl="3">
      <w:start w:val="1"/>
      <w:numFmt w:val="decimal"/>
      <w:lvlText w:val="%1.%2.%3.%4"/>
      <w:lvlJc w:val="left"/>
      <w:pPr>
        <w:ind w:left="2849" w:hanging="864"/>
      </w:pPr>
      <w:rPr>
        <w:rFonts w:hint="default"/>
        <w:b/>
      </w:rPr>
    </w:lvl>
    <w:lvl w:ilvl="4">
      <w:start w:val="1"/>
      <w:numFmt w:val="decimal"/>
      <w:lvlText w:val="%1.%2.%3.%4.%5"/>
      <w:lvlJc w:val="left"/>
      <w:pPr>
        <w:ind w:left="2993" w:hanging="1008"/>
      </w:pPr>
      <w:rPr>
        <w:rFonts w:hint="default"/>
        <w:b/>
      </w:rPr>
    </w:lvl>
    <w:lvl w:ilvl="5">
      <w:start w:val="1"/>
      <w:numFmt w:val="decimal"/>
      <w:lvlText w:val="%1.%2.%3.%4.%5.%6"/>
      <w:lvlJc w:val="left"/>
      <w:pPr>
        <w:ind w:left="3137" w:hanging="1152"/>
      </w:pPr>
      <w:rPr>
        <w:rFonts w:hint="default"/>
        <w:b/>
      </w:rPr>
    </w:lvl>
    <w:lvl w:ilvl="6">
      <w:start w:val="1"/>
      <w:numFmt w:val="decimal"/>
      <w:lvlText w:val="%1.%2.%3.%4.%5.%6.%7"/>
      <w:lvlJc w:val="left"/>
      <w:pPr>
        <w:ind w:left="3281" w:hanging="1296"/>
      </w:pPr>
      <w:rPr>
        <w:rFonts w:hint="default"/>
        <w:b/>
      </w:rPr>
    </w:lvl>
    <w:lvl w:ilvl="7">
      <w:start w:val="1"/>
      <w:numFmt w:val="decimal"/>
      <w:lvlText w:val="%1.%2.%3.%4.%5.%6.%7.%8"/>
      <w:lvlJc w:val="left"/>
      <w:pPr>
        <w:ind w:left="3425" w:hanging="1440"/>
      </w:pPr>
      <w:rPr>
        <w:rFonts w:hint="default"/>
        <w:b/>
      </w:rPr>
    </w:lvl>
    <w:lvl w:ilvl="8">
      <w:start w:val="1"/>
      <w:numFmt w:val="decimal"/>
      <w:lvlText w:val="%1.%2.%3.%4.%5.%6.%7.%8.%9"/>
      <w:lvlJc w:val="left"/>
      <w:pPr>
        <w:ind w:left="3569" w:hanging="1584"/>
      </w:pPr>
      <w:rPr>
        <w:rFonts w:hint="default"/>
        <w:b/>
      </w:rPr>
    </w:lvl>
  </w:abstractNum>
  <w:abstractNum w:abstractNumId="4">
    <w:nsid w:val="5439488F"/>
    <w:multiLevelType w:val="hybridMultilevel"/>
    <w:tmpl w:val="54802C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59887838"/>
    <w:multiLevelType w:val="hybridMultilevel"/>
    <w:tmpl w:val="D6C010B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7CB75BE9"/>
    <w:multiLevelType w:val="hybridMultilevel"/>
    <w:tmpl w:val="3B14C6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6"/>
  </w:num>
  <w:num w:numId="5">
    <w:abstractNumId w:val="1"/>
  </w:num>
  <w:num w:numId="6">
    <w:abstractNumId w:val="4"/>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 Prada">
    <w15:presenceInfo w15:providerId="Windows Live" w15:userId="bf77de90beed4b2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hyphenationZone w:val="425"/>
  <w:drawingGridHorizontalSpacing w:val="110"/>
  <w:displayHorizontalDrawingGridEvery w:val="2"/>
  <w:characterSpacingControl w:val="doNotCompress"/>
  <w:footnotePr>
    <w:numFmt w:val="chicago"/>
    <w:footnote w:id="-1"/>
    <w:footnote w:id="0"/>
  </w:footnotePr>
  <w:endnotePr>
    <w:endnote w:id="-1"/>
    <w:endnote w:id="0"/>
  </w:endnotePr>
  <w:compat/>
  <w:rsids>
    <w:rsidRoot w:val="003B25CC"/>
    <w:rsid w:val="0000507B"/>
    <w:rsid w:val="00005466"/>
    <w:rsid w:val="00013D15"/>
    <w:rsid w:val="00031356"/>
    <w:rsid w:val="0003161B"/>
    <w:rsid w:val="000316D5"/>
    <w:rsid w:val="000329B5"/>
    <w:rsid w:val="0004795E"/>
    <w:rsid w:val="00051556"/>
    <w:rsid w:val="00055C68"/>
    <w:rsid w:val="00067796"/>
    <w:rsid w:val="00067808"/>
    <w:rsid w:val="00072A3E"/>
    <w:rsid w:val="00076D0D"/>
    <w:rsid w:val="00077A2A"/>
    <w:rsid w:val="000823BF"/>
    <w:rsid w:val="00094392"/>
    <w:rsid w:val="0009520B"/>
    <w:rsid w:val="000B314C"/>
    <w:rsid w:val="000C39D1"/>
    <w:rsid w:val="000D07AE"/>
    <w:rsid w:val="000D2B15"/>
    <w:rsid w:val="000E0D11"/>
    <w:rsid w:val="000F1510"/>
    <w:rsid w:val="000F78F8"/>
    <w:rsid w:val="0011087A"/>
    <w:rsid w:val="0013532C"/>
    <w:rsid w:val="00145AFE"/>
    <w:rsid w:val="00146639"/>
    <w:rsid w:val="00147C54"/>
    <w:rsid w:val="00150158"/>
    <w:rsid w:val="001527AE"/>
    <w:rsid w:val="00154C00"/>
    <w:rsid w:val="00154E48"/>
    <w:rsid w:val="001578C5"/>
    <w:rsid w:val="00161CCA"/>
    <w:rsid w:val="001644FD"/>
    <w:rsid w:val="001677CF"/>
    <w:rsid w:val="001718B5"/>
    <w:rsid w:val="00176DDB"/>
    <w:rsid w:val="00181E9E"/>
    <w:rsid w:val="00183536"/>
    <w:rsid w:val="0019358E"/>
    <w:rsid w:val="00196B74"/>
    <w:rsid w:val="001A0579"/>
    <w:rsid w:val="001A28A1"/>
    <w:rsid w:val="001A3D3B"/>
    <w:rsid w:val="001A5EB8"/>
    <w:rsid w:val="001B0009"/>
    <w:rsid w:val="001B51AA"/>
    <w:rsid w:val="001B71C6"/>
    <w:rsid w:val="001B772E"/>
    <w:rsid w:val="001C0869"/>
    <w:rsid w:val="001C2CA0"/>
    <w:rsid w:val="001C5764"/>
    <w:rsid w:val="001D5351"/>
    <w:rsid w:val="001D7509"/>
    <w:rsid w:val="001E431A"/>
    <w:rsid w:val="001E7EC4"/>
    <w:rsid w:val="002056D3"/>
    <w:rsid w:val="00220D0E"/>
    <w:rsid w:val="00221C3C"/>
    <w:rsid w:val="002234E6"/>
    <w:rsid w:val="002247B3"/>
    <w:rsid w:val="00230FD2"/>
    <w:rsid w:val="002514A3"/>
    <w:rsid w:val="002579F3"/>
    <w:rsid w:val="00271AC3"/>
    <w:rsid w:val="00274121"/>
    <w:rsid w:val="0028032E"/>
    <w:rsid w:val="00283D98"/>
    <w:rsid w:val="002857EF"/>
    <w:rsid w:val="00290B21"/>
    <w:rsid w:val="00294185"/>
    <w:rsid w:val="00295828"/>
    <w:rsid w:val="00296E26"/>
    <w:rsid w:val="00297998"/>
    <w:rsid w:val="002A5334"/>
    <w:rsid w:val="002A7035"/>
    <w:rsid w:val="002B2C51"/>
    <w:rsid w:val="002C0F13"/>
    <w:rsid w:val="002C14CF"/>
    <w:rsid w:val="002C5501"/>
    <w:rsid w:val="002E2CB4"/>
    <w:rsid w:val="002E4D3C"/>
    <w:rsid w:val="002F344E"/>
    <w:rsid w:val="00302942"/>
    <w:rsid w:val="0031297B"/>
    <w:rsid w:val="00316543"/>
    <w:rsid w:val="00320EB7"/>
    <w:rsid w:val="003224C5"/>
    <w:rsid w:val="0032380F"/>
    <w:rsid w:val="00324FCA"/>
    <w:rsid w:val="00330D2B"/>
    <w:rsid w:val="00332DEE"/>
    <w:rsid w:val="003408EA"/>
    <w:rsid w:val="0034795C"/>
    <w:rsid w:val="003567D7"/>
    <w:rsid w:val="003573E9"/>
    <w:rsid w:val="00360F27"/>
    <w:rsid w:val="0036616F"/>
    <w:rsid w:val="00373E5B"/>
    <w:rsid w:val="00383064"/>
    <w:rsid w:val="00383766"/>
    <w:rsid w:val="003908F6"/>
    <w:rsid w:val="00393A12"/>
    <w:rsid w:val="00397621"/>
    <w:rsid w:val="003A3862"/>
    <w:rsid w:val="003B11DC"/>
    <w:rsid w:val="003B213A"/>
    <w:rsid w:val="003B25CC"/>
    <w:rsid w:val="003B31E8"/>
    <w:rsid w:val="003B7E4E"/>
    <w:rsid w:val="003C1A4F"/>
    <w:rsid w:val="003C28BF"/>
    <w:rsid w:val="003C41B1"/>
    <w:rsid w:val="003C4666"/>
    <w:rsid w:val="003C6099"/>
    <w:rsid w:val="003D102B"/>
    <w:rsid w:val="003D348E"/>
    <w:rsid w:val="003D692B"/>
    <w:rsid w:val="003E7F2D"/>
    <w:rsid w:val="003F4C10"/>
    <w:rsid w:val="003F6E4B"/>
    <w:rsid w:val="00401BE1"/>
    <w:rsid w:val="004032AB"/>
    <w:rsid w:val="004038CF"/>
    <w:rsid w:val="0040566C"/>
    <w:rsid w:val="004121CA"/>
    <w:rsid w:val="004125B0"/>
    <w:rsid w:val="0041336F"/>
    <w:rsid w:val="004137EA"/>
    <w:rsid w:val="004138EA"/>
    <w:rsid w:val="00413B4C"/>
    <w:rsid w:val="004212E9"/>
    <w:rsid w:val="00447240"/>
    <w:rsid w:val="004544B2"/>
    <w:rsid w:val="004552A1"/>
    <w:rsid w:val="004601AB"/>
    <w:rsid w:val="0046255A"/>
    <w:rsid w:val="00477E13"/>
    <w:rsid w:val="00482EB7"/>
    <w:rsid w:val="00497898"/>
    <w:rsid w:val="004A36B3"/>
    <w:rsid w:val="004A491E"/>
    <w:rsid w:val="004A6D5A"/>
    <w:rsid w:val="004A7CFD"/>
    <w:rsid w:val="004A7D02"/>
    <w:rsid w:val="004B480D"/>
    <w:rsid w:val="004B53B4"/>
    <w:rsid w:val="004D6AEF"/>
    <w:rsid w:val="004E6F96"/>
    <w:rsid w:val="004F155C"/>
    <w:rsid w:val="004F5C3B"/>
    <w:rsid w:val="004F73E6"/>
    <w:rsid w:val="005078E2"/>
    <w:rsid w:val="005110B9"/>
    <w:rsid w:val="00515789"/>
    <w:rsid w:val="00530708"/>
    <w:rsid w:val="00532404"/>
    <w:rsid w:val="00550C8B"/>
    <w:rsid w:val="00556D7D"/>
    <w:rsid w:val="00560FC4"/>
    <w:rsid w:val="0056368B"/>
    <w:rsid w:val="0056448E"/>
    <w:rsid w:val="00591A45"/>
    <w:rsid w:val="00596D05"/>
    <w:rsid w:val="005A0DEC"/>
    <w:rsid w:val="005A1E34"/>
    <w:rsid w:val="005A22EF"/>
    <w:rsid w:val="005A3F5D"/>
    <w:rsid w:val="005A435D"/>
    <w:rsid w:val="005A6F6B"/>
    <w:rsid w:val="005C2DDE"/>
    <w:rsid w:val="005C46BD"/>
    <w:rsid w:val="005C47E8"/>
    <w:rsid w:val="005D0A54"/>
    <w:rsid w:val="005D58D3"/>
    <w:rsid w:val="005D5BA0"/>
    <w:rsid w:val="005D7C9A"/>
    <w:rsid w:val="005E1152"/>
    <w:rsid w:val="005E1A75"/>
    <w:rsid w:val="005E5E88"/>
    <w:rsid w:val="005F4654"/>
    <w:rsid w:val="00601CA7"/>
    <w:rsid w:val="00614406"/>
    <w:rsid w:val="00625CCA"/>
    <w:rsid w:val="006329BD"/>
    <w:rsid w:val="00640EDE"/>
    <w:rsid w:val="0065046C"/>
    <w:rsid w:val="00661161"/>
    <w:rsid w:val="00670B5E"/>
    <w:rsid w:val="0067456C"/>
    <w:rsid w:val="00674E9A"/>
    <w:rsid w:val="00676942"/>
    <w:rsid w:val="00677AF6"/>
    <w:rsid w:val="00682446"/>
    <w:rsid w:val="006833C2"/>
    <w:rsid w:val="00687B5C"/>
    <w:rsid w:val="00692216"/>
    <w:rsid w:val="006A0D10"/>
    <w:rsid w:val="006A12F2"/>
    <w:rsid w:val="006A1C4A"/>
    <w:rsid w:val="006A3843"/>
    <w:rsid w:val="006A3CBD"/>
    <w:rsid w:val="006A46B1"/>
    <w:rsid w:val="006B217C"/>
    <w:rsid w:val="006C13FB"/>
    <w:rsid w:val="006C5195"/>
    <w:rsid w:val="006D6072"/>
    <w:rsid w:val="006D616E"/>
    <w:rsid w:val="006D6EEA"/>
    <w:rsid w:val="006D7521"/>
    <w:rsid w:val="006E2C5C"/>
    <w:rsid w:val="006E6C73"/>
    <w:rsid w:val="006F13D8"/>
    <w:rsid w:val="006F2C2B"/>
    <w:rsid w:val="006F454F"/>
    <w:rsid w:val="00711336"/>
    <w:rsid w:val="007115E8"/>
    <w:rsid w:val="00726190"/>
    <w:rsid w:val="00727327"/>
    <w:rsid w:val="00734A2F"/>
    <w:rsid w:val="00741C8E"/>
    <w:rsid w:val="00744EBC"/>
    <w:rsid w:val="00746A1B"/>
    <w:rsid w:val="0075262E"/>
    <w:rsid w:val="00761F0E"/>
    <w:rsid w:val="00764711"/>
    <w:rsid w:val="00770D26"/>
    <w:rsid w:val="00775343"/>
    <w:rsid w:val="00775DC0"/>
    <w:rsid w:val="00780F4C"/>
    <w:rsid w:val="00781B64"/>
    <w:rsid w:val="007821C3"/>
    <w:rsid w:val="00785D67"/>
    <w:rsid w:val="007928E8"/>
    <w:rsid w:val="00792FED"/>
    <w:rsid w:val="007A2D66"/>
    <w:rsid w:val="007A3EFD"/>
    <w:rsid w:val="007B14C7"/>
    <w:rsid w:val="007B5119"/>
    <w:rsid w:val="007B5F11"/>
    <w:rsid w:val="007B7311"/>
    <w:rsid w:val="007C0518"/>
    <w:rsid w:val="007C0608"/>
    <w:rsid w:val="007C2F8A"/>
    <w:rsid w:val="007C420E"/>
    <w:rsid w:val="007C79CE"/>
    <w:rsid w:val="007D1CE2"/>
    <w:rsid w:val="007E2A03"/>
    <w:rsid w:val="007E313C"/>
    <w:rsid w:val="007F651E"/>
    <w:rsid w:val="00801C67"/>
    <w:rsid w:val="0080281D"/>
    <w:rsid w:val="00804ADD"/>
    <w:rsid w:val="00810C2C"/>
    <w:rsid w:val="00813300"/>
    <w:rsid w:val="0082126B"/>
    <w:rsid w:val="0082598F"/>
    <w:rsid w:val="0082612C"/>
    <w:rsid w:val="00833106"/>
    <w:rsid w:val="00834AD0"/>
    <w:rsid w:val="00837750"/>
    <w:rsid w:val="00844B9D"/>
    <w:rsid w:val="0085261B"/>
    <w:rsid w:val="00856EDE"/>
    <w:rsid w:val="00860809"/>
    <w:rsid w:val="00861E06"/>
    <w:rsid w:val="00865796"/>
    <w:rsid w:val="008661B9"/>
    <w:rsid w:val="0087317D"/>
    <w:rsid w:val="008820B9"/>
    <w:rsid w:val="00884C13"/>
    <w:rsid w:val="008862D7"/>
    <w:rsid w:val="008921BB"/>
    <w:rsid w:val="00897498"/>
    <w:rsid w:val="008A7C90"/>
    <w:rsid w:val="008B28EB"/>
    <w:rsid w:val="008C4A87"/>
    <w:rsid w:val="008C799A"/>
    <w:rsid w:val="008F07E1"/>
    <w:rsid w:val="008F2231"/>
    <w:rsid w:val="008F4545"/>
    <w:rsid w:val="008F4AF0"/>
    <w:rsid w:val="00904900"/>
    <w:rsid w:val="00905E72"/>
    <w:rsid w:val="00912E1A"/>
    <w:rsid w:val="0091386C"/>
    <w:rsid w:val="009168A9"/>
    <w:rsid w:val="00917ABD"/>
    <w:rsid w:val="009200F2"/>
    <w:rsid w:val="009208E5"/>
    <w:rsid w:val="00925060"/>
    <w:rsid w:val="00925E1F"/>
    <w:rsid w:val="00927D05"/>
    <w:rsid w:val="0093301F"/>
    <w:rsid w:val="00933657"/>
    <w:rsid w:val="00941D8F"/>
    <w:rsid w:val="00951B23"/>
    <w:rsid w:val="00952561"/>
    <w:rsid w:val="00956B7C"/>
    <w:rsid w:val="00967CB4"/>
    <w:rsid w:val="00974F73"/>
    <w:rsid w:val="00976DFB"/>
    <w:rsid w:val="00983662"/>
    <w:rsid w:val="0098463C"/>
    <w:rsid w:val="00984C2E"/>
    <w:rsid w:val="00994FD4"/>
    <w:rsid w:val="00995086"/>
    <w:rsid w:val="00995F34"/>
    <w:rsid w:val="009A40D5"/>
    <w:rsid w:val="009B42A7"/>
    <w:rsid w:val="009C2E38"/>
    <w:rsid w:val="009C48C8"/>
    <w:rsid w:val="009D2B66"/>
    <w:rsid w:val="009D2DBB"/>
    <w:rsid w:val="009E141B"/>
    <w:rsid w:val="009E3884"/>
    <w:rsid w:val="009E4C5D"/>
    <w:rsid w:val="009E5D38"/>
    <w:rsid w:val="00A055FD"/>
    <w:rsid w:val="00A06442"/>
    <w:rsid w:val="00A30941"/>
    <w:rsid w:val="00A34AD9"/>
    <w:rsid w:val="00A35DEA"/>
    <w:rsid w:val="00A40A1F"/>
    <w:rsid w:val="00A43C1C"/>
    <w:rsid w:val="00A46315"/>
    <w:rsid w:val="00A54E9E"/>
    <w:rsid w:val="00A620E5"/>
    <w:rsid w:val="00A7018C"/>
    <w:rsid w:val="00A70FF3"/>
    <w:rsid w:val="00A74635"/>
    <w:rsid w:val="00A8139D"/>
    <w:rsid w:val="00A871F9"/>
    <w:rsid w:val="00A8746C"/>
    <w:rsid w:val="00A874FA"/>
    <w:rsid w:val="00A87B42"/>
    <w:rsid w:val="00A9150A"/>
    <w:rsid w:val="00A95252"/>
    <w:rsid w:val="00AA421A"/>
    <w:rsid w:val="00AA69AA"/>
    <w:rsid w:val="00AB0117"/>
    <w:rsid w:val="00AB4662"/>
    <w:rsid w:val="00AB60BC"/>
    <w:rsid w:val="00AB75EE"/>
    <w:rsid w:val="00AC0B63"/>
    <w:rsid w:val="00AC51CD"/>
    <w:rsid w:val="00AC59DC"/>
    <w:rsid w:val="00AD51CB"/>
    <w:rsid w:val="00AD69B1"/>
    <w:rsid w:val="00AE1539"/>
    <w:rsid w:val="00AF78B8"/>
    <w:rsid w:val="00B01716"/>
    <w:rsid w:val="00B07DB4"/>
    <w:rsid w:val="00B1120C"/>
    <w:rsid w:val="00B20094"/>
    <w:rsid w:val="00B25007"/>
    <w:rsid w:val="00B42EF8"/>
    <w:rsid w:val="00B61228"/>
    <w:rsid w:val="00B66681"/>
    <w:rsid w:val="00B704A7"/>
    <w:rsid w:val="00B71A9B"/>
    <w:rsid w:val="00B7216B"/>
    <w:rsid w:val="00B76A17"/>
    <w:rsid w:val="00B76D42"/>
    <w:rsid w:val="00B77ADF"/>
    <w:rsid w:val="00B82988"/>
    <w:rsid w:val="00B95392"/>
    <w:rsid w:val="00BA7C3F"/>
    <w:rsid w:val="00BD0BD4"/>
    <w:rsid w:val="00BF28E1"/>
    <w:rsid w:val="00C01322"/>
    <w:rsid w:val="00C017B5"/>
    <w:rsid w:val="00C04E55"/>
    <w:rsid w:val="00C070D9"/>
    <w:rsid w:val="00C10A97"/>
    <w:rsid w:val="00C11713"/>
    <w:rsid w:val="00C14516"/>
    <w:rsid w:val="00C20F22"/>
    <w:rsid w:val="00C25E03"/>
    <w:rsid w:val="00C26487"/>
    <w:rsid w:val="00C33C73"/>
    <w:rsid w:val="00C42F92"/>
    <w:rsid w:val="00C50365"/>
    <w:rsid w:val="00C55E9B"/>
    <w:rsid w:val="00C613D0"/>
    <w:rsid w:val="00C642D0"/>
    <w:rsid w:val="00C677B1"/>
    <w:rsid w:val="00C76668"/>
    <w:rsid w:val="00C81AAD"/>
    <w:rsid w:val="00C8518F"/>
    <w:rsid w:val="00CA26AE"/>
    <w:rsid w:val="00CA76B9"/>
    <w:rsid w:val="00CB234A"/>
    <w:rsid w:val="00CB2B5B"/>
    <w:rsid w:val="00CB7B22"/>
    <w:rsid w:val="00CC0BC7"/>
    <w:rsid w:val="00CC3EB0"/>
    <w:rsid w:val="00CC7A88"/>
    <w:rsid w:val="00CD5BEA"/>
    <w:rsid w:val="00CE327D"/>
    <w:rsid w:val="00CF3394"/>
    <w:rsid w:val="00D026F9"/>
    <w:rsid w:val="00D05611"/>
    <w:rsid w:val="00D070F4"/>
    <w:rsid w:val="00D10F3D"/>
    <w:rsid w:val="00D21192"/>
    <w:rsid w:val="00D247B7"/>
    <w:rsid w:val="00D34BB3"/>
    <w:rsid w:val="00D403E5"/>
    <w:rsid w:val="00D41AB7"/>
    <w:rsid w:val="00D45833"/>
    <w:rsid w:val="00D46BEB"/>
    <w:rsid w:val="00D61700"/>
    <w:rsid w:val="00D623FD"/>
    <w:rsid w:val="00D642F3"/>
    <w:rsid w:val="00D6643F"/>
    <w:rsid w:val="00D751E0"/>
    <w:rsid w:val="00D82584"/>
    <w:rsid w:val="00D92DDC"/>
    <w:rsid w:val="00DB040D"/>
    <w:rsid w:val="00DB375D"/>
    <w:rsid w:val="00DB3EEE"/>
    <w:rsid w:val="00DC125B"/>
    <w:rsid w:val="00DD1113"/>
    <w:rsid w:val="00DE3117"/>
    <w:rsid w:val="00DE61A2"/>
    <w:rsid w:val="00E01873"/>
    <w:rsid w:val="00E06307"/>
    <w:rsid w:val="00E11F0A"/>
    <w:rsid w:val="00E1759A"/>
    <w:rsid w:val="00E209BA"/>
    <w:rsid w:val="00E222D7"/>
    <w:rsid w:val="00E245A3"/>
    <w:rsid w:val="00E2519C"/>
    <w:rsid w:val="00E2638A"/>
    <w:rsid w:val="00E35460"/>
    <w:rsid w:val="00E44D8D"/>
    <w:rsid w:val="00E51EBC"/>
    <w:rsid w:val="00E53339"/>
    <w:rsid w:val="00E61667"/>
    <w:rsid w:val="00E649BF"/>
    <w:rsid w:val="00E76AAE"/>
    <w:rsid w:val="00E77C46"/>
    <w:rsid w:val="00E77E37"/>
    <w:rsid w:val="00E820EF"/>
    <w:rsid w:val="00E83012"/>
    <w:rsid w:val="00E87370"/>
    <w:rsid w:val="00E97665"/>
    <w:rsid w:val="00EA00EC"/>
    <w:rsid w:val="00EA1CA4"/>
    <w:rsid w:val="00EA495C"/>
    <w:rsid w:val="00EA4F02"/>
    <w:rsid w:val="00EA67F6"/>
    <w:rsid w:val="00EA7659"/>
    <w:rsid w:val="00EB1B23"/>
    <w:rsid w:val="00EC0313"/>
    <w:rsid w:val="00EC6E1D"/>
    <w:rsid w:val="00ED0B51"/>
    <w:rsid w:val="00ED7374"/>
    <w:rsid w:val="00EE0A6B"/>
    <w:rsid w:val="00EF264A"/>
    <w:rsid w:val="00EF44AD"/>
    <w:rsid w:val="00F056D8"/>
    <w:rsid w:val="00F12883"/>
    <w:rsid w:val="00F25E01"/>
    <w:rsid w:val="00F32CEF"/>
    <w:rsid w:val="00F43DBE"/>
    <w:rsid w:val="00F51EC5"/>
    <w:rsid w:val="00F520E5"/>
    <w:rsid w:val="00F60A8C"/>
    <w:rsid w:val="00F61E6F"/>
    <w:rsid w:val="00F67756"/>
    <w:rsid w:val="00F8370A"/>
    <w:rsid w:val="00F90075"/>
    <w:rsid w:val="00F94BDB"/>
    <w:rsid w:val="00FA2C44"/>
    <w:rsid w:val="00FA6425"/>
    <w:rsid w:val="00FC2A91"/>
    <w:rsid w:val="00FC5901"/>
    <w:rsid w:val="00FE19B7"/>
    <w:rsid w:val="00FF2022"/>
    <w:rsid w:val="00FF7A60"/>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327"/>
  </w:style>
  <w:style w:type="paragraph" w:styleId="Ttulo1">
    <w:name w:val="heading 1"/>
    <w:aliases w:val="Título Primer Nivel"/>
    <w:basedOn w:val="Normal"/>
    <w:next w:val="Normal"/>
    <w:link w:val="Ttulo1Car"/>
    <w:autoRedefine/>
    <w:uiPriority w:val="9"/>
    <w:qFormat/>
    <w:rsid w:val="001578C5"/>
    <w:pPr>
      <w:keepNext/>
      <w:spacing w:before="2000" w:after="480" w:line="240" w:lineRule="auto"/>
      <w:outlineLvl w:val="0"/>
    </w:pPr>
    <w:rPr>
      <w:rFonts w:eastAsia="Times New Roman" w:cs="Arial"/>
      <w:b/>
      <w:bCs/>
      <w:kern w:val="32"/>
      <w:sz w:val="40"/>
      <w:szCs w:val="32"/>
      <w:lang w:val="es-ES" w:eastAsia="es-ES"/>
    </w:rPr>
  </w:style>
  <w:style w:type="paragraph" w:styleId="Ttulo2">
    <w:name w:val="heading 2"/>
    <w:aliases w:val="Título Segundo nivel"/>
    <w:basedOn w:val="Normal"/>
    <w:next w:val="Normal"/>
    <w:link w:val="Ttulo2Car"/>
    <w:uiPriority w:val="9"/>
    <w:unhideWhenUsed/>
    <w:qFormat/>
    <w:rsid w:val="001578C5"/>
    <w:pPr>
      <w:keepNext/>
      <w:keepLines/>
      <w:spacing w:before="400" w:after="200" w:line="240" w:lineRule="auto"/>
      <w:outlineLvl w:val="1"/>
    </w:pPr>
    <w:rPr>
      <w:rFonts w:ascii="Arial" w:eastAsiaTheme="majorEastAsia" w:hAnsi="Arial" w:cstheme="majorBidi"/>
      <w:b/>
      <w:bCs/>
      <w:sz w:val="32"/>
      <w:szCs w:val="26"/>
    </w:rPr>
  </w:style>
  <w:style w:type="paragraph" w:styleId="Ttulo3">
    <w:name w:val="heading 3"/>
    <w:aliases w:val="Título Tercer nivel"/>
    <w:basedOn w:val="Normal"/>
    <w:next w:val="Normal"/>
    <w:link w:val="Ttulo3Car"/>
    <w:uiPriority w:val="9"/>
    <w:unhideWhenUsed/>
    <w:qFormat/>
    <w:rsid w:val="001578C5"/>
    <w:pPr>
      <w:keepNext/>
      <w:keepLines/>
      <w:spacing w:before="400" w:after="200" w:line="240" w:lineRule="auto"/>
      <w:outlineLvl w:val="2"/>
    </w:pPr>
    <w:rPr>
      <w:rFonts w:ascii="Arial" w:eastAsiaTheme="majorEastAsia" w:hAnsi="Arial" w:cstheme="majorBidi"/>
      <w:b/>
      <w:bCs/>
      <w:sz w:val="28"/>
    </w:rPr>
  </w:style>
  <w:style w:type="paragraph" w:styleId="Ttulo5">
    <w:name w:val="heading 5"/>
    <w:basedOn w:val="Normal"/>
    <w:next w:val="Normal"/>
    <w:link w:val="Ttulo5Car"/>
    <w:uiPriority w:val="9"/>
    <w:unhideWhenUsed/>
    <w:qFormat/>
    <w:rsid w:val="001578C5"/>
    <w:pPr>
      <w:keepNext/>
      <w:keepLines/>
      <w:spacing w:before="200" w:after="0" w:line="276" w:lineRule="auto"/>
      <w:outlineLvl w:val="4"/>
    </w:pPr>
    <w:rPr>
      <w:rFonts w:ascii="Arial" w:eastAsiaTheme="majorEastAsia" w:hAnsi="Arial" w:cstheme="majorBidi"/>
      <w:color w:val="1F4D78" w:themeColor="accent1" w:themeShade="7F"/>
    </w:rPr>
  </w:style>
  <w:style w:type="paragraph" w:styleId="Ttulo6">
    <w:name w:val="heading 6"/>
    <w:basedOn w:val="Normal"/>
    <w:next w:val="Normal"/>
    <w:link w:val="Ttulo6Car"/>
    <w:uiPriority w:val="9"/>
    <w:semiHidden/>
    <w:unhideWhenUsed/>
    <w:qFormat/>
    <w:rsid w:val="001578C5"/>
    <w:pPr>
      <w:keepNext/>
      <w:keepLines/>
      <w:spacing w:before="200" w:after="0" w:line="276" w:lineRule="auto"/>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rsid w:val="001578C5"/>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1578C5"/>
    <w:pPr>
      <w:keepNext/>
      <w:keepLines/>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1578C5"/>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Primer Nivel Car"/>
    <w:basedOn w:val="Fuentedeprrafopredeter"/>
    <w:link w:val="Ttulo1"/>
    <w:uiPriority w:val="9"/>
    <w:rsid w:val="001578C5"/>
    <w:rPr>
      <w:rFonts w:eastAsia="Times New Roman" w:cs="Arial"/>
      <w:b/>
      <w:bCs/>
      <w:kern w:val="32"/>
      <w:sz w:val="40"/>
      <w:szCs w:val="32"/>
      <w:lang w:val="es-ES" w:eastAsia="es-ES"/>
    </w:rPr>
  </w:style>
  <w:style w:type="character" w:customStyle="1" w:styleId="Ttulo2Car">
    <w:name w:val="Título 2 Car"/>
    <w:aliases w:val="Título Segundo nivel Car"/>
    <w:basedOn w:val="Fuentedeprrafopredeter"/>
    <w:link w:val="Ttulo2"/>
    <w:uiPriority w:val="9"/>
    <w:rsid w:val="001578C5"/>
    <w:rPr>
      <w:rFonts w:ascii="Arial" w:eastAsiaTheme="majorEastAsia" w:hAnsi="Arial" w:cstheme="majorBidi"/>
      <w:b/>
      <w:bCs/>
      <w:sz w:val="32"/>
      <w:szCs w:val="26"/>
    </w:rPr>
  </w:style>
  <w:style w:type="character" w:customStyle="1" w:styleId="Ttulo3Car">
    <w:name w:val="Título 3 Car"/>
    <w:aliases w:val="Título Tercer nivel Car"/>
    <w:basedOn w:val="Fuentedeprrafopredeter"/>
    <w:link w:val="Ttulo3"/>
    <w:uiPriority w:val="9"/>
    <w:rsid w:val="001578C5"/>
    <w:rPr>
      <w:rFonts w:ascii="Arial" w:eastAsiaTheme="majorEastAsia" w:hAnsi="Arial" w:cstheme="majorBidi"/>
      <w:b/>
      <w:bCs/>
      <w:sz w:val="28"/>
    </w:rPr>
  </w:style>
  <w:style w:type="character" w:customStyle="1" w:styleId="Ttulo5Car">
    <w:name w:val="Título 5 Car"/>
    <w:basedOn w:val="Fuentedeprrafopredeter"/>
    <w:link w:val="Ttulo5"/>
    <w:uiPriority w:val="9"/>
    <w:rsid w:val="001578C5"/>
    <w:rPr>
      <w:rFonts w:ascii="Arial" w:eastAsiaTheme="majorEastAsia" w:hAnsi="Arial" w:cstheme="majorBidi"/>
      <w:color w:val="1F4D78" w:themeColor="accent1" w:themeShade="7F"/>
    </w:rPr>
  </w:style>
  <w:style w:type="character" w:customStyle="1" w:styleId="Ttulo6Car">
    <w:name w:val="Título 6 Car"/>
    <w:basedOn w:val="Fuentedeprrafopredeter"/>
    <w:link w:val="Ttulo6"/>
    <w:uiPriority w:val="9"/>
    <w:semiHidden/>
    <w:rsid w:val="001578C5"/>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1578C5"/>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1578C5"/>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1578C5"/>
    <w:rPr>
      <w:rFonts w:asciiTheme="majorHAnsi" w:eastAsiaTheme="majorEastAsia" w:hAnsiTheme="majorHAnsi" w:cstheme="majorBidi"/>
      <w:i/>
      <w:iCs/>
      <w:color w:val="404040" w:themeColor="text1" w:themeTint="BF"/>
      <w:sz w:val="20"/>
      <w:szCs w:val="20"/>
    </w:rPr>
  </w:style>
  <w:style w:type="paragraph" w:styleId="Textodeglobo">
    <w:name w:val="Balloon Text"/>
    <w:basedOn w:val="Normal"/>
    <w:link w:val="TextodegloboCar"/>
    <w:uiPriority w:val="99"/>
    <w:semiHidden/>
    <w:unhideWhenUsed/>
    <w:rsid w:val="001578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78C5"/>
    <w:rPr>
      <w:rFonts w:ascii="Segoe UI" w:hAnsi="Segoe UI" w:cs="Segoe UI"/>
      <w:sz w:val="18"/>
      <w:szCs w:val="18"/>
    </w:rPr>
  </w:style>
  <w:style w:type="paragraph" w:styleId="Sinespaciado">
    <w:name w:val="No Spacing"/>
    <w:uiPriority w:val="1"/>
    <w:qFormat/>
    <w:rsid w:val="0091386C"/>
    <w:pPr>
      <w:spacing w:after="0" w:line="240" w:lineRule="auto"/>
    </w:pPr>
  </w:style>
  <w:style w:type="paragraph" w:styleId="Prrafodelista">
    <w:name w:val="List Paragraph"/>
    <w:basedOn w:val="Normal"/>
    <w:uiPriority w:val="34"/>
    <w:qFormat/>
    <w:rsid w:val="00373E5B"/>
    <w:pPr>
      <w:ind w:left="720"/>
      <w:contextualSpacing/>
    </w:pPr>
  </w:style>
  <w:style w:type="paragraph" w:styleId="TtulodeTDC">
    <w:name w:val="TOC Heading"/>
    <w:basedOn w:val="Normal"/>
    <w:next w:val="Normal"/>
    <w:link w:val="TtulodeTDCCar"/>
    <w:uiPriority w:val="39"/>
    <w:unhideWhenUsed/>
    <w:qFormat/>
    <w:rsid w:val="00860809"/>
    <w:pPr>
      <w:keepLines/>
      <w:spacing w:after="0" w:line="240" w:lineRule="auto"/>
    </w:pPr>
    <w:rPr>
      <w:rFonts w:ascii="Arial" w:eastAsiaTheme="majorEastAsia" w:hAnsi="Arial" w:cstheme="majorBidi"/>
      <w:szCs w:val="28"/>
    </w:rPr>
  </w:style>
  <w:style w:type="character" w:customStyle="1" w:styleId="TtulodeTDCCar">
    <w:name w:val="Título de TDC Car"/>
    <w:basedOn w:val="Fuentedeprrafopredeter"/>
    <w:link w:val="TtulodeTDC"/>
    <w:uiPriority w:val="39"/>
    <w:rsid w:val="00860809"/>
    <w:rPr>
      <w:rFonts w:ascii="Arial" w:eastAsiaTheme="majorEastAsia" w:hAnsi="Arial" w:cstheme="majorBidi"/>
      <w:szCs w:val="28"/>
    </w:rPr>
  </w:style>
  <w:style w:type="table" w:customStyle="1" w:styleId="Cuadrculadetablaclara1">
    <w:name w:val="Cuadrícula de tabla clara1"/>
    <w:basedOn w:val="Tablanormal"/>
    <w:uiPriority w:val="40"/>
    <w:rsid w:val="001B51AA"/>
    <w:pPr>
      <w:spacing w:after="0" w:line="240" w:lineRule="auto"/>
    </w:pPr>
    <w:rPr>
      <w:rFonts w:eastAsiaTheme="minorEastAsia"/>
      <w:lang w:eastAsia="es-CO"/>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aconcuadrcula">
    <w:name w:val="Table Grid"/>
    <w:basedOn w:val="Tablanormal"/>
    <w:uiPriority w:val="39"/>
    <w:rsid w:val="004138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aliases w:val="Texto de la tesis"/>
    <w:basedOn w:val="Fuentedeprrafopredeter"/>
    <w:uiPriority w:val="22"/>
    <w:qFormat/>
    <w:rsid w:val="00AE1539"/>
    <w:rPr>
      <w:rFonts w:ascii="Arial" w:hAnsi="Arial"/>
      <w:bCs/>
      <w:sz w:val="24"/>
    </w:rPr>
  </w:style>
  <w:style w:type="character" w:customStyle="1" w:styleId="A1">
    <w:name w:val="A1"/>
    <w:uiPriority w:val="99"/>
    <w:rsid w:val="00072A3E"/>
    <w:rPr>
      <w:color w:val="000000"/>
      <w:sz w:val="15"/>
      <w:szCs w:val="15"/>
    </w:rPr>
  </w:style>
  <w:style w:type="paragraph" w:styleId="Encabezado">
    <w:name w:val="header"/>
    <w:basedOn w:val="Normal"/>
    <w:link w:val="EncabezadoCar"/>
    <w:uiPriority w:val="99"/>
    <w:unhideWhenUsed/>
    <w:rsid w:val="003129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297B"/>
  </w:style>
  <w:style w:type="paragraph" w:styleId="Piedepgina">
    <w:name w:val="footer"/>
    <w:basedOn w:val="Normal"/>
    <w:link w:val="PiedepginaCar"/>
    <w:uiPriority w:val="99"/>
    <w:unhideWhenUsed/>
    <w:rsid w:val="003129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297B"/>
  </w:style>
  <w:style w:type="paragraph" w:styleId="Textonotapie">
    <w:name w:val="footnote text"/>
    <w:basedOn w:val="Normal"/>
    <w:link w:val="TextonotapieCar"/>
    <w:uiPriority w:val="99"/>
    <w:semiHidden/>
    <w:unhideWhenUsed/>
    <w:rsid w:val="0031297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1297B"/>
    <w:rPr>
      <w:sz w:val="20"/>
      <w:szCs w:val="20"/>
    </w:rPr>
  </w:style>
  <w:style w:type="character" w:styleId="Refdenotaalpie">
    <w:name w:val="footnote reference"/>
    <w:basedOn w:val="Fuentedeprrafopredeter"/>
    <w:uiPriority w:val="99"/>
    <w:semiHidden/>
    <w:unhideWhenUsed/>
    <w:rsid w:val="0031297B"/>
    <w:rPr>
      <w:vertAlign w:val="superscript"/>
    </w:rPr>
  </w:style>
  <w:style w:type="character" w:customStyle="1" w:styleId="apple-converted-space">
    <w:name w:val="apple-converted-space"/>
    <w:basedOn w:val="Fuentedeprrafopredeter"/>
    <w:rsid w:val="00677AF6"/>
  </w:style>
  <w:style w:type="character" w:styleId="nfasis">
    <w:name w:val="Emphasis"/>
    <w:basedOn w:val="Fuentedeprrafopredeter"/>
    <w:uiPriority w:val="20"/>
    <w:qFormat/>
    <w:rsid w:val="00677AF6"/>
    <w:rPr>
      <w:i/>
      <w:iCs/>
    </w:rPr>
  </w:style>
  <w:style w:type="paragraph" w:styleId="HTMLconformatoprevio">
    <w:name w:val="HTML Preformatted"/>
    <w:basedOn w:val="Normal"/>
    <w:link w:val="HTMLconformatoprevioCar"/>
    <w:uiPriority w:val="99"/>
    <w:unhideWhenUsed/>
    <w:rsid w:val="0014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AU" w:eastAsia="en-AU"/>
    </w:rPr>
  </w:style>
  <w:style w:type="character" w:customStyle="1" w:styleId="HTMLconformatoprevioCar">
    <w:name w:val="HTML con formato previo Car"/>
    <w:basedOn w:val="Fuentedeprrafopredeter"/>
    <w:link w:val="HTMLconformatoprevio"/>
    <w:uiPriority w:val="99"/>
    <w:rsid w:val="00147C54"/>
    <w:rPr>
      <w:rFonts w:ascii="Courier New" w:eastAsia="Times New Roman" w:hAnsi="Courier New" w:cs="Courier New"/>
      <w:sz w:val="20"/>
      <w:szCs w:val="20"/>
      <w:lang w:val="en-AU" w:eastAsia="en-AU"/>
    </w:rPr>
  </w:style>
  <w:style w:type="paragraph" w:styleId="NormalWeb">
    <w:name w:val="Normal (Web)"/>
    <w:basedOn w:val="Normal"/>
    <w:uiPriority w:val="99"/>
    <w:unhideWhenUsed/>
    <w:rsid w:val="00BA7C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merodelnea">
    <w:name w:val="line number"/>
    <w:basedOn w:val="Fuentedeprrafopredeter"/>
    <w:uiPriority w:val="99"/>
    <w:semiHidden/>
    <w:unhideWhenUsed/>
    <w:rsid w:val="00B61228"/>
  </w:style>
  <w:style w:type="character" w:styleId="Refdecomentario">
    <w:name w:val="annotation reference"/>
    <w:basedOn w:val="Fuentedeprrafopredeter"/>
    <w:uiPriority w:val="99"/>
    <w:semiHidden/>
    <w:unhideWhenUsed/>
    <w:rsid w:val="00625CCA"/>
    <w:rPr>
      <w:sz w:val="16"/>
      <w:szCs w:val="16"/>
    </w:rPr>
  </w:style>
  <w:style w:type="paragraph" w:styleId="Textocomentario">
    <w:name w:val="annotation text"/>
    <w:basedOn w:val="Normal"/>
    <w:link w:val="TextocomentarioCar"/>
    <w:uiPriority w:val="99"/>
    <w:semiHidden/>
    <w:unhideWhenUsed/>
    <w:rsid w:val="00625CC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25CCA"/>
    <w:rPr>
      <w:sz w:val="20"/>
      <w:szCs w:val="20"/>
    </w:rPr>
  </w:style>
  <w:style w:type="paragraph" w:styleId="Asuntodelcomentario">
    <w:name w:val="annotation subject"/>
    <w:basedOn w:val="Textocomentario"/>
    <w:next w:val="Textocomentario"/>
    <w:link w:val="AsuntodelcomentarioCar"/>
    <w:uiPriority w:val="99"/>
    <w:semiHidden/>
    <w:unhideWhenUsed/>
    <w:rsid w:val="00625CCA"/>
    <w:rPr>
      <w:b/>
      <w:bCs/>
    </w:rPr>
  </w:style>
  <w:style w:type="character" w:customStyle="1" w:styleId="AsuntodelcomentarioCar">
    <w:name w:val="Asunto del comentario Car"/>
    <w:basedOn w:val="TextocomentarioCar"/>
    <w:link w:val="Asuntodelcomentario"/>
    <w:uiPriority w:val="99"/>
    <w:semiHidden/>
    <w:rsid w:val="00625CCA"/>
    <w:rPr>
      <w:b/>
      <w:bCs/>
      <w:sz w:val="20"/>
      <w:szCs w:val="20"/>
    </w:rPr>
  </w:style>
</w:styles>
</file>

<file path=word/webSettings.xml><?xml version="1.0" encoding="utf-8"?>
<w:webSettings xmlns:r="http://schemas.openxmlformats.org/officeDocument/2006/relationships" xmlns:w="http://schemas.openxmlformats.org/wordprocessingml/2006/main">
  <w:divs>
    <w:div w:id="126431785">
      <w:bodyDiv w:val="1"/>
      <w:marLeft w:val="0"/>
      <w:marRight w:val="0"/>
      <w:marTop w:val="0"/>
      <w:marBottom w:val="0"/>
      <w:divBdr>
        <w:top w:val="none" w:sz="0" w:space="0" w:color="auto"/>
        <w:left w:val="none" w:sz="0" w:space="0" w:color="auto"/>
        <w:bottom w:val="none" w:sz="0" w:space="0" w:color="auto"/>
        <w:right w:val="none" w:sz="0" w:space="0" w:color="auto"/>
      </w:divBdr>
      <w:divsChild>
        <w:div w:id="320889737">
          <w:marLeft w:val="0"/>
          <w:marRight w:val="0"/>
          <w:marTop w:val="0"/>
          <w:marBottom w:val="0"/>
          <w:divBdr>
            <w:top w:val="none" w:sz="0" w:space="0" w:color="auto"/>
            <w:left w:val="none" w:sz="0" w:space="0" w:color="auto"/>
            <w:bottom w:val="none" w:sz="0" w:space="0" w:color="auto"/>
            <w:right w:val="none" w:sz="0" w:space="0" w:color="auto"/>
          </w:divBdr>
        </w:div>
      </w:divsChild>
    </w:div>
    <w:div w:id="324407106">
      <w:bodyDiv w:val="1"/>
      <w:marLeft w:val="0"/>
      <w:marRight w:val="0"/>
      <w:marTop w:val="0"/>
      <w:marBottom w:val="0"/>
      <w:divBdr>
        <w:top w:val="none" w:sz="0" w:space="0" w:color="auto"/>
        <w:left w:val="none" w:sz="0" w:space="0" w:color="auto"/>
        <w:bottom w:val="none" w:sz="0" w:space="0" w:color="auto"/>
        <w:right w:val="none" w:sz="0" w:space="0" w:color="auto"/>
      </w:divBdr>
    </w:div>
    <w:div w:id="337511943">
      <w:bodyDiv w:val="1"/>
      <w:marLeft w:val="0"/>
      <w:marRight w:val="0"/>
      <w:marTop w:val="0"/>
      <w:marBottom w:val="0"/>
      <w:divBdr>
        <w:top w:val="none" w:sz="0" w:space="0" w:color="auto"/>
        <w:left w:val="none" w:sz="0" w:space="0" w:color="auto"/>
        <w:bottom w:val="none" w:sz="0" w:space="0" w:color="auto"/>
        <w:right w:val="none" w:sz="0" w:space="0" w:color="auto"/>
      </w:divBdr>
    </w:div>
    <w:div w:id="510025786">
      <w:bodyDiv w:val="1"/>
      <w:marLeft w:val="0"/>
      <w:marRight w:val="0"/>
      <w:marTop w:val="0"/>
      <w:marBottom w:val="0"/>
      <w:divBdr>
        <w:top w:val="none" w:sz="0" w:space="0" w:color="auto"/>
        <w:left w:val="none" w:sz="0" w:space="0" w:color="auto"/>
        <w:bottom w:val="none" w:sz="0" w:space="0" w:color="auto"/>
        <w:right w:val="none" w:sz="0" w:space="0" w:color="auto"/>
      </w:divBdr>
      <w:divsChild>
        <w:div w:id="805707153">
          <w:marLeft w:val="0"/>
          <w:marRight w:val="0"/>
          <w:marTop w:val="0"/>
          <w:marBottom w:val="0"/>
          <w:divBdr>
            <w:top w:val="none" w:sz="0" w:space="0" w:color="auto"/>
            <w:left w:val="none" w:sz="0" w:space="0" w:color="auto"/>
            <w:bottom w:val="none" w:sz="0" w:space="0" w:color="auto"/>
            <w:right w:val="none" w:sz="0" w:space="0" w:color="auto"/>
          </w:divBdr>
        </w:div>
      </w:divsChild>
    </w:div>
    <w:div w:id="644967721">
      <w:bodyDiv w:val="1"/>
      <w:marLeft w:val="0"/>
      <w:marRight w:val="0"/>
      <w:marTop w:val="0"/>
      <w:marBottom w:val="0"/>
      <w:divBdr>
        <w:top w:val="none" w:sz="0" w:space="0" w:color="auto"/>
        <w:left w:val="none" w:sz="0" w:space="0" w:color="auto"/>
        <w:bottom w:val="none" w:sz="0" w:space="0" w:color="auto"/>
        <w:right w:val="none" w:sz="0" w:space="0" w:color="auto"/>
      </w:divBdr>
      <w:divsChild>
        <w:div w:id="1582258406">
          <w:marLeft w:val="0"/>
          <w:marRight w:val="0"/>
          <w:marTop w:val="0"/>
          <w:marBottom w:val="0"/>
          <w:divBdr>
            <w:top w:val="none" w:sz="0" w:space="0" w:color="auto"/>
            <w:left w:val="none" w:sz="0" w:space="0" w:color="auto"/>
            <w:bottom w:val="none" w:sz="0" w:space="0" w:color="auto"/>
            <w:right w:val="none" w:sz="0" w:space="0" w:color="auto"/>
          </w:divBdr>
          <w:divsChild>
            <w:div w:id="1802570182">
              <w:marLeft w:val="0"/>
              <w:marRight w:val="0"/>
              <w:marTop w:val="0"/>
              <w:marBottom w:val="0"/>
              <w:divBdr>
                <w:top w:val="none" w:sz="0" w:space="0" w:color="auto"/>
                <w:left w:val="none" w:sz="0" w:space="0" w:color="auto"/>
                <w:bottom w:val="none" w:sz="0" w:space="0" w:color="auto"/>
                <w:right w:val="none" w:sz="0" w:space="0" w:color="auto"/>
              </w:divBdr>
              <w:divsChild>
                <w:div w:id="1005862836">
                  <w:marLeft w:val="0"/>
                  <w:marRight w:val="0"/>
                  <w:marTop w:val="0"/>
                  <w:marBottom w:val="0"/>
                  <w:divBdr>
                    <w:top w:val="none" w:sz="0" w:space="0" w:color="auto"/>
                    <w:left w:val="none" w:sz="0" w:space="0" w:color="auto"/>
                    <w:bottom w:val="none" w:sz="0" w:space="0" w:color="auto"/>
                    <w:right w:val="none" w:sz="0" w:space="0" w:color="auto"/>
                  </w:divBdr>
                  <w:divsChild>
                    <w:div w:id="784424370">
                      <w:marLeft w:val="0"/>
                      <w:marRight w:val="0"/>
                      <w:marTop w:val="0"/>
                      <w:marBottom w:val="0"/>
                      <w:divBdr>
                        <w:top w:val="none" w:sz="0" w:space="0" w:color="auto"/>
                        <w:left w:val="none" w:sz="0" w:space="0" w:color="auto"/>
                        <w:bottom w:val="none" w:sz="0" w:space="0" w:color="auto"/>
                        <w:right w:val="none" w:sz="0" w:space="0" w:color="auto"/>
                      </w:divBdr>
                      <w:divsChild>
                        <w:div w:id="33121364">
                          <w:marLeft w:val="0"/>
                          <w:marRight w:val="0"/>
                          <w:marTop w:val="0"/>
                          <w:marBottom w:val="0"/>
                          <w:divBdr>
                            <w:top w:val="none" w:sz="0" w:space="0" w:color="auto"/>
                            <w:left w:val="none" w:sz="0" w:space="0" w:color="auto"/>
                            <w:bottom w:val="none" w:sz="0" w:space="0" w:color="auto"/>
                            <w:right w:val="none" w:sz="0" w:space="0" w:color="auto"/>
                          </w:divBdr>
                          <w:divsChild>
                            <w:div w:id="284042090">
                              <w:marLeft w:val="0"/>
                              <w:marRight w:val="0"/>
                              <w:marTop w:val="0"/>
                              <w:marBottom w:val="0"/>
                              <w:divBdr>
                                <w:top w:val="none" w:sz="0" w:space="0" w:color="auto"/>
                                <w:left w:val="none" w:sz="0" w:space="0" w:color="auto"/>
                                <w:bottom w:val="none" w:sz="0" w:space="0" w:color="auto"/>
                                <w:right w:val="none" w:sz="0" w:space="0" w:color="auto"/>
                              </w:divBdr>
                              <w:divsChild>
                                <w:div w:id="1902522012">
                                  <w:marLeft w:val="0"/>
                                  <w:marRight w:val="0"/>
                                  <w:marTop w:val="0"/>
                                  <w:marBottom w:val="0"/>
                                  <w:divBdr>
                                    <w:top w:val="none" w:sz="0" w:space="0" w:color="auto"/>
                                    <w:left w:val="none" w:sz="0" w:space="0" w:color="auto"/>
                                    <w:bottom w:val="none" w:sz="0" w:space="0" w:color="auto"/>
                                    <w:right w:val="none" w:sz="0" w:space="0" w:color="auto"/>
                                  </w:divBdr>
                                  <w:divsChild>
                                    <w:div w:id="1336498711">
                                      <w:marLeft w:val="0"/>
                                      <w:marRight w:val="0"/>
                                      <w:marTop w:val="0"/>
                                      <w:marBottom w:val="0"/>
                                      <w:divBdr>
                                        <w:top w:val="none" w:sz="0" w:space="0" w:color="auto"/>
                                        <w:left w:val="none" w:sz="0" w:space="0" w:color="auto"/>
                                        <w:bottom w:val="none" w:sz="0" w:space="0" w:color="auto"/>
                                        <w:right w:val="none" w:sz="0" w:space="0" w:color="auto"/>
                                      </w:divBdr>
                                      <w:divsChild>
                                        <w:div w:id="1218476227">
                                          <w:marLeft w:val="0"/>
                                          <w:marRight w:val="0"/>
                                          <w:marTop w:val="0"/>
                                          <w:marBottom w:val="0"/>
                                          <w:divBdr>
                                            <w:top w:val="none" w:sz="0" w:space="0" w:color="auto"/>
                                            <w:left w:val="none" w:sz="0" w:space="0" w:color="auto"/>
                                            <w:bottom w:val="none" w:sz="0" w:space="0" w:color="auto"/>
                                            <w:right w:val="none" w:sz="0" w:space="0" w:color="auto"/>
                                          </w:divBdr>
                                          <w:divsChild>
                                            <w:div w:id="87043821">
                                              <w:marLeft w:val="0"/>
                                              <w:marRight w:val="0"/>
                                              <w:marTop w:val="0"/>
                                              <w:marBottom w:val="0"/>
                                              <w:divBdr>
                                                <w:top w:val="none" w:sz="0" w:space="0" w:color="auto"/>
                                                <w:left w:val="none" w:sz="0" w:space="0" w:color="auto"/>
                                                <w:bottom w:val="none" w:sz="0" w:space="0" w:color="auto"/>
                                                <w:right w:val="none" w:sz="0" w:space="0" w:color="auto"/>
                                              </w:divBdr>
                                              <w:divsChild>
                                                <w:div w:id="1468089597">
                                                  <w:marLeft w:val="0"/>
                                                  <w:marRight w:val="0"/>
                                                  <w:marTop w:val="0"/>
                                                  <w:marBottom w:val="0"/>
                                                  <w:divBdr>
                                                    <w:top w:val="none" w:sz="0" w:space="0" w:color="auto"/>
                                                    <w:left w:val="none" w:sz="0" w:space="0" w:color="auto"/>
                                                    <w:bottom w:val="none" w:sz="0" w:space="0" w:color="auto"/>
                                                    <w:right w:val="none" w:sz="0" w:space="0" w:color="auto"/>
                                                  </w:divBdr>
                                                  <w:divsChild>
                                                    <w:div w:id="485166343">
                                                      <w:marLeft w:val="0"/>
                                                      <w:marRight w:val="0"/>
                                                      <w:marTop w:val="0"/>
                                                      <w:marBottom w:val="0"/>
                                                      <w:divBdr>
                                                        <w:top w:val="none" w:sz="0" w:space="0" w:color="auto"/>
                                                        <w:left w:val="none" w:sz="0" w:space="0" w:color="auto"/>
                                                        <w:bottom w:val="none" w:sz="0" w:space="0" w:color="auto"/>
                                                        <w:right w:val="none" w:sz="0" w:space="0" w:color="auto"/>
                                                      </w:divBdr>
                                                      <w:divsChild>
                                                        <w:div w:id="435291813">
                                                          <w:marLeft w:val="0"/>
                                                          <w:marRight w:val="0"/>
                                                          <w:marTop w:val="0"/>
                                                          <w:marBottom w:val="0"/>
                                                          <w:divBdr>
                                                            <w:top w:val="none" w:sz="0" w:space="0" w:color="auto"/>
                                                            <w:left w:val="none" w:sz="0" w:space="0" w:color="auto"/>
                                                            <w:bottom w:val="none" w:sz="0" w:space="0" w:color="auto"/>
                                                            <w:right w:val="none" w:sz="0" w:space="0" w:color="auto"/>
                                                          </w:divBdr>
                                                          <w:divsChild>
                                                            <w:div w:id="764617388">
                                                              <w:marLeft w:val="0"/>
                                                              <w:marRight w:val="0"/>
                                                              <w:marTop w:val="0"/>
                                                              <w:marBottom w:val="0"/>
                                                              <w:divBdr>
                                                                <w:top w:val="none" w:sz="0" w:space="0" w:color="auto"/>
                                                                <w:left w:val="none" w:sz="0" w:space="0" w:color="auto"/>
                                                                <w:bottom w:val="none" w:sz="0" w:space="0" w:color="auto"/>
                                                                <w:right w:val="none" w:sz="0" w:space="0" w:color="auto"/>
                                                              </w:divBdr>
                                                              <w:divsChild>
                                                                <w:div w:id="518390508">
                                                                  <w:marLeft w:val="0"/>
                                                                  <w:marRight w:val="0"/>
                                                                  <w:marTop w:val="0"/>
                                                                  <w:marBottom w:val="0"/>
                                                                  <w:divBdr>
                                                                    <w:top w:val="none" w:sz="0" w:space="0" w:color="auto"/>
                                                                    <w:left w:val="none" w:sz="0" w:space="0" w:color="auto"/>
                                                                    <w:bottom w:val="none" w:sz="0" w:space="0" w:color="auto"/>
                                                                    <w:right w:val="none" w:sz="0" w:space="0" w:color="auto"/>
                                                                  </w:divBdr>
                                                                  <w:divsChild>
                                                                    <w:div w:id="1484542063">
                                                                      <w:marLeft w:val="0"/>
                                                                      <w:marRight w:val="0"/>
                                                                      <w:marTop w:val="0"/>
                                                                      <w:marBottom w:val="0"/>
                                                                      <w:divBdr>
                                                                        <w:top w:val="none" w:sz="0" w:space="0" w:color="auto"/>
                                                                        <w:left w:val="none" w:sz="0" w:space="0" w:color="auto"/>
                                                                        <w:bottom w:val="none" w:sz="0" w:space="0" w:color="auto"/>
                                                                        <w:right w:val="none" w:sz="0" w:space="0" w:color="auto"/>
                                                                      </w:divBdr>
                                                                      <w:divsChild>
                                                                        <w:div w:id="562059135">
                                                                          <w:marLeft w:val="0"/>
                                                                          <w:marRight w:val="0"/>
                                                                          <w:marTop w:val="0"/>
                                                                          <w:marBottom w:val="0"/>
                                                                          <w:divBdr>
                                                                            <w:top w:val="none" w:sz="0" w:space="0" w:color="auto"/>
                                                                            <w:left w:val="none" w:sz="0" w:space="0" w:color="auto"/>
                                                                            <w:bottom w:val="none" w:sz="0" w:space="0" w:color="auto"/>
                                                                            <w:right w:val="none" w:sz="0" w:space="0" w:color="auto"/>
                                                                          </w:divBdr>
                                                                          <w:divsChild>
                                                                            <w:div w:id="735278804">
                                                                              <w:marLeft w:val="0"/>
                                                                              <w:marRight w:val="0"/>
                                                                              <w:marTop w:val="0"/>
                                                                              <w:marBottom w:val="0"/>
                                                                              <w:divBdr>
                                                                                <w:top w:val="none" w:sz="0" w:space="0" w:color="auto"/>
                                                                                <w:left w:val="none" w:sz="0" w:space="0" w:color="auto"/>
                                                                                <w:bottom w:val="none" w:sz="0" w:space="0" w:color="auto"/>
                                                                                <w:right w:val="none" w:sz="0" w:space="0" w:color="auto"/>
                                                                              </w:divBdr>
                                                                              <w:divsChild>
                                                                                <w:div w:id="1909144029">
                                                                                  <w:marLeft w:val="0"/>
                                                                                  <w:marRight w:val="0"/>
                                                                                  <w:marTop w:val="0"/>
                                                                                  <w:marBottom w:val="0"/>
                                                                                  <w:divBdr>
                                                                                    <w:top w:val="none" w:sz="0" w:space="0" w:color="auto"/>
                                                                                    <w:left w:val="none" w:sz="0" w:space="0" w:color="auto"/>
                                                                                    <w:bottom w:val="none" w:sz="0" w:space="0" w:color="auto"/>
                                                                                    <w:right w:val="none" w:sz="0" w:space="0" w:color="auto"/>
                                                                                  </w:divBdr>
                                                                                  <w:divsChild>
                                                                                    <w:div w:id="165093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9566989">
      <w:bodyDiv w:val="1"/>
      <w:marLeft w:val="0"/>
      <w:marRight w:val="0"/>
      <w:marTop w:val="0"/>
      <w:marBottom w:val="0"/>
      <w:divBdr>
        <w:top w:val="none" w:sz="0" w:space="0" w:color="auto"/>
        <w:left w:val="none" w:sz="0" w:space="0" w:color="auto"/>
        <w:bottom w:val="none" w:sz="0" w:space="0" w:color="auto"/>
        <w:right w:val="none" w:sz="0" w:space="0" w:color="auto"/>
      </w:divBdr>
    </w:div>
    <w:div w:id="1603143331">
      <w:bodyDiv w:val="1"/>
      <w:marLeft w:val="0"/>
      <w:marRight w:val="0"/>
      <w:marTop w:val="0"/>
      <w:marBottom w:val="0"/>
      <w:divBdr>
        <w:top w:val="none" w:sz="0" w:space="0" w:color="auto"/>
        <w:left w:val="none" w:sz="0" w:space="0" w:color="auto"/>
        <w:bottom w:val="none" w:sz="0" w:space="0" w:color="auto"/>
        <w:right w:val="none" w:sz="0" w:space="0" w:color="auto"/>
      </w:divBdr>
    </w:div>
    <w:div w:id="1616209169">
      <w:bodyDiv w:val="1"/>
      <w:marLeft w:val="0"/>
      <w:marRight w:val="0"/>
      <w:marTop w:val="0"/>
      <w:marBottom w:val="0"/>
      <w:divBdr>
        <w:top w:val="none" w:sz="0" w:space="0" w:color="auto"/>
        <w:left w:val="none" w:sz="0" w:space="0" w:color="auto"/>
        <w:bottom w:val="none" w:sz="0" w:space="0" w:color="auto"/>
        <w:right w:val="none" w:sz="0" w:space="0" w:color="auto"/>
      </w:divBdr>
      <w:divsChild>
        <w:div w:id="52687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987035">
              <w:marLeft w:val="0"/>
              <w:marRight w:val="0"/>
              <w:marTop w:val="0"/>
              <w:marBottom w:val="0"/>
              <w:divBdr>
                <w:top w:val="none" w:sz="0" w:space="0" w:color="auto"/>
                <w:left w:val="none" w:sz="0" w:space="0" w:color="auto"/>
                <w:bottom w:val="none" w:sz="0" w:space="0" w:color="auto"/>
                <w:right w:val="none" w:sz="0" w:space="0" w:color="auto"/>
              </w:divBdr>
              <w:divsChild>
                <w:div w:id="980384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6788224">
                      <w:marLeft w:val="0"/>
                      <w:marRight w:val="0"/>
                      <w:marTop w:val="0"/>
                      <w:marBottom w:val="0"/>
                      <w:divBdr>
                        <w:top w:val="none" w:sz="0" w:space="0" w:color="auto"/>
                        <w:left w:val="none" w:sz="0" w:space="0" w:color="auto"/>
                        <w:bottom w:val="none" w:sz="0" w:space="0" w:color="auto"/>
                        <w:right w:val="none" w:sz="0" w:space="0" w:color="auto"/>
                      </w:divBdr>
                      <w:divsChild>
                        <w:div w:id="10379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5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974876">
                      <w:marLeft w:val="0"/>
                      <w:marRight w:val="0"/>
                      <w:marTop w:val="0"/>
                      <w:marBottom w:val="0"/>
                      <w:divBdr>
                        <w:top w:val="none" w:sz="0" w:space="0" w:color="auto"/>
                        <w:left w:val="none" w:sz="0" w:space="0" w:color="auto"/>
                        <w:bottom w:val="none" w:sz="0" w:space="0" w:color="auto"/>
                        <w:right w:val="none" w:sz="0" w:space="0" w:color="auto"/>
                      </w:divBdr>
                      <w:divsChild>
                        <w:div w:id="18332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9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1388160">
                      <w:marLeft w:val="0"/>
                      <w:marRight w:val="0"/>
                      <w:marTop w:val="0"/>
                      <w:marBottom w:val="0"/>
                      <w:divBdr>
                        <w:top w:val="none" w:sz="0" w:space="0" w:color="auto"/>
                        <w:left w:val="none" w:sz="0" w:space="0" w:color="auto"/>
                        <w:bottom w:val="none" w:sz="0" w:space="0" w:color="auto"/>
                        <w:right w:val="none" w:sz="0" w:space="0" w:color="auto"/>
                      </w:divBdr>
                      <w:divsChild>
                        <w:div w:id="123431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40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367903">
                      <w:marLeft w:val="0"/>
                      <w:marRight w:val="0"/>
                      <w:marTop w:val="0"/>
                      <w:marBottom w:val="0"/>
                      <w:divBdr>
                        <w:top w:val="none" w:sz="0" w:space="0" w:color="auto"/>
                        <w:left w:val="none" w:sz="0" w:space="0" w:color="auto"/>
                        <w:bottom w:val="none" w:sz="0" w:space="0" w:color="auto"/>
                        <w:right w:val="none" w:sz="0" w:space="0" w:color="auto"/>
                      </w:divBdr>
                      <w:divsChild>
                        <w:div w:id="152509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3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3515240">
                      <w:marLeft w:val="0"/>
                      <w:marRight w:val="0"/>
                      <w:marTop w:val="0"/>
                      <w:marBottom w:val="0"/>
                      <w:divBdr>
                        <w:top w:val="none" w:sz="0" w:space="0" w:color="auto"/>
                        <w:left w:val="none" w:sz="0" w:space="0" w:color="auto"/>
                        <w:bottom w:val="none" w:sz="0" w:space="0" w:color="auto"/>
                        <w:right w:val="none" w:sz="0" w:space="0" w:color="auto"/>
                      </w:divBdr>
                      <w:divsChild>
                        <w:div w:id="3872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990161">
      <w:bodyDiv w:val="1"/>
      <w:marLeft w:val="0"/>
      <w:marRight w:val="0"/>
      <w:marTop w:val="0"/>
      <w:marBottom w:val="0"/>
      <w:divBdr>
        <w:top w:val="none" w:sz="0" w:space="0" w:color="auto"/>
        <w:left w:val="none" w:sz="0" w:space="0" w:color="auto"/>
        <w:bottom w:val="none" w:sz="0" w:space="0" w:color="auto"/>
        <w:right w:val="none" w:sz="0" w:space="0" w:color="auto"/>
      </w:divBdr>
      <w:divsChild>
        <w:div w:id="1879969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png"/><Relationship Id="rId22"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24675-BA0F-43D9-93DD-BCC5BA80D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5299</Words>
  <Characters>29150</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dc:creator>
  <cp:lastModifiedBy>revista</cp:lastModifiedBy>
  <cp:revision>6</cp:revision>
  <cp:lastPrinted>2015-08-03T21:17:00Z</cp:lastPrinted>
  <dcterms:created xsi:type="dcterms:W3CDTF">2016-05-10T19:27:00Z</dcterms:created>
  <dcterms:modified xsi:type="dcterms:W3CDTF">2016-05-10T19:32:00Z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mcprada@unal.edu.co@www.mendeley.com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