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DD" w:rsidRPr="003E2F3D" w:rsidRDefault="00B151E8" w:rsidP="00E669A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3E2F3D">
        <w:rPr>
          <w:rFonts w:ascii="Times New Roman" w:hAnsi="Times New Roman"/>
          <w:b/>
          <w:bCs/>
          <w:sz w:val="24"/>
          <w:szCs w:val="24"/>
        </w:rPr>
        <w:t xml:space="preserve">Efecto de un </w:t>
      </w:r>
      <w:proofErr w:type="spellStart"/>
      <w:r w:rsidRPr="003E2F3D">
        <w:rPr>
          <w:rFonts w:ascii="Times New Roman" w:hAnsi="Times New Roman"/>
          <w:b/>
          <w:bCs/>
          <w:sz w:val="24"/>
          <w:szCs w:val="24"/>
        </w:rPr>
        <w:t>bioinoculante</w:t>
      </w:r>
      <w:proofErr w:type="spellEnd"/>
      <w:r w:rsidRPr="003E2F3D">
        <w:rPr>
          <w:rFonts w:ascii="Times New Roman" w:hAnsi="Times New Roman"/>
          <w:b/>
          <w:bCs/>
          <w:sz w:val="24"/>
          <w:szCs w:val="24"/>
        </w:rPr>
        <w:t xml:space="preserve"> a partir de consorcios microbianos nativos fosfato </w:t>
      </w:r>
      <w:proofErr w:type="spellStart"/>
      <w:r w:rsidRPr="003E2F3D">
        <w:rPr>
          <w:rFonts w:ascii="Times New Roman" w:hAnsi="Times New Roman"/>
          <w:b/>
          <w:bCs/>
          <w:sz w:val="24"/>
          <w:szCs w:val="24"/>
        </w:rPr>
        <w:t>solubilizadores</w:t>
      </w:r>
      <w:proofErr w:type="spellEnd"/>
      <w:r w:rsidRPr="003E2F3D">
        <w:rPr>
          <w:rFonts w:ascii="Times New Roman" w:hAnsi="Times New Roman"/>
          <w:b/>
          <w:bCs/>
          <w:sz w:val="24"/>
          <w:szCs w:val="24"/>
        </w:rPr>
        <w:t xml:space="preserve">, en el desarrollo de pastos </w:t>
      </w:r>
      <w:proofErr w:type="spellStart"/>
      <w:r w:rsidRPr="003E2F3D">
        <w:rPr>
          <w:rFonts w:ascii="Times New Roman" w:hAnsi="Times New Roman"/>
          <w:b/>
          <w:bCs/>
          <w:sz w:val="24"/>
          <w:szCs w:val="24"/>
        </w:rPr>
        <w:t>Angleton</w:t>
      </w:r>
      <w:proofErr w:type="spellEnd"/>
      <w:r w:rsidR="00241BDD" w:rsidRPr="003E2F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41BDD" w:rsidRPr="003E2F3D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907FD4" w:rsidRPr="003E2F3D">
        <w:rPr>
          <w:rFonts w:ascii="Times New Roman" w:hAnsi="Times New Roman"/>
          <w:i/>
          <w:sz w:val="24"/>
          <w:szCs w:val="24"/>
        </w:rPr>
        <w:t>Dichantium</w:t>
      </w:r>
      <w:proofErr w:type="spellEnd"/>
      <w:r w:rsidR="00907FD4" w:rsidRPr="003E2F3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07FD4" w:rsidRPr="003E2F3D">
        <w:rPr>
          <w:rFonts w:ascii="Times New Roman" w:hAnsi="Times New Roman"/>
          <w:i/>
          <w:sz w:val="24"/>
          <w:szCs w:val="24"/>
        </w:rPr>
        <w:t>aristatum</w:t>
      </w:r>
      <w:proofErr w:type="spellEnd"/>
      <w:r w:rsidR="00241BDD" w:rsidRPr="003E2F3D">
        <w:rPr>
          <w:rFonts w:ascii="Times New Roman" w:hAnsi="Times New Roman"/>
          <w:i/>
          <w:sz w:val="24"/>
          <w:szCs w:val="24"/>
        </w:rPr>
        <w:t>)</w:t>
      </w:r>
    </w:p>
    <w:p w:rsidR="00B151E8" w:rsidRDefault="00B151E8" w:rsidP="006C6AC5">
      <w:pPr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Times New Roman" w:hAnsi="Times New Roman"/>
          <w:i/>
          <w:sz w:val="24"/>
          <w:szCs w:val="24"/>
        </w:rPr>
      </w:pPr>
    </w:p>
    <w:p w:rsidR="000C79A2" w:rsidRPr="00033BFA" w:rsidRDefault="000C79A2" w:rsidP="006C6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5D3A20" w:rsidRPr="00033BFA" w:rsidRDefault="005D3A20" w:rsidP="006C6AC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0C79A2" w:rsidRPr="003E2F3D" w:rsidRDefault="000C79A2" w:rsidP="00E669A9">
      <w:pPr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3E2F3D">
        <w:rPr>
          <w:rFonts w:ascii="Times New Roman" w:hAnsi="Times New Roman"/>
          <w:b/>
          <w:sz w:val="24"/>
          <w:szCs w:val="24"/>
          <w:lang w:val="en-US"/>
        </w:rPr>
        <w:t>E</w:t>
      </w:r>
      <w:r w:rsidR="005D3A20" w:rsidRPr="003E2F3D">
        <w:rPr>
          <w:rFonts w:ascii="Times New Roman" w:hAnsi="Times New Roman"/>
          <w:b/>
          <w:sz w:val="24"/>
          <w:szCs w:val="24"/>
          <w:lang w:val="en-US"/>
        </w:rPr>
        <w:t>ffect of bio-</w:t>
      </w:r>
      <w:proofErr w:type="spellStart"/>
      <w:r w:rsidR="005D3A20" w:rsidRPr="003E2F3D">
        <w:rPr>
          <w:rFonts w:ascii="Times New Roman" w:hAnsi="Times New Roman"/>
          <w:b/>
          <w:sz w:val="24"/>
          <w:szCs w:val="24"/>
          <w:lang w:val="en-US"/>
        </w:rPr>
        <w:t>inoculant</w:t>
      </w:r>
      <w:proofErr w:type="spellEnd"/>
      <w:r w:rsidR="005D3A20" w:rsidRPr="003E2F3D">
        <w:rPr>
          <w:rFonts w:ascii="Times New Roman" w:hAnsi="Times New Roman"/>
          <w:b/>
          <w:sz w:val="24"/>
          <w:szCs w:val="24"/>
          <w:lang w:val="en-US"/>
        </w:rPr>
        <w:t xml:space="preserve"> from microbial consortia phosphate </w:t>
      </w:r>
      <w:proofErr w:type="spellStart"/>
      <w:r w:rsidR="005D3A20" w:rsidRPr="003E2F3D">
        <w:rPr>
          <w:rFonts w:ascii="Times New Roman" w:hAnsi="Times New Roman"/>
          <w:b/>
          <w:sz w:val="24"/>
          <w:szCs w:val="24"/>
          <w:lang w:val="en-US"/>
        </w:rPr>
        <w:t>solubilizing</w:t>
      </w:r>
      <w:proofErr w:type="spellEnd"/>
      <w:r w:rsidR="005D3A20" w:rsidRPr="003E2F3D">
        <w:rPr>
          <w:rFonts w:ascii="Times New Roman" w:hAnsi="Times New Roman"/>
          <w:b/>
          <w:sz w:val="24"/>
          <w:szCs w:val="24"/>
          <w:lang w:val="en-US"/>
        </w:rPr>
        <w:t xml:space="preserve"> natives in development</w:t>
      </w:r>
      <w:r w:rsidRPr="003E2F3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D3A20" w:rsidRPr="003E2F3D">
        <w:rPr>
          <w:rFonts w:ascii="Times New Roman" w:hAnsi="Times New Roman"/>
          <w:b/>
          <w:sz w:val="24"/>
          <w:szCs w:val="24"/>
          <w:lang w:val="en-US"/>
        </w:rPr>
        <w:t xml:space="preserve">of pastures </w:t>
      </w:r>
      <w:r w:rsidR="00907FD4" w:rsidRPr="003E2F3D">
        <w:rPr>
          <w:rFonts w:ascii="Times New Roman" w:hAnsi="Times New Roman"/>
          <w:i/>
          <w:sz w:val="24"/>
          <w:szCs w:val="24"/>
          <w:lang w:val="en-US"/>
        </w:rPr>
        <w:t>(</w:t>
      </w:r>
      <w:proofErr w:type="spellStart"/>
      <w:r w:rsidR="00907FD4" w:rsidRPr="003E2F3D">
        <w:rPr>
          <w:rFonts w:ascii="Times New Roman" w:hAnsi="Times New Roman"/>
          <w:i/>
          <w:sz w:val="24"/>
          <w:szCs w:val="24"/>
          <w:lang w:val="en-US"/>
        </w:rPr>
        <w:t>Dichantium</w:t>
      </w:r>
      <w:proofErr w:type="spellEnd"/>
      <w:r w:rsidR="00907FD4" w:rsidRPr="003E2F3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907FD4" w:rsidRPr="003E2F3D">
        <w:rPr>
          <w:rFonts w:ascii="Times New Roman" w:hAnsi="Times New Roman"/>
          <w:i/>
          <w:sz w:val="24"/>
          <w:szCs w:val="24"/>
          <w:lang w:val="en-US"/>
        </w:rPr>
        <w:t>aristatum</w:t>
      </w:r>
      <w:proofErr w:type="spellEnd"/>
      <w:r w:rsidR="00907FD4" w:rsidRPr="003E2F3D">
        <w:rPr>
          <w:rFonts w:ascii="Times New Roman" w:hAnsi="Times New Roman"/>
          <w:i/>
          <w:sz w:val="24"/>
          <w:szCs w:val="24"/>
          <w:lang w:val="en-US"/>
        </w:rPr>
        <w:t>)</w:t>
      </w:r>
    </w:p>
    <w:p w:rsidR="005D3A20" w:rsidRDefault="005D3A20" w:rsidP="006C6AC5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</w:p>
    <w:p w:rsidR="005D3A20" w:rsidRPr="00C84EC5" w:rsidRDefault="005D3A20" w:rsidP="006C6AC5">
      <w:pPr>
        <w:spacing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E669A9">
        <w:rPr>
          <w:rFonts w:ascii="Times New Roman" w:hAnsi="Times New Roman"/>
          <w:b/>
          <w:sz w:val="24"/>
          <w:szCs w:val="24"/>
          <w:lang w:val="es-ES"/>
        </w:rPr>
        <w:t>Título corto:</w:t>
      </w:r>
      <w:r w:rsidRPr="00C84EC5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84EC5" w:rsidRPr="003E2F3D">
        <w:rPr>
          <w:rFonts w:ascii="Times New Roman" w:hAnsi="Times New Roman"/>
          <w:b/>
          <w:bCs/>
          <w:sz w:val="24"/>
          <w:szCs w:val="24"/>
        </w:rPr>
        <w:t xml:space="preserve">Efecto de un </w:t>
      </w:r>
      <w:proofErr w:type="spellStart"/>
      <w:r w:rsidR="00C84EC5" w:rsidRPr="003E2F3D">
        <w:rPr>
          <w:rFonts w:ascii="Times New Roman" w:hAnsi="Times New Roman"/>
          <w:b/>
          <w:bCs/>
          <w:sz w:val="24"/>
          <w:szCs w:val="24"/>
        </w:rPr>
        <w:t>bioinoculante</w:t>
      </w:r>
      <w:proofErr w:type="spellEnd"/>
      <w:r w:rsidR="00C84EC5" w:rsidRPr="00C84E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4EC5">
        <w:rPr>
          <w:rFonts w:ascii="Times New Roman" w:hAnsi="Times New Roman"/>
          <w:b/>
          <w:bCs/>
          <w:sz w:val="24"/>
          <w:szCs w:val="24"/>
        </w:rPr>
        <w:t xml:space="preserve">en </w:t>
      </w:r>
      <w:r w:rsidR="00C84EC5" w:rsidRPr="003E2F3D">
        <w:rPr>
          <w:rFonts w:ascii="Times New Roman" w:hAnsi="Times New Roman"/>
          <w:b/>
          <w:bCs/>
          <w:sz w:val="24"/>
          <w:szCs w:val="24"/>
        </w:rPr>
        <w:t xml:space="preserve">pastos </w:t>
      </w:r>
      <w:proofErr w:type="spellStart"/>
      <w:r w:rsidR="00C84EC5" w:rsidRPr="003E2F3D">
        <w:rPr>
          <w:rFonts w:ascii="Times New Roman" w:hAnsi="Times New Roman"/>
          <w:b/>
          <w:bCs/>
          <w:sz w:val="24"/>
          <w:szCs w:val="24"/>
        </w:rPr>
        <w:t>Angleton</w:t>
      </w:r>
      <w:proofErr w:type="spellEnd"/>
    </w:p>
    <w:p w:rsidR="007778F6" w:rsidRDefault="007778F6" w:rsidP="007778F6">
      <w:pPr>
        <w:spacing w:line="48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778F6" w:rsidRPr="007778F6" w:rsidRDefault="007778F6" w:rsidP="007778F6">
      <w:pPr>
        <w:spacing w:line="480" w:lineRule="auto"/>
        <w:jc w:val="center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7778F6">
        <w:rPr>
          <w:rFonts w:ascii="Times New Roman" w:hAnsi="Times New Roman"/>
          <w:color w:val="000000" w:themeColor="text1"/>
          <w:sz w:val="24"/>
          <w:szCs w:val="24"/>
        </w:rPr>
        <w:t xml:space="preserve">Cecilia Lara Mantilla </w:t>
      </w:r>
      <w:r w:rsidRPr="007778F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1*</w:t>
      </w:r>
      <w:r w:rsidRPr="007778F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778F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Pr="007778F6">
        <w:rPr>
          <w:rFonts w:ascii="Times New Roman" w:hAnsi="Times New Roman"/>
          <w:color w:val="000000" w:themeColor="text1"/>
          <w:sz w:val="24"/>
          <w:szCs w:val="24"/>
        </w:rPr>
        <w:t xml:space="preserve"> Jorge Luis Negrete </w:t>
      </w:r>
      <w:proofErr w:type="spellStart"/>
      <w:r w:rsidRPr="007778F6">
        <w:rPr>
          <w:rFonts w:ascii="Times New Roman" w:hAnsi="Times New Roman"/>
          <w:color w:val="000000" w:themeColor="text1"/>
          <w:sz w:val="24"/>
          <w:szCs w:val="24"/>
        </w:rPr>
        <w:t>Peñata</w:t>
      </w:r>
      <w:proofErr w:type="spellEnd"/>
      <w:r w:rsidRPr="007778F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778F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</w:p>
    <w:p w:rsidR="007778F6" w:rsidRPr="007778F6" w:rsidRDefault="007778F6" w:rsidP="007778F6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778F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1*  </w:t>
      </w:r>
      <w:proofErr w:type="spellStart"/>
      <w:r w:rsidRPr="007778F6">
        <w:rPr>
          <w:rFonts w:ascii="Times New Roman" w:hAnsi="Times New Roman"/>
          <w:color w:val="000000" w:themeColor="text1"/>
          <w:sz w:val="24"/>
          <w:szCs w:val="24"/>
        </w:rPr>
        <w:t>Ph.D.</w:t>
      </w:r>
      <w:proofErr w:type="spellEnd"/>
      <w:r w:rsidRPr="007778F6">
        <w:rPr>
          <w:rFonts w:ascii="Times New Roman" w:hAnsi="Times New Roman"/>
          <w:color w:val="000000" w:themeColor="text1"/>
          <w:sz w:val="24"/>
          <w:szCs w:val="24"/>
        </w:rPr>
        <w:t xml:space="preserve"> en </w:t>
      </w:r>
      <w:proofErr w:type="spellStart"/>
      <w:r w:rsidRPr="007778F6">
        <w:rPr>
          <w:rFonts w:ascii="Times New Roman" w:hAnsi="Times New Roman"/>
          <w:color w:val="000000" w:themeColor="text1"/>
          <w:sz w:val="24"/>
          <w:szCs w:val="24"/>
        </w:rPr>
        <w:t>Quimica</w:t>
      </w:r>
      <w:proofErr w:type="spellEnd"/>
      <w:r w:rsidRPr="007778F6">
        <w:rPr>
          <w:rFonts w:ascii="Times New Roman" w:hAnsi="Times New Roman"/>
          <w:color w:val="000000" w:themeColor="text1"/>
          <w:sz w:val="24"/>
          <w:szCs w:val="24"/>
        </w:rPr>
        <w:t xml:space="preserve">. GRUBIODEQ (Grupo de Investigación en Biotecnología). Facultad de Ciencias Básicas. Universidad de Córdoba, </w:t>
      </w:r>
      <w:proofErr w:type="spellStart"/>
      <w:r w:rsidRPr="007778F6">
        <w:rPr>
          <w:rFonts w:ascii="Times New Roman" w:hAnsi="Times New Roman"/>
          <w:color w:val="000000" w:themeColor="text1"/>
          <w:sz w:val="24"/>
          <w:szCs w:val="24"/>
        </w:rPr>
        <w:t>Cra</w:t>
      </w:r>
      <w:proofErr w:type="spellEnd"/>
      <w:r w:rsidRPr="007778F6">
        <w:rPr>
          <w:rFonts w:ascii="Times New Roman" w:hAnsi="Times New Roman"/>
          <w:color w:val="000000" w:themeColor="text1"/>
          <w:sz w:val="24"/>
          <w:szCs w:val="24"/>
        </w:rPr>
        <w:t xml:space="preserve"> 6 Nº 74-103, Apartado aéreo 354. Montería, Córdoba-Colombia. Tel (094)7861018 </w:t>
      </w:r>
      <w:proofErr w:type="spellStart"/>
      <w:r w:rsidRPr="007778F6">
        <w:rPr>
          <w:rFonts w:ascii="Times New Roman" w:hAnsi="Times New Roman"/>
          <w:color w:val="000000" w:themeColor="text1"/>
          <w:sz w:val="24"/>
          <w:szCs w:val="24"/>
        </w:rPr>
        <w:t>Ext</w:t>
      </w:r>
      <w:proofErr w:type="spellEnd"/>
      <w:r w:rsidRPr="007778F6">
        <w:rPr>
          <w:rFonts w:ascii="Times New Roman" w:hAnsi="Times New Roman"/>
          <w:color w:val="000000" w:themeColor="text1"/>
          <w:sz w:val="24"/>
          <w:szCs w:val="24"/>
        </w:rPr>
        <w:t xml:space="preserve"> 305. (e-mail: *</w:t>
      </w:r>
      <w:hyperlink r:id="rId6" w:history="1">
        <w:r w:rsidRPr="007778F6">
          <w:rPr>
            <w:rStyle w:val="Hipervnculo"/>
            <w:rFonts w:ascii="Times New Roman" w:hAnsi="Times New Roman"/>
            <w:color w:val="000000" w:themeColor="text1"/>
            <w:sz w:val="24"/>
            <w:szCs w:val="24"/>
            <w:u w:val="none"/>
          </w:rPr>
          <w:t>lara_mantilla_cecilia@hotmail.com</w:t>
        </w:r>
      </w:hyperlink>
      <w:r w:rsidRPr="007778F6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hyperlink r:id="rId7" w:history="1">
        <w:r w:rsidRPr="007778F6">
          <w:rPr>
            <w:rStyle w:val="Hipervnculo"/>
            <w:rFonts w:ascii="Times New Roman" w:hAnsi="Times New Roman"/>
            <w:color w:val="000000" w:themeColor="text1"/>
            <w:sz w:val="24"/>
            <w:szCs w:val="24"/>
            <w:u w:val="none"/>
          </w:rPr>
          <w:t>lara.mantilla.cecilia@gmail.com</w:t>
        </w:r>
      </w:hyperlink>
      <w:r w:rsidRPr="007778F6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</w:rPr>
        <w:t>; clara@unicordoba.edu.co</w:t>
      </w:r>
    </w:p>
    <w:p w:rsidR="00631FCE" w:rsidRPr="007778F6" w:rsidRDefault="007778F6" w:rsidP="007778F6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  <w:r w:rsidRPr="007778F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7778F6">
        <w:rPr>
          <w:rFonts w:ascii="Times New Roman" w:hAnsi="Times New Roman"/>
          <w:color w:val="000000" w:themeColor="text1"/>
          <w:sz w:val="24"/>
          <w:szCs w:val="24"/>
        </w:rPr>
        <w:t xml:space="preserve">M.S.c en Biotecnología. GRUBIODEQ (Grupo de Investigación en Biotecnología). Facultad de Ciencias Básicas. Universidad de Córdoba, </w:t>
      </w:r>
      <w:proofErr w:type="spellStart"/>
      <w:r w:rsidRPr="007778F6">
        <w:rPr>
          <w:rFonts w:ascii="Times New Roman" w:hAnsi="Times New Roman"/>
          <w:color w:val="000000" w:themeColor="text1"/>
          <w:sz w:val="24"/>
          <w:szCs w:val="24"/>
        </w:rPr>
        <w:t>Cra</w:t>
      </w:r>
      <w:proofErr w:type="spellEnd"/>
      <w:r w:rsidRPr="007778F6">
        <w:rPr>
          <w:rFonts w:ascii="Times New Roman" w:hAnsi="Times New Roman"/>
          <w:color w:val="000000" w:themeColor="text1"/>
          <w:sz w:val="24"/>
          <w:szCs w:val="24"/>
        </w:rPr>
        <w:t xml:space="preserve"> 6 Nº 74-103, Apartado aéreo 354. Montería, Córdoba-Colombia. E-mail:</w:t>
      </w:r>
      <w:r w:rsidRPr="007778F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7778F6">
          <w:rPr>
            <w:rStyle w:val="Hipervnculo"/>
            <w:rFonts w:ascii="Times New Roman" w:hAnsi="Times New Roman"/>
            <w:color w:val="000000" w:themeColor="text1"/>
            <w:sz w:val="24"/>
            <w:szCs w:val="24"/>
            <w:u w:val="none"/>
          </w:rPr>
          <w:t>Jorkaett@hotmail.com</w:t>
        </w:r>
      </w:hyperlink>
      <w:r w:rsidRPr="007778F6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</w:rPr>
        <w:t>; Jorkaett14@gmail.com</w:t>
      </w:r>
    </w:p>
    <w:p w:rsidR="00907FD4" w:rsidRPr="00C84EC5" w:rsidRDefault="00907FD4" w:rsidP="006C6AC5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es-ES"/>
        </w:rPr>
      </w:pPr>
    </w:p>
    <w:p w:rsidR="00243FC9" w:rsidRPr="007778F6" w:rsidRDefault="005D3A20" w:rsidP="006C6AC5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78F6">
        <w:rPr>
          <w:rFonts w:ascii="Times New Roman" w:hAnsi="Times New Roman"/>
          <w:b/>
          <w:color w:val="000000" w:themeColor="text1"/>
          <w:sz w:val="24"/>
          <w:szCs w:val="24"/>
        </w:rPr>
        <w:t>Resumen</w:t>
      </w:r>
    </w:p>
    <w:p w:rsidR="004A177D" w:rsidRPr="00C45826" w:rsidRDefault="004A177D" w:rsidP="004A177D">
      <w:pPr>
        <w:pStyle w:val="Textonotapie"/>
        <w:jc w:val="both"/>
        <w:rPr>
          <w:rFonts w:ascii="Times New Roman" w:hAnsi="Times New Roman"/>
          <w:i/>
          <w:iCs/>
          <w:sz w:val="24"/>
          <w:szCs w:val="24"/>
        </w:rPr>
      </w:pPr>
      <w:r w:rsidRPr="00C45826">
        <w:rPr>
          <w:rFonts w:ascii="Times New Roman" w:hAnsi="Times New Roman"/>
          <w:sz w:val="24"/>
          <w:szCs w:val="24"/>
        </w:rPr>
        <w:t xml:space="preserve">El objetivo fue evaluar la capacidad solubilizadora de fosfatos de consorcios formados por bacterias nativas de los géneros </w:t>
      </w:r>
      <w:proofErr w:type="spellStart"/>
      <w:r w:rsidRPr="00C45826">
        <w:rPr>
          <w:rFonts w:ascii="Times New Roman" w:hAnsi="Times New Roman"/>
          <w:i/>
          <w:iCs/>
          <w:sz w:val="24"/>
          <w:szCs w:val="24"/>
        </w:rPr>
        <w:t>Burkholderia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5826">
        <w:rPr>
          <w:rFonts w:ascii="Times New Roman" w:hAnsi="Times New Roman"/>
          <w:i/>
          <w:iCs/>
          <w:sz w:val="24"/>
          <w:szCs w:val="24"/>
        </w:rPr>
        <w:t>cepacia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C45826">
        <w:rPr>
          <w:rFonts w:ascii="Times New Roman" w:hAnsi="Times New Roman"/>
          <w:i/>
          <w:iCs/>
          <w:sz w:val="24"/>
          <w:szCs w:val="24"/>
        </w:rPr>
        <w:t>Pseudomonas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5826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C45826">
        <w:rPr>
          <w:rFonts w:ascii="Times New Roman" w:hAnsi="Times New Roman"/>
          <w:i/>
          <w:iCs/>
          <w:sz w:val="24"/>
          <w:szCs w:val="24"/>
        </w:rPr>
        <w:t>Pseudomonas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5826">
        <w:rPr>
          <w:rFonts w:ascii="Times New Roman" w:hAnsi="Times New Roman"/>
          <w:i/>
          <w:iCs/>
          <w:sz w:val="24"/>
          <w:szCs w:val="24"/>
        </w:rPr>
        <w:t>luteola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y </w:t>
      </w:r>
      <w:proofErr w:type="spellStart"/>
      <w:r w:rsidRPr="00C45826">
        <w:rPr>
          <w:rFonts w:ascii="Times New Roman" w:hAnsi="Times New Roman"/>
          <w:i/>
          <w:iCs/>
          <w:sz w:val="24"/>
          <w:szCs w:val="24"/>
        </w:rPr>
        <w:t>Pantoea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5826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Pr="00C45826">
        <w:rPr>
          <w:rFonts w:ascii="Times New Roman" w:hAnsi="Times New Roman"/>
          <w:sz w:val="24"/>
          <w:szCs w:val="24"/>
        </w:rPr>
        <w:t>, con el fin de encontrar el más eficiente. Se realizaron pruebas de antagonismo entre las cepas</w:t>
      </w:r>
      <w:r>
        <w:rPr>
          <w:rFonts w:ascii="Times New Roman" w:hAnsi="Times New Roman"/>
          <w:sz w:val="24"/>
          <w:szCs w:val="24"/>
        </w:rPr>
        <w:t xml:space="preserve"> y </w:t>
      </w:r>
      <w:r w:rsidRPr="00C45826">
        <w:rPr>
          <w:rFonts w:ascii="Times New Roman" w:hAnsi="Times New Roman"/>
          <w:sz w:val="24"/>
          <w:szCs w:val="24"/>
        </w:rPr>
        <w:t xml:space="preserve">se formaron consorcios probando todas las </w:t>
      </w:r>
      <w:r w:rsidRPr="00C45826">
        <w:rPr>
          <w:rFonts w:ascii="Times New Roman" w:hAnsi="Times New Roman"/>
          <w:bCs/>
          <w:sz w:val="24"/>
          <w:szCs w:val="24"/>
        </w:rPr>
        <w:t>combinaciones posibles en las concentraciones de 10</w:t>
      </w:r>
      <w:r w:rsidRPr="00C45826">
        <w:rPr>
          <w:rFonts w:ascii="Times New Roman" w:hAnsi="Times New Roman"/>
          <w:bCs/>
          <w:sz w:val="24"/>
          <w:szCs w:val="24"/>
          <w:vertAlign w:val="superscript"/>
        </w:rPr>
        <w:t>6</w:t>
      </w:r>
      <w:r w:rsidRPr="00C45826">
        <w:rPr>
          <w:rFonts w:ascii="Times New Roman" w:hAnsi="Times New Roman"/>
          <w:bCs/>
          <w:sz w:val="24"/>
          <w:szCs w:val="24"/>
        </w:rPr>
        <w:t>, 10</w:t>
      </w:r>
      <w:r w:rsidRPr="00C45826">
        <w:rPr>
          <w:rFonts w:ascii="Times New Roman" w:hAnsi="Times New Roman"/>
          <w:bCs/>
          <w:sz w:val="24"/>
          <w:szCs w:val="24"/>
          <w:vertAlign w:val="superscript"/>
        </w:rPr>
        <w:t>7</w:t>
      </w:r>
      <w:r w:rsidRPr="00C45826">
        <w:rPr>
          <w:rFonts w:ascii="Times New Roman" w:hAnsi="Times New Roman"/>
          <w:bCs/>
          <w:sz w:val="24"/>
          <w:szCs w:val="24"/>
        </w:rPr>
        <w:t>, 10</w:t>
      </w:r>
      <w:r w:rsidRPr="00C45826">
        <w:rPr>
          <w:rFonts w:ascii="Times New Roman" w:hAnsi="Times New Roman"/>
          <w:bCs/>
          <w:sz w:val="24"/>
          <w:szCs w:val="24"/>
          <w:vertAlign w:val="superscript"/>
        </w:rPr>
        <w:t xml:space="preserve">8 </w:t>
      </w:r>
      <w:r w:rsidRPr="00C45826">
        <w:rPr>
          <w:rFonts w:ascii="Times New Roman" w:hAnsi="Times New Roman"/>
          <w:bCs/>
          <w:sz w:val="24"/>
          <w:szCs w:val="24"/>
        </w:rPr>
        <w:t>UFC/</w:t>
      </w:r>
      <w:proofErr w:type="spellStart"/>
      <w:r w:rsidRPr="00C45826">
        <w:rPr>
          <w:rFonts w:ascii="Times New Roman" w:hAnsi="Times New Roman"/>
          <w:bCs/>
          <w:sz w:val="24"/>
          <w:szCs w:val="24"/>
        </w:rPr>
        <w:t>mL.</w:t>
      </w:r>
      <w:proofErr w:type="spellEnd"/>
      <w:r w:rsidRPr="00C45826">
        <w:rPr>
          <w:rFonts w:ascii="Times New Roman" w:hAnsi="Times New Roman"/>
          <w:bCs/>
          <w:sz w:val="24"/>
          <w:szCs w:val="24"/>
        </w:rPr>
        <w:t xml:space="preserve"> Se realizaron evaluaciones cualitativas y cuantitativas de la solubilización de fosfatos y </w:t>
      </w:r>
      <w:r>
        <w:rPr>
          <w:rFonts w:ascii="Times New Roman" w:hAnsi="Times New Roman"/>
          <w:bCs/>
          <w:sz w:val="24"/>
          <w:szCs w:val="24"/>
        </w:rPr>
        <w:t>teniendo en cuenta éstos resultados</w:t>
      </w:r>
      <w:r w:rsidR="00D86F14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45826">
        <w:rPr>
          <w:rFonts w:ascii="Times New Roman" w:hAnsi="Times New Roman"/>
          <w:bCs/>
          <w:sz w:val="24"/>
          <w:szCs w:val="24"/>
        </w:rPr>
        <w:t>s</w:t>
      </w:r>
      <w:r w:rsidRPr="00C45826">
        <w:rPr>
          <w:rFonts w:ascii="Times New Roman" w:hAnsi="Times New Roman"/>
          <w:iCs/>
          <w:sz w:val="24"/>
          <w:szCs w:val="24"/>
        </w:rPr>
        <w:t xml:space="preserve">e preparó un </w:t>
      </w:r>
      <w:proofErr w:type="spellStart"/>
      <w:r w:rsidRPr="00C45826">
        <w:rPr>
          <w:rFonts w:ascii="Times New Roman" w:hAnsi="Times New Roman"/>
          <w:iCs/>
          <w:sz w:val="24"/>
          <w:szCs w:val="24"/>
        </w:rPr>
        <w:t>bioinoculante</w:t>
      </w:r>
      <w:proofErr w:type="spellEnd"/>
      <w:r w:rsidRPr="00C45826">
        <w:rPr>
          <w:rFonts w:ascii="Times New Roman" w:hAnsi="Times New Roman"/>
          <w:iCs/>
          <w:sz w:val="24"/>
          <w:szCs w:val="24"/>
        </w:rPr>
        <w:t xml:space="preserve"> el cual fue evaluado</w:t>
      </w:r>
      <w:r w:rsidRPr="00C45826">
        <w:rPr>
          <w:rFonts w:ascii="Times New Roman" w:hAnsi="Times New Roman"/>
          <w:sz w:val="24"/>
          <w:szCs w:val="24"/>
        </w:rPr>
        <w:t xml:space="preserve"> en semillas de plantas de pasto </w:t>
      </w:r>
      <w:proofErr w:type="spellStart"/>
      <w:r w:rsidRPr="00C45826">
        <w:rPr>
          <w:rFonts w:ascii="Times New Roman" w:hAnsi="Times New Roman"/>
          <w:sz w:val="24"/>
          <w:szCs w:val="24"/>
        </w:rPr>
        <w:t>angleton</w:t>
      </w:r>
      <w:proofErr w:type="spellEnd"/>
      <w:r w:rsidRPr="00C4582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45826">
        <w:rPr>
          <w:rFonts w:ascii="Times New Roman" w:hAnsi="Times New Roman"/>
          <w:i/>
          <w:sz w:val="24"/>
          <w:szCs w:val="24"/>
        </w:rPr>
        <w:t>Dichantium</w:t>
      </w:r>
      <w:proofErr w:type="spellEnd"/>
      <w:r w:rsidRPr="00C4582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826">
        <w:rPr>
          <w:rFonts w:ascii="Times New Roman" w:hAnsi="Times New Roman"/>
          <w:i/>
          <w:sz w:val="24"/>
          <w:szCs w:val="24"/>
        </w:rPr>
        <w:t>aristatum</w:t>
      </w:r>
      <w:proofErr w:type="spellEnd"/>
      <w:r w:rsidRPr="00C45826">
        <w:rPr>
          <w:rFonts w:ascii="Times New Roman" w:hAnsi="Times New Roman"/>
          <w:i/>
          <w:sz w:val="24"/>
          <w:szCs w:val="24"/>
        </w:rPr>
        <w:t xml:space="preserve">) </w:t>
      </w:r>
      <w:r w:rsidRPr="00C45826">
        <w:rPr>
          <w:rFonts w:ascii="Times New Roman" w:hAnsi="Times New Roman"/>
          <w:sz w:val="24"/>
          <w:szCs w:val="24"/>
        </w:rPr>
        <w:t xml:space="preserve">a escala de laboratorio, utilizando un diseño estadístico completamente al azar (DCA) con 3 tratamientos y 5 repeticiones: Tratamiento 1 semillas </w:t>
      </w:r>
      <w:r w:rsidR="009A53F6">
        <w:rPr>
          <w:rFonts w:ascii="Times New Roman" w:hAnsi="Times New Roman"/>
          <w:sz w:val="24"/>
          <w:szCs w:val="24"/>
        </w:rPr>
        <w:t>(</w:t>
      </w:r>
      <w:r w:rsidRPr="00C45826">
        <w:rPr>
          <w:rFonts w:ascii="Times New Roman" w:hAnsi="Times New Roman"/>
          <w:sz w:val="24"/>
          <w:szCs w:val="24"/>
        </w:rPr>
        <w:t>control</w:t>
      </w:r>
      <w:r w:rsidR="009A53F6">
        <w:rPr>
          <w:rFonts w:ascii="Times New Roman" w:hAnsi="Times New Roman"/>
          <w:sz w:val="24"/>
          <w:szCs w:val="24"/>
        </w:rPr>
        <w:t>)</w:t>
      </w:r>
      <w:r w:rsidRPr="00C45826">
        <w:rPr>
          <w:rFonts w:ascii="Times New Roman" w:hAnsi="Times New Roman"/>
          <w:sz w:val="24"/>
          <w:szCs w:val="24"/>
        </w:rPr>
        <w:t>, Tratamiento 2</w:t>
      </w:r>
      <w:r w:rsidR="00D019DD">
        <w:rPr>
          <w:rFonts w:ascii="Times New Roman" w:hAnsi="Times New Roman"/>
          <w:sz w:val="24"/>
          <w:szCs w:val="24"/>
        </w:rPr>
        <w:t>,</w:t>
      </w:r>
      <w:r w:rsidRPr="00C45826">
        <w:rPr>
          <w:rFonts w:ascii="Times New Roman" w:hAnsi="Times New Roman"/>
          <w:sz w:val="24"/>
          <w:szCs w:val="24"/>
        </w:rPr>
        <w:t xml:space="preserve"> semillas tratadas con </w:t>
      </w:r>
      <w:r w:rsidRPr="00C45826">
        <w:rPr>
          <w:rFonts w:ascii="Times New Roman" w:hAnsi="Times New Roman"/>
          <w:bCs/>
          <w:iCs/>
          <w:sz w:val="24"/>
          <w:szCs w:val="24"/>
        </w:rPr>
        <w:t>el consorcio de microorganismos</w:t>
      </w:r>
      <w:r w:rsidR="00D86F14">
        <w:rPr>
          <w:rFonts w:ascii="Times New Roman" w:hAnsi="Times New Roman"/>
          <w:bCs/>
          <w:iCs/>
          <w:sz w:val="24"/>
          <w:szCs w:val="24"/>
        </w:rPr>
        <w:t xml:space="preserve"> seleccionado</w:t>
      </w:r>
      <w:r w:rsidRPr="00C4582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C45826">
        <w:rPr>
          <w:rFonts w:ascii="Times New Roman" w:hAnsi="Times New Roman"/>
          <w:sz w:val="24"/>
          <w:szCs w:val="24"/>
        </w:rPr>
        <w:t>y Tratamiento 3</w:t>
      </w:r>
      <w:r w:rsidR="00D019DD">
        <w:rPr>
          <w:rFonts w:ascii="Times New Roman" w:hAnsi="Times New Roman"/>
          <w:sz w:val="24"/>
          <w:szCs w:val="24"/>
        </w:rPr>
        <w:t>,</w:t>
      </w:r>
      <w:r w:rsidRPr="00C45826">
        <w:rPr>
          <w:rFonts w:ascii="Times New Roman" w:hAnsi="Times New Roman"/>
          <w:sz w:val="24"/>
          <w:szCs w:val="24"/>
        </w:rPr>
        <w:t xml:space="preserve"> semillas tratadas con fertilizantes comerciales DAP y Urea. Se evaluaron las variables número de hojas, área foliar, longitud de la planta, longitud de la raíz y peso seco de todas las plantas. Lo</w:t>
      </w:r>
      <w:r>
        <w:rPr>
          <w:rFonts w:ascii="Times New Roman" w:hAnsi="Times New Roman"/>
          <w:sz w:val="24"/>
          <w:szCs w:val="24"/>
        </w:rPr>
        <w:t>s</w:t>
      </w:r>
      <w:r w:rsidRPr="00C45826">
        <w:rPr>
          <w:rFonts w:ascii="Times New Roman" w:hAnsi="Times New Roman"/>
          <w:sz w:val="24"/>
          <w:szCs w:val="24"/>
        </w:rPr>
        <w:t xml:space="preserve"> resultados </w:t>
      </w:r>
      <w:r>
        <w:rPr>
          <w:rFonts w:ascii="Times New Roman" w:hAnsi="Times New Roman"/>
          <w:sz w:val="24"/>
          <w:szCs w:val="24"/>
        </w:rPr>
        <w:t xml:space="preserve">de la prueba de antagonismo </w:t>
      </w:r>
      <w:r w:rsidRPr="00C45826">
        <w:rPr>
          <w:rFonts w:ascii="Times New Roman" w:hAnsi="Times New Roman"/>
          <w:sz w:val="24"/>
          <w:szCs w:val="24"/>
        </w:rPr>
        <w:t>indicaron que no existe inhibición en el crecimiento de las cepas evaluadas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por lo tanto </w:t>
      </w:r>
      <w:r w:rsidRPr="00C45826">
        <w:rPr>
          <w:rFonts w:ascii="Times New Roman" w:hAnsi="Times New Roman"/>
          <w:bCs/>
          <w:sz w:val="24"/>
          <w:szCs w:val="24"/>
        </w:rPr>
        <w:t>se formaron consorcios los cuales mostraron mayor eficiencia en la solubilización del fó</w:t>
      </w:r>
      <w:r>
        <w:rPr>
          <w:rFonts w:ascii="Times New Roman" w:hAnsi="Times New Roman"/>
          <w:bCs/>
          <w:sz w:val="24"/>
          <w:szCs w:val="24"/>
        </w:rPr>
        <w:t>sforo, destacándose</w:t>
      </w:r>
      <w:r w:rsidRPr="004E2808">
        <w:rPr>
          <w:rFonts w:ascii="Times New Roman" w:hAnsi="Times New Roman"/>
          <w:bCs/>
          <w:sz w:val="24"/>
          <w:szCs w:val="24"/>
        </w:rPr>
        <w:t xml:space="preserve"> </w:t>
      </w:r>
      <w:r w:rsidRPr="00C45826">
        <w:rPr>
          <w:rFonts w:ascii="Times New Roman" w:hAnsi="Times New Roman"/>
          <w:bCs/>
          <w:sz w:val="24"/>
          <w:szCs w:val="24"/>
        </w:rPr>
        <w:t xml:space="preserve">el consorcio </w:t>
      </w:r>
      <w:r w:rsidRPr="00C45826">
        <w:rPr>
          <w:rFonts w:ascii="Times New Roman" w:hAnsi="Times New Roman"/>
          <w:bCs/>
          <w:sz w:val="24"/>
          <w:szCs w:val="24"/>
        </w:rPr>
        <w:lastRenderedPageBreak/>
        <w:t xml:space="preserve">formado por </w:t>
      </w:r>
      <w:proofErr w:type="spellStart"/>
      <w:r w:rsidRPr="00C45826">
        <w:rPr>
          <w:rFonts w:ascii="Times New Roman" w:hAnsi="Times New Roman"/>
          <w:i/>
          <w:iCs/>
          <w:sz w:val="24"/>
          <w:szCs w:val="24"/>
        </w:rPr>
        <w:t>Pantoea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956B1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+ </w:t>
      </w:r>
      <w:proofErr w:type="spellStart"/>
      <w:r w:rsidRPr="00C45826">
        <w:rPr>
          <w:rFonts w:ascii="Times New Roman" w:hAnsi="Times New Roman"/>
          <w:i/>
          <w:iCs/>
          <w:sz w:val="24"/>
          <w:szCs w:val="24"/>
        </w:rPr>
        <w:t>Pseudomonas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956B1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a una concentración de 10</w:t>
      </w:r>
      <w:r w:rsidRPr="00E956B1">
        <w:rPr>
          <w:rFonts w:ascii="Times New Roman" w:hAnsi="Times New Roman"/>
          <w:iCs/>
          <w:sz w:val="24"/>
          <w:szCs w:val="24"/>
          <w:vertAlign w:val="superscript"/>
        </w:rPr>
        <w:t>8</w:t>
      </w:r>
      <w:r>
        <w:rPr>
          <w:rFonts w:ascii="Times New Roman" w:hAnsi="Times New Roman"/>
          <w:iCs/>
          <w:sz w:val="24"/>
          <w:szCs w:val="24"/>
        </w:rPr>
        <w:t xml:space="preserve"> UFC/</w:t>
      </w:r>
      <w:proofErr w:type="spellStart"/>
      <w:r>
        <w:rPr>
          <w:rFonts w:ascii="Times New Roman" w:hAnsi="Times New Roman"/>
          <w:iCs/>
          <w:sz w:val="24"/>
          <w:szCs w:val="24"/>
        </w:rPr>
        <w:t>mL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y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45826">
        <w:rPr>
          <w:rFonts w:ascii="Times New Roman" w:hAnsi="Times New Roman"/>
          <w:bCs/>
          <w:sz w:val="24"/>
          <w:szCs w:val="24"/>
        </w:rPr>
        <w:t>con índices de solubilización de 5,3 y 842 ppm</w:t>
      </w:r>
      <w:r w:rsidRPr="00C45826">
        <w:rPr>
          <w:rFonts w:ascii="Times New Roman" w:hAnsi="Times New Roman"/>
          <w:i/>
          <w:iCs/>
          <w:sz w:val="24"/>
          <w:szCs w:val="24"/>
        </w:rPr>
        <w:t>.</w:t>
      </w:r>
      <w:r w:rsidRPr="00C45826">
        <w:rPr>
          <w:rFonts w:ascii="Times New Roman" w:hAnsi="Times New Roman"/>
          <w:sz w:val="24"/>
          <w:szCs w:val="24"/>
        </w:rPr>
        <w:t xml:space="preserve"> </w:t>
      </w:r>
      <w:r w:rsidR="00C47CC8" w:rsidRPr="00C45826">
        <w:rPr>
          <w:rFonts w:ascii="Times New Roman" w:hAnsi="Times New Roman"/>
          <w:sz w:val="24"/>
          <w:szCs w:val="24"/>
        </w:rPr>
        <w:t>En las plantas s</w:t>
      </w:r>
      <w:r w:rsidR="00C47CC8">
        <w:rPr>
          <w:rFonts w:ascii="Times New Roman" w:hAnsi="Times New Roman"/>
          <w:sz w:val="24"/>
          <w:szCs w:val="24"/>
        </w:rPr>
        <w:t>e</w:t>
      </w:r>
      <w:r w:rsidR="00C47CC8" w:rsidRPr="00C45826">
        <w:rPr>
          <w:rFonts w:ascii="Times New Roman" w:hAnsi="Times New Roman"/>
          <w:sz w:val="24"/>
          <w:szCs w:val="24"/>
        </w:rPr>
        <w:t xml:space="preserve"> evidenci</w:t>
      </w:r>
      <w:r w:rsidR="00C47CC8">
        <w:rPr>
          <w:rFonts w:ascii="Times New Roman" w:hAnsi="Times New Roman"/>
          <w:sz w:val="24"/>
          <w:szCs w:val="24"/>
        </w:rPr>
        <w:t>ó</w:t>
      </w:r>
      <w:r w:rsidR="00C47CC8" w:rsidRPr="00C45826">
        <w:rPr>
          <w:rFonts w:ascii="Times New Roman" w:hAnsi="Times New Roman"/>
          <w:sz w:val="24"/>
          <w:szCs w:val="24"/>
        </w:rPr>
        <w:t xml:space="preserve"> un incremento significativo en </w:t>
      </w:r>
      <w:r w:rsidR="00C47CC8">
        <w:rPr>
          <w:rFonts w:ascii="Times New Roman" w:hAnsi="Times New Roman"/>
          <w:sz w:val="24"/>
          <w:szCs w:val="24"/>
        </w:rPr>
        <w:t xml:space="preserve">los parámetros </w:t>
      </w:r>
      <w:r w:rsidR="00C47CC8" w:rsidRPr="00C45826">
        <w:rPr>
          <w:rFonts w:ascii="Times New Roman" w:hAnsi="Times New Roman"/>
          <w:sz w:val="24"/>
          <w:szCs w:val="24"/>
        </w:rPr>
        <w:t>peso seco y área foliar</w:t>
      </w:r>
      <w:r w:rsidR="00C47CC8">
        <w:rPr>
          <w:rFonts w:ascii="Times New Roman" w:hAnsi="Times New Roman"/>
          <w:sz w:val="24"/>
          <w:szCs w:val="24"/>
        </w:rPr>
        <w:t xml:space="preserve"> usando el consorcio microbiano</w:t>
      </w:r>
      <w:r w:rsidR="00C47CC8" w:rsidRPr="00C45826">
        <w:rPr>
          <w:rFonts w:ascii="Times New Roman" w:hAnsi="Times New Roman"/>
          <w:sz w:val="24"/>
          <w:szCs w:val="24"/>
        </w:rPr>
        <w:t xml:space="preserve">, </w:t>
      </w:r>
      <w:r w:rsidR="00C47CC8">
        <w:rPr>
          <w:rFonts w:ascii="Times New Roman" w:hAnsi="Times New Roman"/>
          <w:sz w:val="24"/>
          <w:szCs w:val="24"/>
        </w:rPr>
        <w:t xml:space="preserve">indicando mayor beneficio en comparación </w:t>
      </w:r>
      <w:r w:rsidR="00C47CC8" w:rsidRPr="00C45826">
        <w:rPr>
          <w:rFonts w:ascii="Times New Roman" w:hAnsi="Times New Roman"/>
          <w:sz w:val="24"/>
          <w:szCs w:val="24"/>
        </w:rPr>
        <w:t xml:space="preserve">con </w:t>
      </w:r>
      <w:r w:rsidR="00C47CC8">
        <w:rPr>
          <w:rFonts w:ascii="Times New Roman" w:hAnsi="Times New Roman"/>
          <w:sz w:val="24"/>
          <w:szCs w:val="24"/>
        </w:rPr>
        <w:t xml:space="preserve">el </w:t>
      </w:r>
      <w:r w:rsidR="00C47CC8" w:rsidRPr="00C45826">
        <w:rPr>
          <w:rFonts w:ascii="Times New Roman" w:hAnsi="Times New Roman"/>
          <w:sz w:val="24"/>
          <w:szCs w:val="24"/>
        </w:rPr>
        <w:t>control</w:t>
      </w:r>
      <w:r>
        <w:rPr>
          <w:rFonts w:ascii="Times New Roman" w:hAnsi="Times New Roman"/>
          <w:sz w:val="24"/>
          <w:szCs w:val="24"/>
        </w:rPr>
        <w:t>.</w:t>
      </w:r>
      <w:r w:rsidRPr="00C45826">
        <w:rPr>
          <w:rFonts w:ascii="Times New Roman" w:hAnsi="Times New Roman"/>
          <w:sz w:val="24"/>
          <w:szCs w:val="24"/>
        </w:rPr>
        <w:t xml:space="preserve"> </w:t>
      </w:r>
    </w:p>
    <w:p w:rsidR="00153183" w:rsidRDefault="00153183" w:rsidP="006C6AC5">
      <w:pPr>
        <w:pStyle w:val="Textonotapie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es-CO"/>
        </w:rPr>
      </w:pPr>
    </w:p>
    <w:p w:rsidR="004A177D" w:rsidRPr="00153183" w:rsidRDefault="004A177D" w:rsidP="006C6AC5">
      <w:pPr>
        <w:pStyle w:val="Textonotapie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294733" w:rsidRPr="003C7D9D" w:rsidRDefault="00294733" w:rsidP="006C6AC5">
      <w:pPr>
        <w:tabs>
          <w:tab w:val="left" w:pos="720"/>
        </w:tabs>
        <w:autoSpaceDE w:val="0"/>
        <w:autoSpaceDN w:val="0"/>
        <w:adjustRightInd w:val="0"/>
        <w:spacing w:line="240" w:lineRule="auto"/>
        <w:ind w:right="1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C7D9D">
        <w:rPr>
          <w:rFonts w:ascii="Times New Roman" w:hAnsi="Times New Roman"/>
          <w:b/>
          <w:color w:val="000000"/>
          <w:sz w:val="24"/>
          <w:szCs w:val="24"/>
        </w:rPr>
        <w:t xml:space="preserve">Palabras clave: </w:t>
      </w:r>
      <w:proofErr w:type="spellStart"/>
      <w:r w:rsidRPr="003C7D9D">
        <w:rPr>
          <w:rFonts w:ascii="Times New Roman" w:hAnsi="Times New Roman"/>
          <w:i/>
          <w:iCs/>
          <w:sz w:val="24"/>
          <w:szCs w:val="24"/>
        </w:rPr>
        <w:t>Burkholderia</w:t>
      </w:r>
      <w:proofErr w:type="spellEnd"/>
      <w:r w:rsidRPr="003C7D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C7D9D">
        <w:rPr>
          <w:rFonts w:ascii="Times New Roman" w:hAnsi="Times New Roman"/>
          <w:i/>
          <w:iCs/>
          <w:sz w:val="24"/>
          <w:szCs w:val="24"/>
        </w:rPr>
        <w:t>cepacia</w:t>
      </w:r>
      <w:proofErr w:type="spellEnd"/>
      <w:r w:rsidRPr="003C7D9D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C7D9D">
        <w:rPr>
          <w:rFonts w:ascii="Times New Roman" w:hAnsi="Times New Roman"/>
          <w:i/>
          <w:iCs/>
          <w:sz w:val="24"/>
          <w:szCs w:val="24"/>
        </w:rPr>
        <w:t>Pseudomona</w:t>
      </w:r>
      <w:r w:rsidR="004A177D"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r w:rsidRPr="003C7D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C7D9D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Pr="003C7D9D">
        <w:rPr>
          <w:rFonts w:ascii="Times New Roman" w:hAnsi="Times New Roman"/>
          <w:iCs/>
          <w:sz w:val="24"/>
          <w:szCs w:val="24"/>
        </w:rPr>
        <w:t>,</w:t>
      </w:r>
      <w:r w:rsidR="001531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53183">
        <w:rPr>
          <w:rFonts w:ascii="Times New Roman" w:hAnsi="Times New Roman"/>
          <w:i/>
          <w:iCs/>
          <w:sz w:val="24"/>
          <w:szCs w:val="24"/>
        </w:rPr>
        <w:t>Pseudomona</w:t>
      </w:r>
      <w:r w:rsidR="004A177D"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r w:rsidR="001531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53183">
        <w:rPr>
          <w:rFonts w:ascii="Times New Roman" w:hAnsi="Times New Roman"/>
          <w:i/>
          <w:iCs/>
          <w:sz w:val="24"/>
          <w:szCs w:val="24"/>
        </w:rPr>
        <w:t>luteola</w:t>
      </w:r>
      <w:proofErr w:type="spellEnd"/>
      <w:r w:rsidR="00153183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3C7D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C7D9D">
        <w:rPr>
          <w:rFonts w:ascii="Times New Roman" w:hAnsi="Times New Roman"/>
          <w:i/>
          <w:iCs/>
          <w:sz w:val="24"/>
          <w:szCs w:val="24"/>
        </w:rPr>
        <w:t>Pantoea</w:t>
      </w:r>
      <w:proofErr w:type="spellEnd"/>
      <w:r w:rsidRPr="003C7D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C7D9D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Pr="003C7D9D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3C7D9D">
        <w:rPr>
          <w:rFonts w:ascii="Times New Roman" w:hAnsi="Times New Roman"/>
          <w:color w:val="000000"/>
          <w:sz w:val="24"/>
          <w:szCs w:val="24"/>
        </w:rPr>
        <w:t>bioinoculante</w:t>
      </w:r>
      <w:proofErr w:type="spellEnd"/>
      <w:r w:rsidR="0063742F">
        <w:rPr>
          <w:rFonts w:ascii="Times New Roman" w:hAnsi="Times New Roman"/>
          <w:sz w:val="24"/>
          <w:szCs w:val="24"/>
        </w:rPr>
        <w:t>.</w:t>
      </w:r>
      <w:r w:rsidR="0063742F" w:rsidRPr="003C7D9D">
        <w:rPr>
          <w:rFonts w:ascii="Times New Roman" w:hAnsi="Times New Roman"/>
          <w:sz w:val="24"/>
          <w:szCs w:val="24"/>
        </w:rPr>
        <w:t xml:space="preserve"> </w:t>
      </w:r>
    </w:p>
    <w:p w:rsidR="00527A5F" w:rsidRPr="005A3401" w:rsidRDefault="00527A5F" w:rsidP="006C6AC5">
      <w:pPr>
        <w:tabs>
          <w:tab w:val="left" w:pos="720"/>
        </w:tabs>
        <w:autoSpaceDE w:val="0"/>
        <w:autoSpaceDN w:val="0"/>
        <w:adjustRightInd w:val="0"/>
        <w:spacing w:line="240" w:lineRule="auto"/>
        <w:ind w:right="1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294733" w:rsidRPr="003C7D9D" w:rsidRDefault="0063742F" w:rsidP="006C6AC5">
      <w:pPr>
        <w:tabs>
          <w:tab w:val="left" w:pos="720"/>
        </w:tabs>
        <w:autoSpaceDE w:val="0"/>
        <w:autoSpaceDN w:val="0"/>
        <w:adjustRightInd w:val="0"/>
        <w:spacing w:line="240" w:lineRule="auto"/>
        <w:ind w:right="18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060D8B" w:rsidRDefault="004F0271" w:rsidP="00707686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53183">
        <w:rPr>
          <w:rFonts w:ascii="Times New Roman" w:hAnsi="Times New Roman"/>
          <w:sz w:val="24"/>
          <w:szCs w:val="24"/>
          <w:lang w:val="en-US"/>
        </w:rPr>
        <w:t xml:space="preserve">The objective was to evaluate the ability of phosphate </w:t>
      </w:r>
      <w:proofErr w:type="spellStart"/>
      <w:r w:rsidRPr="00153183">
        <w:rPr>
          <w:rFonts w:ascii="Times New Roman" w:hAnsi="Times New Roman"/>
          <w:sz w:val="24"/>
          <w:szCs w:val="24"/>
          <w:lang w:val="en-US"/>
        </w:rPr>
        <w:t>solubilizing</w:t>
      </w:r>
      <w:proofErr w:type="spellEnd"/>
      <w:r w:rsidRPr="00153183">
        <w:rPr>
          <w:rFonts w:ascii="Times New Roman" w:hAnsi="Times New Roman"/>
          <w:sz w:val="24"/>
          <w:szCs w:val="24"/>
          <w:lang w:val="en-US"/>
        </w:rPr>
        <w:t xml:space="preserve"> consortium of native bacteria of the </w:t>
      </w:r>
      <w:r w:rsidRPr="00A670A5">
        <w:rPr>
          <w:rStyle w:val="nf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  <w:lang w:val="en-US"/>
        </w:rPr>
        <w:t>genus</w:t>
      </w:r>
      <w:r w:rsidRPr="001531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70A5">
        <w:rPr>
          <w:rFonts w:ascii="Times New Roman" w:hAnsi="Times New Roman"/>
          <w:i/>
          <w:sz w:val="24"/>
          <w:szCs w:val="24"/>
          <w:lang w:val="en-US"/>
        </w:rPr>
        <w:t>Burkholderia</w:t>
      </w:r>
      <w:proofErr w:type="spellEnd"/>
      <w:r w:rsidRPr="00A670A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A670A5">
        <w:rPr>
          <w:rFonts w:ascii="Times New Roman" w:hAnsi="Times New Roman"/>
          <w:i/>
          <w:sz w:val="24"/>
          <w:szCs w:val="24"/>
          <w:lang w:val="en-US"/>
        </w:rPr>
        <w:t>cepacia</w:t>
      </w:r>
      <w:proofErr w:type="spellEnd"/>
      <w:r w:rsidRPr="0015318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670A5">
        <w:rPr>
          <w:rFonts w:ascii="Times New Roman" w:hAnsi="Times New Roman"/>
          <w:i/>
          <w:sz w:val="24"/>
          <w:szCs w:val="24"/>
          <w:lang w:val="en-US"/>
        </w:rPr>
        <w:t xml:space="preserve">Pseudomonas </w:t>
      </w:r>
      <w:r w:rsidRPr="00A670A5">
        <w:rPr>
          <w:rFonts w:ascii="Times New Roman" w:hAnsi="Times New Roman"/>
          <w:sz w:val="24"/>
          <w:szCs w:val="24"/>
          <w:lang w:val="en-US"/>
        </w:rPr>
        <w:t>sp</w:t>
      </w:r>
      <w:r w:rsidRPr="0015318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670A5">
        <w:rPr>
          <w:rFonts w:ascii="Times New Roman" w:hAnsi="Times New Roman"/>
          <w:i/>
          <w:sz w:val="24"/>
          <w:szCs w:val="24"/>
          <w:lang w:val="en-US"/>
        </w:rPr>
        <w:t xml:space="preserve">Pseudomonas </w:t>
      </w:r>
      <w:proofErr w:type="spellStart"/>
      <w:r w:rsidRPr="00A670A5">
        <w:rPr>
          <w:rFonts w:ascii="Times New Roman" w:hAnsi="Times New Roman"/>
          <w:i/>
          <w:sz w:val="24"/>
          <w:szCs w:val="24"/>
          <w:lang w:val="en-US"/>
        </w:rPr>
        <w:t>luteola</w:t>
      </w:r>
      <w:proofErr w:type="spellEnd"/>
      <w:r w:rsidRPr="00153183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Pr="00A670A5">
        <w:rPr>
          <w:rFonts w:ascii="Times New Roman" w:hAnsi="Times New Roman"/>
          <w:i/>
          <w:sz w:val="24"/>
          <w:szCs w:val="24"/>
          <w:lang w:val="en-US"/>
        </w:rPr>
        <w:t>Pantoea</w:t>
      </w:r>
      <w:proofErr w:type="spellEnd"/>
      <w:r w:rsidRPr="00A670A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A670A5">
        <w:rPr>
          <w:rFonts w:ascii="Times New Roman" w:hAnsi="Times New Roman"/>
          <w:sz w:val="24"/>
          <w:szCs w:val="24"/>
          <w:lang w:val="en-US"/>
        </w:rPr>
        <w:t>sp</w:t>
      </w:r>
      <w:r w:rsidRPr="00153183">
        <w:rPr>
          <w:rFonts w:ascii="Times New Roman" w:hAnsi="Times New Roman"/>
          <w:sz w:val="24"/>
          <w:szCs w:val="24"/>
          <w:lang w:val="en-US"/>
        </w:rPr>
        <w:t xml:space="preserve">, in order to find the most efficient. </w:t>
      </w:r>
      <w:r w:rsidRPr="00A670A5">
        <w:rPr>
          <w:rFonts w:ascii="Times New Roman" w:hAnsi="Times New Roman"/>
          <w:sz w:val="24"/>
          <w:szCs w:val="24"/>
          <w:lang w:val="en-US"/>
        </w:rPr>
        <w:t xml:space="preserve">Antagonism tests were conducted between strains and consortia </w:t>
      </w:r>
      <w:r>
        <w:rPr>
          <w:rFonts w:ascii="Times New Roman" w:hAnsi="Times New Roman"/>
          <w:sz w:val="24"/>
          <w:szCs w:val="24"/>
          <w:lang w:val="en-US"/>
        </w:rPr>
        <w:t xml:space="preserve">were </w:t>
      </w:r>
      <w:r w:rsidRPr="00A670A5">
        <w:rPr>
          <w:rFonts w:ascii="Times New Roman" w:hAnsi="Times New Roman"/>
          <w:sz w:val="24"/>
          <w:szCs w:val="24"/>
          <w:lang w:val="en-US"/>
        </w:rPr>
        <w:t xml:space="preserve">formed </w:t>
      </w:r>
      <w:r>
        <w:rPr>
          <w:rFonts w:ascii="Times New Roman" w:hAnsi="Times New Roman"/>
          <w:sz w:val="24"/>
          <w:szCs w:val="24"/>
          <w:lang w:val="en-US"/>
        </w:rPr>
        <w:t>using</w:t>
      </w:r>
      <w:r w:rsidRPr="00A670A5">
        <w:rPr>
          <w:rFonts w:ascii="Times New Roman" w:hAnsi="Times New Roman"/>
          <w:sz w:val="24"/>
          <w:szCs w:val="24"/>
          <w:lang w:val="en-US"/>
        </w:rPr>
        <w:t xml:space="preserve"> all possible combinations in the concentrations of 10</w:t>
      </w:r>
      <w:r w:rsidRPr="00A670A5">
        <w:rPr>
          <w:rFonts w:ascii="Times New Roman" w:hAnsi="Times New Roman"/>
          <w:sz w:val="24"/>
          <w:szCs w:val="24"/>
          <w:vertAlign w:val="superscript"/>
          <w:lang w:val="en-US"/>
        </w:rPr>
        <w:t>6</w:t>
      </w:r>
      <w:r w:rsidRPr="00A670A5">
        <w:rPr>
          <w:rFonts w:ascii="Times New Roman" w:hAnsi="Times New Roman"/>
          <w:sz w:val="24"/>
          <w:szCs w:val="24"/>
          <w:lang w:val="en-US"/>
        </w:rPr>
        <w:t>, 10</w:t>
      </w:r>
      <w:r w:rsidRPr="00A670A5">
        <w:rPr>
          <w:rFonts w:ascii="Times New Roman" w:hAnsi="Times New Roman"/>
          <w:sz w:val="24"/>
          <w:szCs w:val="24"/>
          <w:vertAlign w:val="superscript"/>
          <w:lang w:val="en-US"/>
        </w:rPr>
        <w:t>7</w:t>
      </w:r>
      <w:r w:rsidRPr="00A670A5">
        <w:rPr>
          <w:rFonts w:ascii="Times New Roman" w:hAnsi="Times New Roman"/>
          <w:sz w:val="24"/>
          <w:szCs w:val="24"/>
          <w:lang w:val="en-US"/>
        </w:rPr>
        <w:t>, 10</w:t>
      </w:r>
      <w:r w:rsidRPr="00A670A5">
        <w:rPr>
          <w:rFonts w:ascii="Times New Roman" w:hAnsi="Times New Roman"/>
          <w:sz w:val="24"/>
          <w:szCs w:val="24"/>
          <w:vertAlign w:val="superscript"/>
          <w:lang w:val="en-US"/>
        </w:rPr>
        <w:t>8</w:t>
      </w:r>
      <w:r w:rsidRPr="00A670A5">
        <w:rPr>
          <w:rFonts w:ascii="Times New Roman" w:hAnsi="Times New Roman"/>
          <w:sz w:val="24"/>
          <w:szCs w:val="24"/>
          <w:lang w:val="en-US"/>
        </w:rPr>
        <w:t xml:space="preserve"> CFU / </w:t>
      </w:r>
      <w:proofErr w:type="spellStart"/>
      <w:r w:rsidRPr="00A670A5">
        <w:rPr>
          <w:rFonts w:ascii="Times New Roman" w:hAnsi="Times New Roman"/>
          <w:sz w:val="24"/>
          <w:szCs w:val="24"/>
          <w:lang w:val="en-US"/>
        </w:rPr>
        <w:t>mL</w:t>
      </w:r>
      <w:r w:rsidR="00153183" w:rsidRPr="00153183">
        <w:rPr>
          <w:rFonts w:ascii="Times New Roman" w:hAnsi="Times New Roman"/>
          <w:sz w:val="24"/>
          <w:szCs w:val="24"/>
          <w:lang w:val="en-US"/>
        </w:rPr>
        <w:t>.</w:t>
      </w:r>
      <w:proofErr w:type="spellEnd"/>
      <w:r w:rsidR="00153183" w:rsidRPr="0015318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60D8B" w:rsidRPr="00A24664">
        <w:rPr>
          <w:rFonts w:ascii="Times New Roman" w:hAnsi="Times New Roman"/>
          <w:sz w:val="24"/>
          <w:szCs w:val="24"/>
          <w:lang w:val="en-US"/>
        </w:rPr>
        <w:t xml:space="preserve">Qualitative and quantitative determinations of the </w:t>
      </w:r>
      <w:proofErr w:type="spellStart"/>
      <w:r w:rsidR="00060D8B" w:rsidRPr="00A24664">
        <w:rPr>
          <w:rFonts w:ascii="Times New Roman" w:hAnsi="Times New Roman"/>
          <w:sz w:val="24"/>
          <w:szCs w:val="24"/>
          <w:lang w:val="en-US"/>
        </w:rPr>
        <w:t>solubilization</w:t>
      </w:r>
      <w:proofErr w:type="spellEnd"/>
      <w:r w:rsidR="00060D8B" w:rsidRPr="00A24664">
        <w:rPr>
          <w:rFonts w:ascii="Times New Roman" w:hAnsi="Times New Roman"/>
          <w:sz w:val="24"/>
          <w:szCs w:val="24"/>
          <w:lang w:val="en-US"/>
        </w:rPr>
        <w:t xml:space="preserve"> of phosphates were performed and considering these results,</w:t>
      </w:r>
      <w:r w:rsidR="00060D8B">
        <w:rPr>
          <w:rFonts w:ascii="Times New Roman" w:hAnsi="Times New Roman"/>
          <w:sz w:val="24"/>
          <w:szCs w:val="24"/>
          <w:lang w:val="en-US"/>
        </w:rPr>
        <w:t xml:space="preserve"> was prepared a </w:t>
      </w:r>
      <w:r w:rsidR="00060D8B" w:rsidRPr="00A24664">
        <w:rPr>
          <w:rFonts w:ascii="Times New Roman" w:hAnsi="Times New Roman"/>
          <w:sz w:val="24"/>
          <w:szCs w:val="24"/>
          <w:lang w:val="en-US"/>
        </w:rPr>
        <w:t>bio</w:t>
      </w:r>
      <w:r w:rsidR="00060D8B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="00060D8B" w:rsidRPr="00A24664">
        <w:rPr>
          <w:rFonts w:ascii="Times New Roman" w:hAnsi="Times New Roman"/>
          <w:sz w:val="24"/>
          <w:szCs w:val="24"/>
          <w:lang w:val="en-US"/>
        </w:rPr>
        <w:t>inoculant</w:t>
      </w:r>
      <w:proofErr w:type="spellEnd"/>
      <w:r w:rsidR="00060D8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60D8B" w:rsidRPr="00A24664">
        <w:rPr>
          <w:rFonts w:ascii="Times New Roman" w:hAnsi="Times New Roman"/>
          <w:sz w:val="24"/>
          <w:szCs w:val="24"/>
          <w:lang w:val="en-US"/>
        </w:rPr>
        <w:t xml:space="preserve">which was evaluated in plant seeds of grass </w:t>
      </w:r>
      <w:proofErr w:type="spellStart"/>
      <w:r w:rsidR="00060D8B" w:rsidRPr="00A24664">
        <w:rPr>
          <w:rFonts w:ascii="Times New Roman" w:hAnsi="Times New Roman"/>
          <w:sz w:val="24"/>
          <w:szCs w:val="24"/>
          <w:lang w:val="en-US"/>
        </w:rPr>
        <w:t>angleton</w:t>
      </w:r>
      <w:proofErr w:type="spellEnd"/>
      <w:r w:rsidR="00060D8B" w:rsidRPr="00A24664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060D8B" w:rsidRPr="00A24664">
        <w:rPr>
          <w:rFonts w:ascii="Times New Roman" w:hAnsi="Times New Roman"/>
          <w:sz w:val="24"/>
          <w:szCs w:val="24"/>
          <w:lang w:val="en-US"/>
        </w:rPr>
        <w:t>Dichantium</w:t>
      </w:r>
      <w:proofErr w:type="spellEnd"/>
      <w:r w:rsidR="00060D8B" w:rsidRPr="00A246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60D8B" w:rsidRPr="00A24664">
        <w:rPr>
          <w:rFonts w:ascii="Times New Roman" w:hAnsi="Times New Roman"/>
          <w:sz w:val="24"/>
          <w:szCs w:val="24"/>
          <w:lang w:val="en-US"/>
        </w:rPr>
        <w:t>aristatum</w:t>
      </w:r>
      <w:proofErr w:type="spellEnd"/>
      <w:r w:rsidR="00060D8B" w:rsidRPr="00A24664">
        <w:rPr>
          <w:rFonts w:ascii="Times New Roman" w:hAnsi="Times New Roman"/>
          <w:sz w:val="24"/>
          <w:szCs w:val="24"/>
          <w:lang w:val="en-US"/>
        </w:rPr>
        <w:t>) laboratory scale</w:t>
      </w:r>
      <w:r w:rsidR="009A53F6">
        <w:rPr>
          <w:rFonts w:ascii="Times New Roman" w:hAnsi="Times New Roman"/>
          <w:sz w:val="24"/>
          <w:szCs w:val="24"/>
          <w:lang w:val="en-US"/>
        </w:rPr>
        <w:t>,</w:t>
      </w:r>
      <w:r w:rsidR="00060D8B" w:rsidRPr="00A24664">
        <w:rPr>
          <w:rFonts w:ascii="Times New Roman" w:hAnsi="Times New Roman"/>
          <w:sz w:val="24"/>
          <w:szCs w:val="24"/>
          <w:lang w:val="en-US"/>
        </w:rPr>
        <w:t xml:space="preserve"> using a statistical completely randomized design (CRD) with 3 treatments and 5 repetitions: </w:t>
      </w:r>
      <w:r w:rsidR="0035635A">
        <w:rPr>
          <w:rFonts w:ascii="Times New Roman" w:hAnsi="Times New Roman"/>
          <w:sz w:val="24"/>
          <w:szCs w:val="24"/>
          <w:lang w:val="en-US"/>
        </w:rPr>
        <w:t xml:space="preserve">control </w:t>
      </w:r>
      <w:r w:rsidR="00060D8B" w:rsidRPr="00A24664">
        <w:rPr>
          <w:rFonts w:ascii="Times New Roman" w:hAnsi="Times New Roman"/>
          <w:sz w:val="24"/>
          <w:szCs w:val="24"/>
          <w:lang w:val="en-US"/>
        </w:rPr>
        <w:t>Treatment 1 seeds</w:t>
      </w:r>
      <w:r w:rsidR="00D019DD">
        <w:rPr>
          <w:rFonts w:ascii="Times New Roman" w:hAnsi="Times New Roman"/>
          <w:sz w:val="24"/>
          <w:szCs w:val="24"/>
          <w:lang w:val="en-US"/>
        </w:rPr>
        <w:t>;</w:t>
      </w:r>
      <w:r w:rsidR="00060D8B" w:rsidRPr="00A24664">
        <w:rPr>
          <w:rFonts w:ascii="Times New Roman" w:hAnsi="Times New Roman"/>
          <w:sz w:val="24"/>
          <w:szCs w:val="24"/>
          <w:lang w:val="en-US"/>
        </w:rPr>
        <w:t xml:space="preserve"> Treatment 2</w:t>
      </w:r>
      <w:r w:rsidR="00D019DD">
        <w:rPr>
          <w:rFonts w:ascii="Times New Roman" w:hAnsi="Times New Roman"/>
          <w:sz w:val="24"/>
          <w:szCs w:val="24"/>
          <w:lang w:val="en-US"/>
        </w:rPr>
        <w:t>,</w:t>
      </w:r>
      <w:r w:rsidR="00060D8B" w:rsidRPr="00A24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07B63" w:rsidRPr="00A24664">
        <w:rPr>
          <w:rFonts w:ascii="Times New Roman" w:hAnsi="Times New Roman"/>
          <w:sz w:val="24"/>
          <w:szCs w:val="24"/>
          <w:lang w:val="en-US"/>
        </w:rPr>
        <w:t xml:space="preserve">seeds </w:t>
      </w:r>
      <w:r w:rsidR="00060D8B" w:rsidRPr="00A24664">
        <w:rPr>
          <w:rFonts w:ascii="Times New Roman" w:hAnsi="Times New Roman"/>
          <w:sz w:val="24"/>
          <w:szCs w:val="24"/>
          <w:lang w:val="en-US"/>
        </w:rPr>
        <w:t xml:space="preserve">treated with the consortium of microorganisms </w:t>
      </w:r>
      <w:r w:rsidR="00807B63" w:rsidRPr="00807B63">
        <w:rPr>
          <w:rFonts w:ascii="Times New Roman" w:hAnsi="Times New Roman"/>
          <w:sz w:val="24"/>
          <w:szCs w:val="24"/>
          <w:lang w:val="en-US"/>
        </w:rPr>
        <w:t xml:space="preserve">selected </w:t>
      </w:r>
      <w:r w:rsidR="00060D8B" w:rsidRPr="00A24664">
        <w:rPr>
          <w:rFonts w:ascii="Times New Roman" w:hAnsi="Times New Roman"/>
          <w:sz w:val="24"/>
          <w:szCs w:val="24"/>
          <w:lang w:val="en-US"/>
        </w:rPr>
        <w:t>and Treatment 3</w:t>
      </w:r>
      <w:r w:rsidR="00D019DD">
        <w:rPr>
          <w:rFonts w:ascii="Times New Roman" w:hAnsi="Times New Roman"/>
          <w:sz w:val="24"/>
          <w:szCs w:val="24"/>
          <w:lang w:val="en-US"/>
        </w:rPr>
        <w:t>,</w:t>
      </w:r>
      <w:r w:rsidR="00060D8B" w:rsidRPr="00A24664">
        <w:rPr>
          <w:rFonts w:ascii="Times New Roman" w:hAnsi="Times New Roman"/>
          <w:sz w:val="24"/>
          <w:szCs w:val="24"/>
          <w:lang w:val="en-US"/>
        </w:rPr>
        <w:t xml:space="preserve"> seeds treated with commercial fertilizers DAP and Urea</w:t>
      </w:r>
      <w:r w:rsidR="001F3FE4">
        <w:rPr>
          <w:rFonts w:ascii="Times New Roman" w:hAnsi="Times New Roman"/>
          <w:sz w:val="24"/>
          <w:szCs w:val="24"/>
          <w:lang w:val="en-US"/>
        </w:rPr>
        <w:t>.</w:t>
      </w:r>
      <w:r w:rsidR="00060D8B" w:rsidRPr="00A2466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1305B">
        <w:rPr>
          <w:rFonts w:ascii="Times New Roman" w:hAnsi="Times New Roman"/>
          <w:sz w:val="24"/>
          <w:szCs w:val="24"/>
          <w:lang w:val="en-US"/>
        </w:rPr>
        <w:t>The parameter</w:t>
      </w:r>
      <w:r w:rsidR="002902AC">
        <w:rPr>
          <w:rFonts w:ascii="Times New Roman" w:hAnsi="Times New Roman"/>
          <w:sz w:val="24"/>
          <w:szCs w:val="24"/>
          <w:lang w:val="en-US"/>
        </w:rPr>
        <w:t>s,</w:t>
      </w:r>
      <w:r w:rsidR="00D1305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3FE4" w:rsidRPr="001F3FE4">
        <w:rPr>
          <w:rFonts w:ascii="Times New Roman" w:hAnsi="Times New Roman"/>
          <w:sz w:val="24"/>
          <w:szCs w:val="24"/>
          <w:lang w:val="en-US"/>
        </w:rPr>
        <w:t>number of leaves, leaf area, plant length, root length and dry weights of all plants</w:t>
      </w:r>
      <w:r w:rsidR="002902AC">
        <w:rPr>
          <w:rFonts w:ascii="Times New Roman" w:hAnsi="Times New Roman"/>
          <w:sz w:val="24"/>
          <w:szCs w:val="24"/>
          <w:lang w:val="en-US"/>
        </w:rPr>
        <w:t>,</w:t>
      </w:r>
      <w:r w:rsidR="001F3FE4" w:rsidRPr="001F3FE4">
        <w:rPr>
          <w:rFonts w:ascii="Times New Roman" w:hAnsi="Times New Roman"/>
          <w:sz w:val="24"/>
          <w:szCs w:val="24"/>
          <w:lang w:val="en-US"/>
        </w:rPr>
        <w:t xml:space="preserve"> were evaluated. The test results indicated that there is no antagonism inhibition in the growth of the strains tested thus formed consortia which showed greater efficiency phosphorus </w:t>
      </w:r>
      <w:proofErr w:type="spellStart"/>
      <w:r w:rsidR="001F3FE4" w:rsidRPr="001F3FE4">
        <w:rPr>
          <w:rFonts w:ascii="Times New Roman" w:hAnsi="Times New Roman"/>
          <w:sz w:val="24"/>
          <w:szCs w:val="24"/>
          <w:lang w:val="en-US"/>
        </w:rPr>
        <w:t>solubilization</w:t>
      </w:r>
      <w:proofErr w:type="spellEnd"/>
      <w:r w:rsidR="001F3FE4" w:rsidRPr="001F3FE4">
        <w:rPr>
          <w:rFonts w:ascii="Times New Roman" w:hAnsi="Times New Roman"/>
          <w:sz w:val="24"/>
          <w:szCs w:val="24"/>
          <w:lang w:val="en-US"/>
        </w:rPr>
        <w:t xml:space="preserve">, highlighting the consortium of </w:t>
      </w:r>
      <w:proofErr w:type="spellStart"/>
      <w:r w:rsidR="001F3FE4" w:rsidRPr="001F3FE4">
        <w:rPr>
          <w:rFonts w:ascii="Times New Roman" w:hAnsi="Times New Roman"/>
          <w:sz w:val="24"/>
          <w:szCs w:val="24"/>
          <w:lang w:val="en-US"/>
        </w:rPr>
        <w:t>Pantoea</w:t>
      </w:r>
      <w:proofErr w:type="spellEnd"/>
      <w:r w:rsidR="001F3FE4" w:rsidRPr="001F3FE4">
        <w:rPr>
          <w:rFonts w:ascii="Times New Roman" w:hAnsi="Times New Roman"/>
          <w:sz w:val="24"/>
          <w:szCs w:val="24"/>
          <w:lang w:val="en-US"/>
        </w:rPr>
        <w:t xml:space="preserve"> sp + Pseudomonas sp at a concentration 10</w:t>
      </w:r>
      <w:r w:rsidR="001F3FE4" w:rsidRPr="00D1305B">
        <w:rPr>
          <w:rFonts w:ascii="Times New Roman" w:hAnsi="Times New Roman"/>
          <w:sz w:val="24"/>
          <w:szCs w:val="24"/>
          <w:vertAlign w:val="superscript"/>
          <w:lang w:val="en-US"/>
        </w:rPr>
        <w:t>8</w:t>
      </w:r>
      <w:r w:rsidR="001F3FE4" w:rsidRPr="001F3FE4">
        <w:rPr>
          <w:rFonts w:ascii="Times New Roman" w:hAnsi="Times New Roman"/>
          <w:sz w:val="24"/>
          <w:szCs w:val="24"/>
          <w:lang w:val="en-US"/>
        </w:rPr>
        <w:t xml:space="preserve"> CFU / </w:t>
      </w:r>
      <w:proofErr w:type="spellStart"/>
      <w:r w:rsidR="001F3FE4" w:rsidRPr="001F3FE4">
        <w:rPr>
          <w:rFonts w:ascii="Times New Roman" w:hAnsi="Times New Roman"/>
          <w:sz w:val="24"/>
          <w:szCs w:val="24"/>
          <w:lang w:val="en-US"/>
        </w:rPr>
        <w:t>mL</w:t>
      </w:r>
      <w:proofErr w:type="spellEnd"/>
      <w:r w:rsidR="001F3FE4" w:rsidRPr="001F3FE4">
        <w:rPr>
          <w:rFonts w:ascii="Times New Roman" w:hAnsi="Times New Roman"/>
          <w:sz w:val="24"/>
          <w:szCs w:val="24"/>
          <w:lang w:val="en-US"/>
        </w:rPr>
        <w:t xml:space="preserve"> and 5.3 </w:t>
      </w:r>
      <w:proofErr w:type="spellStart"/>
      <w:r w:rsidR="001F3FE4" w:rsidRPr="001F3FE4">
        <w:rPr>
          <w:rFonts w:ascii="Times New Roman" w:hAnsi="Times New Roman"/>
          <w:sz w:val="24"/>
          <w:szCs w:val="24"/>
          <w:lang w:val="en-US"/>
        </w:rPr>
        <w:t>solubilization</w:t>
      </w:r>
      <w:proofErr w:type="spellEnd"/>
      <w:r w:rsidR="001F3FE4" w:rsidRPr="001F3FE4">
        <w:rPr>
          <w:rFonts w:ascii="Times New Roman" w:hAnsi="Times New Roman"/>
          <w:sz w:val="24"/>
          <w:szCs w:val="24"/>
          <w:lang w:val="en-US"/>
        </w:rPr>
        <w:t xml:space="preserve"> rates and 842 </w:t>
      </w:r>
      <w:proofErr w:type="spellStart"/>
      <w:r w:rsidR="001F3FE4" w:rsidRPr="001F3FE4">
        <w:rPr>
          <w:rFonts w:ascii="Times New Roman" w:hAnsi="Times New Roman"/>
          <w:sz w:val="24"/>
          <w:szCs w:val="24"/>
          <w:lang w:val="en-US"/>
        </w:rPr>
        <w:t>ppm</w:t>
      </w:r>
      <w:proofErr w:type="spellEnd"/>
      <w:r w:rsidR="001F3FE4" w:rsidRPr="001F3FE4">
        <w:rPr>
          <w:rFonts w:ascii="Times New Roman" w:hAnsi="Times New Roman"/>
          <w:sz w:val="24"/>
          <w:szCs w:val="24"/>
          <w:lang w:val="en-US"/>
        </w:rPr>
        <w:t>. In plants showed a significant increase in dry weight and leaf area</w:t>
      </w:r>
      <w:r w:rsidR="009728E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728E0" w:rsidRPr="009728E0">
        <w:rPr>
          <w:rFonts w:ascii="Times New Roman" w:hAnsi="Times New Roman"/>
          <w:sz w:val="24"/>
          <w:szCs w:val="24"/>
          <w:lang w:val="en-US"/>
        </w:rPr>
        <w:t>parameters</w:t>
      </w:r>
      <w:r w:rsidR="001F3FE4" w:rsidRPr="001F3FE4">
        <w:rPr>
          <w:rFonts w:ascii="Times New Roman" w:hAnsi="Times New Roman"/>
          <w:sz w:val="24"/>
          <w:szCs w:val="24"/>
          <w:lang w:val="en-US"/>
        </w:rPr>
        <w:t>, indicating greater benefit with respect to the control treatment.</w:t>
      </w:r>
    </w:p>
    <w:p w:rsidR="00153183" w:rsidRPr="00153183" w:rsidRDefault="00153183" w:rsidP="000769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53183" w:rsidRPr="00796C69" w:rsidRDefault="008157F2" w:rsidP="006C6A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96C69">
        <w:rPr>
          <w:rFonts w:ascii="Times New Roman" w:hAnsi="Times New Roman"/>
          <w:b/>
          <w:sz w:val="24"/>
          <w:szCs w:val="24"/>
        </w:rPr>
        <w:t>Key</w:t>
      </w:r>
      <w:r w:rsidR="006374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96C69">
        <w:rPr>
          <w:rFonts w:ascii="Times New Roman" w:hAnsi="Times New Roman"/>
          <w:b/>
          <w:sz w:val="24"/>
          <w:szCs w:val="24"/>
        </w:rPr>
        <w:t>words</w:t>
      </w:r>
      <w:proofErr w:type="spellEnd"/>
      <w:r w:rsidRPr="00796C69">
        <w:rPr>
          <w:rFonts w:ascii="Times New Roman" w:hAnsi="Times New Roman"/>
          <w:b/>
          <w:sz w:val="24"/>
          <w:szCs w:val="24"/>
        </w:rPr>
        <w:t>:</w:t>
      </w:r>
      <w:r w:rsidR="00153183" w:rsidRPr="00796C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3" w:rsidRPr="006E1C95">
        <w:rPr>
          <w:rFonts w:ascii="Times New Roman" w:hAnsi="Times New Roman"/>
          <w:i/>
          <w:sz w:val="24"/>
          <w:szCs w:val="24"/>
        </w:rPr>
        <w:t>Burkholderia</w:t>
      </w:r>
      <w:proofErr w:type="spellEnd"/>
      <w:r w:rsidR="00153183" w:rsidRPr="006E1C9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84852" w:rsidRPr="006E1C95">
        <w:rPr>
          <w:rFonts w:ascii="Times New Roman" w:hAnsi="Times New Roman"/>
          <w:i/>
          <w:sz w:val="24"/>
          <w:szCs w:val="24"/>
        </w:rPr>
        <w:t>cepacia</w:t>
      </w:r>
      <w:proofErr w:type="spellEnd"/>
      <w:r w:rsidR="00584852" w:rsidRPr="00796C69">
        <w:rPr>
          <w:rFonts w:ascii="Times New Roman" w:hAnsi="Times New Roman"/>
          <w:sz w:val="24"/>
          <w:szCs w:val="24"/>
        </w:rPr>
        <w:t>,</w:t>
      </w:r>
      <w:r w:rsidR="00153183" w:rsidRPr="00796C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3" w:rsidRPr="006E1C95">
        <w:rPr>
          <w:rFonts w:ascii="Times New Roman" w:hAnsi="Times New Roman"/>
          <w:i/>
          <w:sz w:val="24"/>
          <w:szCs w:val="24"/>
        </w:rPr>
        <w:t>Pseudomonas</w:t>
      </w:r>
      <w:proofErr w:type="spellEnd"/>
      <w:r w:rsidR="00153183" w:rsidRPr="00796C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4852" w:rsidRPr="00796C69">
        <w:rPr>
          <w:rFonts w:ascii="Times New Roman" w:hAnsi="Times New Roman"/>
          <w:sz w:val="24"/>
          <w:szCs w:val="24"/>
        </w:rPr>
        <w:t>sp</w:t>
      </w:r>
      <w:proofErr w:type="spellEnd"/>
      <w:r w:rsidR="00584852" w:rsidRPr="00796C69">
        <w:rPr>
          <w:rFonts w:ascii="Times New Roman" w:hAnsi="Times New Roman"/>
          <w:sz w:val="24"/>
          <w:szCs w:val="24"/>
        </w:rPr>
        <w:t>,</w:t>
      </w:r>
      <w:r w:rsidR="00153183" w:rsidRPr="00796C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3" w:rsidRPr="006E1C95">
        <w:rPr>
          <w:rFonts w:ascii="Times New Roman" w:hAnsi="Times New Roman"/>
          <w:i/>
          <w:sz w:val="24"/>
          <w:szCs w:val="24"/>
        </w:rPr>
        <w:t>Pseudomonas</w:t>
      </w:r>
      <w:proofErr w:type="spellEnd"/>
      <w:r w:rsidR="00153183" w:rsidRPr="006E1C9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84852" w:rsidRPr="006E1C95">
        <w:rPr>
          <w:rFonts w:ascii="Times New Roman" w:hAnsi="Times New Roman"/>
          <w:i/>
          <w:sz w:val="24"/>
          <w:szCs w:val="24"/>
        </w:rPr>
        <w:t>luteola</w:t>
      </w:r>
      <w:proofErr w:type="spellEnd"/>
      <w:r w:rsidR="00584852" w:rsidRPr="00796C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84852" w:rsidRPr="006E1C95">
        <w:rPr>
          <w:rFonts w:ascii="Times New Roman" w:hAnsi="Times New Roman"/>
          <w:i/>
          <w:sz w:val="24"/>
          <w:szCs w:val="24"/>
        </w:rPr>
        <w:t>Pantoea</w:t>
      </w:r>
      <w:proofErr w:type="spellEnd"/>
      <w:r w:rsidR="00584852" w:rsidRPr="00796C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4852" w:rsidRPr="00796C69">
        <w:rPr>
          <w:rFonts w:ascii="Times New Roman" w:hAnsi="Times New Roman"/>
          <w:sz w:val="24"/>
          <w:szCs w:val="24"/>
        </w:rPr>
        <w:t>sp</w:t>
      </w:r>
      <w:proofErr w:type="spellEnd"/>
      <w:r w:rsidR="00153183" w:rsidRPr="00796C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53183" w:rsidRPr="00796C69">
        <w:rPr>
          <w:rFonts w:ascii="Times New Roman" w:hAnsi="Times New Roman"/>
          <w:sz w:val="24"/>
          <w:szCs w:val="24"/>
        </w:rPr>
        <w:t>bio</w:t>
      </w:r>
      <w:r w:rsidR="006E1C95">
        <w:rPr>
          <w:rFonts w:ascii="Times New Roman" w:hAnsi="Times New Roman"/>
          <w:sz w:val="24"/>
          <w:szCs w:val="24"/>
        </w:rPr>
        <w:t>-</w:t>
      </w:r>
      <w:r w:rsidR="00153183" w:rsidRPr="00796C69">
        <w:rPr>
          <w:rFonts w:ascii="Times New Roman" w:hAnsi="Times New Roman"/>
          <w:sz w:val="24"/>
          <w:szCs w:val="24"/>
        </w:rPr>
        <w:t>inoculant</w:t>
      </w:r>
      <w:proofErr w:type="spellEnd"/>
      <w:r w:rsidR="00153183" w:rsidRPr="00796C69">
        <w:rPr>
          <w:rFonts w:ascii="Times New Roman" w:hAnsi="Times New Roman"/>
          <w:sz w:val="24"/>
          <w:szCs w:val="24"/>
        </w:rPr>
        <w:t>.</w:t>
      </w:r>
    </w:p>
    <w:p w:rsidR="002E77AA" w:rsidRPr="00436FDA" w:rsidRDefault="00436FDA" w:rsidP="006C6A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Recibido: </w:t>
      </w:r>
      <w:r>
        <w:rPr>
          <w:rFonts w:ascii="Times New Roman" w:hAnsi="Times New Roman"/>
          <w:sz w:val="24"/>
          <w:szCs w:val="24"/>
        </w:rPr>
        <w:t>marzo 15 de 2014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Aprobado: </w:t>
      </w:r>
      <w:r>
        <w:rPr>
          <w:rFonts w:ascii="Times New Roman" w:hAnsi="Times New Roman"/>
          <w:sz w:val="24"/>
          <w:szCs w:val="24"/>
        </w:rPr>
        <w:t>abril 15 de 2015</w:t>
      </w:r>
    </w:p>
    <w:p w:rsidR="00DB61BA" w:rsidRPr="003C7D9D" w:rsidRDefault="00327E14" w:rsidP="006C6AC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Introducción</w:t>
      </w:r>
    </w:p>
    <w:p w:rsidR="00AC78C4" w:rsidRPr="003C7D9D" w:rsidRDefault="00DB61BA" w:rsidP="006C6A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es-MX"/>
        </w:rPr>
      </w:pPr>
      <w:r w:rsidRPr="003C7D9D">
        <w:rPr>
          <w:rFonts w:ascii="Times New Roman" w:hAnsi="Times New Roman"/>
          <w:color w:val="000000"/>
          <w:sz w:val="24"/>
          <w:szCs w:val="24"/>
        </w:rPr>
        <w:t xml:space="preserve">El </w:t>
      </w:r>
      <w:r w:rsidR="009D5D46">
        <w:rPr>
          <w:rFonts w:ascii="Times New Roman" w:hAnsi="Times New Roman"/>
          <w:color w:val="000000"/>
          <w:sz w:val="24"/>
          <w:szCs w:val="24"/>
        </w:rPr>
        <w:t>f</w:t>
      </w:r>
      <w:r w:rsidR="009D5D46" w:rsidRPr="003C7D9D">
        <w:rPr>
          <w:rFonts w:ascii="Times New Roman" w:hAnsi="Times New Roman"/>
          <w:color w:val="000000"/>
          <w:sz w:val="24"/>
          <w:szCs w:val="24"/>
        </w:rPr>
        <w:t xml:space="preserve">ósforo </w:t>
      </w:r>
      <w:r w:rsidRPr="003C7D9D">
        <w:rPr>
          <w:rFonts w:ascii="Times New Roman" w:hAnsi="Times New Roman"/>
          <w:color w:val="000000"/>
          <w:sz w:val="24"/>
          <w:szCs w:val="24"/>
        </w:rPr>
        <w:t xml:space="preserve">(P) </w:t>
      </w:r>
      <w:r w:rsidR="00076943">
        <w:rPr>
          <w:rFonts w:ascii="Times New Roman" w:hAnsi="Times New Roman"/>
          <w:color w:val="000000"/>
          <w:sz w:val="24"/>
          <w:szCs w:val="24"/>
        </w:rPr>
        <w:t>es</w:t>
      </w:r>
      <w:r w:rsidRPr="003C7D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7D9D">
        <w:rPr>
          <w:rFonts w:ascii="Times New Roman" w:hAnsi="Times New Roman"/>
          <w:sz w:val="24"/>
          <w:szCs w:val="24"/>
          <w:lang w:eastAsia="es-MX"/>
        </w:rPr>
        <w:t>después del nitrógeno</w:t>
      </w:r>
      <w:r w:rsidR="002F1629">
        <w:rPr>
          <w:rFonts w:ascii="Times New Roman" w:hAnsi="Times New Roman"/>
          <w:sz w:val="24"/>
          <w:szCs w:val="24"/>
          <w:lang w:eastAsia="es-MX"/>
        </w:rPr>
        <w:t xml:space="preserve"> (N)</w:t>
      </w:r>
      <w:r w:rsidRPr="003C7D9D">
        <w:rPr>
          <w:rFonts w:ascii="Times New Roman" w:hAnsi="Times New Roman"/>
          <w:sz w:val="24"/>
          <w:szCs w:val="24"/>
          <w:lang w:eastAsia="es-MX"/>
        </w:rPr>
        <w:t xml:space="preserve"> </w:t>
      </w:r>
      <w:r w:rsidR="002E77AA">
        <w:rPr>
          <w:rFonts w:ascii="Times New Roman" w:hAnsi="Times New Roman"/>
          <w:sz w:val="24"/>
          <w:szCs w:val="24"/>
          <w:lang w:eastAsia="es-MX"/>
        </w:rPr>
        <w:t>el</w:t>
      </w:r>
      <w:r w:rsidRPr="003C7D9D">
        <w:rPr>
          <w:rFonts w:ascii="Times New Roman" w:hAnsi="Times New Roman"/>
          <w:sz w:val="24"/>
          <w:szCs w:val="24"/>
          <w:lang w:eastAsia="es-MX"/>
        </w:rPr>
        <w:t xml:space="preserve"> nutriente esencial para el desarrollo y crecimiento de las plantas</w:t>
      </w:r>
      <w:r w:rsidR="0088167B" w:rsidRPr="003C7D9D">
        <w:rPr>
          <w:rFonts w:ascii="Times New Roman" w:hAnsi="Times New Roman"/>
          <w:sz w:val="24"/>
          <w:szCs w:val="24"/>
          <w:lang w:eastAsia="es-MX"/>
        </w:rPr>
        <w:t xml:space="preserve"> </w:t>
      </w:r>
      <w:r w:rsidR="00584852">
        <w:rPr>
          <w:rFonts w:ascii="Times New Roman" w:hAnsi="Times New Roman"/>
          <w:sz w:val="24"/>
          <w:szCs w:val="24"/>
        </w:rPr>
        <w:t>(</w:t>
      </w:r>
      <w:proofErr w:type="spellStart"/>
      <w:r w:rsidR="00584852">
        <w:rPr>
          <w:rFonts w:ascii="Times New Roman" w:hAnsi="Times New Roman"/>
          <w:sz w:val="24"/>
          <w:szCs w:val="24"/>
        </w:rPr>
        <w:t>Coyne</w:t>
      </w:r>
      <w:proofErr w:type="spellEnd"/>
      <w:r w:rsidR="00584852">
        <w:rPr>
          <w:rFonts w:ascii="Times New Roman" w:hAnsi="Times New Roman"/>
          <w:sz w:val="24"/>
          <w:szCs w:val="24"/>
        </w:rPr>
        <w:t>, 2000)</w:t>
      </w:r>
      <w:r w:rsidRPr="003C7D9D">
        <w:rPr>
          <w:rFonts w:ascii="Times New Roman" w:hAnsi="Times New Roman"/>
          <w:sz w:val="24"/>
          <w:szCs w:val="24"/>
          <w:lang w:eastAsia="es-MX"/>
        </w:rPr>
        <w:t xml:space="preserve">. </w:t>
      </w:r>
      <w:r w:rsidR="00076943">
        <w:rPr>
          <w:rFonts w:ascii="Times New Roman" w:hAnsi="Times New Roman"/>
          <w:sz w:val="24"/>
          <w:szCs w:val="24"/>
          <w:lang w:eastAsia="es-MX"/>
        </w:rPr>
        <w:t>D</w:t>
      </w:r>
      <w:r w:rsidRPr="003C7D9D">
        <w:rPr>
          <w:rFonts w:ascii="Times New Roman" w:hAnsi="Times New Roman"/>
          <w:sz w:val="24"/>
          <w:szCs w:val="24"/>
          <w:lang w:eastAsia="es-MX"/>
        </w:rPr>
        <w:t xml:space="preserve">esempeña un gran papel en la síntesis de proteínas, biosíntesis de lípidos, síntesis de clorofila, compuestos </w:t>
      </w:r>
      <w:proofErr w:type="spellStart"/>
      <w:r w:rsidRPr="003C7D9D">
        <w:rPr>
          <w:rFonts w:ascii="Times New Roman" w:hAnsi="Times New Roman"/>
          <w:sz w:val="24"/>
          <w:szCs w:val="24"/>
          <w:lang w:eastAsia="es-MX"/>
        </w:rPr>
        <w:t>carotenoides</w:t>
      </w:r>
      <w:proofErr w:type="spellEnd"/>
      <w:r w:rsidR="000A2FDE">
        <w:rPr>
          <w:rFonts w:ascii="Times New Roman" w:hAnsi="Times New Roman"/>
          <w:sz w:val="24"/>
          <w:szCs w:val="24"/>
          <w:lang w:eastAsia="es-MX"/>
        </w:rPr>
        <w:t xml:space="preserve"> y</w:t>
      </w:r>
      <w:r w:rsidRPr="003C7D9D">
        <w:rPr>
          <w:rFonts w:ascii="Times New Roman" w:hAnsi="Times New Roman"/>
          <w:sz w:val="24"/>
          <w:szCs w:val="24"/>
          <w:lang w:eastAsia="es-MX"/>
        </w:rPr>
        <w:t xml:space="preserve"> </w:t>
      </w:r>
      <w:r w:rsidR="00AC78C4" w:rsidRPr="003C7D9D">
        <w:rPr>
          <w:rFonts w:ascii="Times New Roman" w:hAnsi="Times New Roman"/>
          <w:sz w:val="24"/>
          <w:szCs w:val="24"/>
          <w:lang w:eastAsia="es-MX"/>
        </w:rPr>
        <w:t>metabolismos de los ácidos orgánicos</w:t>
      </w:r>
      <w:r w:rsidR="000A2FDE">
        <w:rPr>
          <w:rFonts w:ascii="Times New Roman" w:hAnsi="Times New Roman"/>
          <w:sz w:val="24"/>
          <w:szCs w:val="24"/>
          <w:lang w:eastAsia="es-MX"/>
        </w:rPr>
        <w:t>;</w:t>
      </w:r>
      <w:r w:rsidR="00AC78C4" w:rsidRPr="003C7D9D">
        <w:rPr>
          <w:rFonts w:ascii="Times New Roman" w:hAnsi="Times New Roman"/>
          <w:sz w:val="24"/>
          <w:szCs w:val="24"/>
          <w:lang w:eastAsia="es-MX"/>
        </w:rPr>
        <w:t xml:space="preserve"> interviene en la biogénesis de los glúcidos en la </w:t>
      </w:r>
      <w:bookmarkStart w:id="0" w:name="_GoBack"/>
      <w:bookmarkEnd w:id="0"/>
      <w:r w:rsidR="00AC78C4" w:rsidRPr="003C7D9D">
        <w:rPr>
          <w:rFonts w:ascii="Times New Roman" w:hAnsi="Times New Roman"/>
          <w:sz w:val="24"/>
          <w:szCs w:val="24"/>
          <w:lang w:eastAsia="es-MX"/>
        </w:rPr>
        <w:t xml:space="preserve">cual aporta energía en forma de ATP o ADP </w:t>
      </w:r>
      <w:r w:rsidR="000A2FDE">
        <w:rPr>
          <w:rFonts w:ascii="Times New Roman" w:hAnsi="Times New Roman"/>
          <w:sz w:val="24"/>
          <w:szCs w:val="24"/>
          <w:lang w:eastAsia="es-MX"/>
        </w:rPr>
        <w:t>en</w:t>
      </w:r>
      <w:r w:rsidR="00AC78C4" w:rsidRPr="003C7D9D">
        <w:rPr>
          <w:rFonts w:ascii="Times New Roman" w:hAnsi="Times New Roman"/>
          <w:sz w:val="24"/>
          <w:szCs w:val="24"/>
          <w:lang w:eastAsia="es-MX"/>
        </w:rPr>
        <w:t xml:space="preserve"> la reacción de fotosíntesis importante para muchos procesos </w:t>
      </w:r>
      <w:r w:rsidR="00584852">
        <w:rPr>
          <w:rFonts w:ascii="Times New Roman" w:hAnsi="Times New Roman"/>
          <w:sz w:val="24"/>
          <w:szCs w:val="24"/>
        </w:rPr>
        <w:t>(Navarro</w:t>
      </w:r>
      <w:r w:rsidR="00642897">
        <w:rPr>
          <w:rFonts w:ascii="Times New Roman" w:hAnsi="Times New Roman"/>
          <w:sz w:val="24"/>
          <w:szCs w:val="24"/>
        </w:rPr>
        <w:t xml:space="preserve"> y Navarro, 2003</w:t>
      </w:r>
      <w:r w:rsidR="00584852">
        <w:rPr>
          <w:rFonts w:ascii="Times New Roman" w:hAnsi="Times New Roman"/>
          <w:sz w:val="24"/>
          <w:szCs w:val="24"/>
        </w:rPr>
        <w:t>)</w:t>
      </w:r>
      <w:r w:rsidR="000A2FDE">
        <w:rPr>
          <w:rFonts w:ascii="Times New Roman" w:hAnsi="Times New Roman"/>
          <w:sz w:val="24"/>
          <w:szCs w:val="24"/>
          <w:lang w:eastAsia="es-MX"/>
        </w:rPr>
        <w:t>.</w:t>
      </w:r>
      <w:r w:rsidR="00AC78C4" w:rsidRPr="003C7D9D">
        <w:rPr>
          <w:rFonts w:ascii="Times New Roman" w:hAnsi="Times New Roman"/>
          <w:sz w:val="24"/>
          <w:szCs w:val="24"/>
          <w:lang w:eastAsia="es-MX"/>
        </w:rPr>
        <w:t xml:space="preserve"> </w:t>
      </w:r>
      <w:r w:rsidR="000A2FDE">
        <w:rPr>
          <w:rFonts w:ascii="Times New Roman" w:hAnsi="Times New Roman"/>
          <w:sz w:val="24"/>
          <w:szCs w:val="24"/>
          <w:lang w:eastAsia="es-MX"/>
        </w:rPr>
        <w:t>S</w:t>
      </w:r>
      <w:r w:rsidR="00AC78C4" w:rsidRPr="003C7D9D">
        <w:rPr>
          <w:rFonts w:ascii="Times New Roman" w:hAnsi="Times New Roman"/>
          <w:sz w:val="24"/>
          <w:szCs w:val="24"/>
          <w:lang w:eastAsia="es-MX"/>
        </w:rPr>
        <w:t xml:space="preserve">in embargo, el </w:t>
      </w:r>
      <w:r w:rsidR="009D5D46">
        <w:rPr>
          <w:rFonts w:ascii="Times New Roman" w:hAnsi="Times New Roman"/>
          <w:sz w:val="24"/>
          <w:szCs w:val="24"/>
          <w:lang w:eastAsia="es-MX"/>
        </w:rPr>
        <w:t>fó</w:t>
      </w:r>
      <w:r w:rsidR="009D5D46" w:rsidRPr="003C7D9D">
        <w:rPr>
          <w:rFonts w:ascii="Times New Roman" w:hAnsi="Times New Roman"/>
          <w:sz w:val="24"/>
          <w:szCs w:val="24"/>
          <w:lang w:eastAsia="es-MX"/>
        </w:rPr>
        <w:t xml:space="preserve">sforo </w:t>
      </w:r>
      <w:r w:rsidR="00AC78C4" w:rsidRPr="003C7D9D">
        <w:rPr>
          <w:rFonts w:ascii="Times New Roman" w:hAnsi="Times New Roman"/>
          <w:sz w:val="24"/>
          <w:szCs w:val="24"/>
          <w:lang w:eastAsia="es-MX"/>
        </w:rPr>
        <w:t xml:space="preserve">soluble es un nutriente limitado para producción de biomasa en un ecosistema natural </w:t>
      </w:r>
      <w:r w:rsidR="00642897">
        <w:rPr>
          <w:rFonts w:ascii="Times New Roman" w:hAnsi="Times New Roman"/>
          <w:sz w:val="24"/>
          <w:szCs w:val="24"/>
        </w:rPr>
        <w:t>(</w:t>
      </w:r>
      <w:proofErr w:type="spellStart"/>
      <w:r w:rsidR="00642897" w:rsidRPr="00796C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Hameeda</w:t>
      </w:r>
      <w:proofErr w:type="spellEnd"/>
      <w:r w:rsidR="00642897" w:rsidRPr="00796C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42897" w:rsidRPr="00796C6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et al., </w:t>
      </w:r>
      <w:r w:rsidR="00642897" w:rsidRPr="00796C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2006</w:t>
      </w:r>
      <w:r w:rsidR="00642897">
        <w:rPr>
          <w:rFonts w:ascii="Times New Roman" w:hAnsi="Times New Roman"/>
          <w:sz w:val="24"/>
          <w:szCs w:val="24"/>
        </w:rPr>
        <w:t>)</w:t>
      </w:r>
      <w:r w:rsidR="00AC78C4" w:rsidRPr="003C7D9D">
        <w:rPr>
          <w:rFonts w:ascii="Times New Roman" w:hAnsi="Times New Roman"/>
          <w:sz w:val="24"/>
          <w:szCs w:val="24"/>
          <w:lang w:eastAsia="es-MX"/>
        </w:rPr>
        <w:t xml:space="preserve">. </w:t>
      </w:r>
    </w:p>
    <w:p w:rsidR="00AC78C4" w:rsidRPr="003C7D9D" w:rsidRDefault="00AC78C4" w:rsidP="006C6A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D9D">
        <w:rPr>
          <w:rFonts w:ascii="Times New Roman" w:hAnsi="Times New Roman"/>
          <w:sz w:val="24"/>
          <w:szCs w:val="24"/>
        </w:rPr>
        <w:lastRenderedPageBreak/>
        <w:t xml:space="preserve">La deficiencia del </w:t>
      </w:r>
      <w:r w:rsidR="009D5D46">
        <w:rPr>
          <w:rFonts w:ascii="Times New Roman" w:hAnsi="Times New Roman"/>
          <w:sz w:val="24"/>
          <w:szCs w:val="24"/>
        </w:rPr>
        <w:t>f</w:t>
      </w:r>
      <w:r w:rsidR="009D5D46" w:rsidRPr="003C7D9D">
        <w:rPr>
          <w:rFonts w:ascii="Times New Roman" w:hAnsi="Times New Roman"/>
          <w:sz w:val="24"/>
          <w:szCs w:val="24"/>
        </w:rPr>
        <w:t xml:space="preserve">ósforo </w:t>
      </w:r>
      <w:r w:rsidRPr="003C7D9D">
        <w:rPr>
          <w:rFonts w:ascii="Times New Roman" w:hAnsi="Times New Roman"/>
          <w:sz w:val="24"/>
          <w:szCs w:val="24"/>
        </w:rPr>
        <w:t xml:space="preserve">en el suelo influye en el tiempo de la cosecha  y madurez del desarrollo de la planta, disminuyendo el rendimiento de los cultivos; hecho que conlleva a la </w:t>
      </w:r>
      <w:r w:rsidR="00DB61BA" w:rsidRPr="003C7D9D">
        <w:rPr>
          <w:rFonts w:ascii="Times New Roman" w:hAnsi="Times New Roman"/>
          <w:sz w:val="24"/>
          <w:szCs w:val="24"/>
        </w:rPr>
        <w:t xml:space="preserve">implementación de fertilizantes químicos fosforados, </w:t>
      </w:r>
      <w:r w:rsidR="009D5D46">
        <w:rPr>
          <w:rFonts w:ascii="Times New Roman" w:hAnsi="Times New Roman"/>
          <w:sz w:val="24"/>
          <w:szCs w:val="24"/>
        </w:rPr>
        <w:t>f</w:t>
      </w:r>
      <w:r w:rsidR="009D5D46" w:rsidRPr="003C7D9D">
        <w:rPr>
          <w:rFonts w:ascii="Times New Roman" w:hAnsi="Times New Roman"/>
          <w:sz w:val="24"/>
          <w:szCs w:val="24"/>
        </w:rPr>
        <w:t>ósforo</w:t>
      </w:r>
      <w:r w:rsidR="009D5D46">
        <w:rPr>
          <w:rFonts w:ascii="Times New Roman" w:hAnsi="Times New Roman"/>
          <w:sz w:val="24"/>
          <w:szCs w:val="24"/>
        </w:rPr>
        <w:t xml:space="preserve"> </w:t>
      </w:r>
      <w:r w:rsidR="00DB61BA" w:rsidRPr="003C7D9D">
        <w:rPr>
          <w:rFonts w:ascii="Times New Roman" w:hAnsi="Times New Roman"/>
          <w:sz w:val="24"/>
          <w:szCs w:val="24"/>
        </w:rPr>
        <w:t>que se acumula</w:t>
      </w:r>
      <w:r w:rsidRPr="003C7D9D">
        <w:rPr>
          <w:rFonts w:ascii="Times New Roman" w:hAnsi="Times New Roman"/>
          <w:sz w:val="24"/>
          <w:szCs w:val="24"/>
        </w:rPr>
        <w:t xml:space="preserve"> en formas no solubles ni asimilables, debido a que, al adicionarlo al suelo el </w:t>
      </w:r>
      <w:r w:rsidR="009D5D46">
        <w:rPr>
          <w:rFonts w:ascii="Times New Roman" w:hAnsi="Times New Roman"/>
          <w:sz w:val="24"/>
          <w:szCs w:val="24"/>
        </w:rPr>
        <w:t>f</w:t>
      </w:r>
      <w:r w:rsidR="009D5D46" w:rsidRPr="003C7D9D">
        <w:rPr>
          <w:rFonts w:ascii="Times New Roman" w:hAnsi="Times New Roman"/>
          <w:sz w:val="24"/>
          <w:szCs w:val="24"/>
        </w:rPr>
        <w:t xml:space="preserve">ósforo </w:t>
      </w:r>
      <w:r w:rsidRPr="003C7D9D">
        <w:rPr>
          <w:rFonts w:ascii="Times New Roman" w:hAnsi="Times New Roman"/>
          <w:sz w:val="24"/>
          <w:szCs w:val="24"/>
        </w:rPr>
        <w:t>soluble reacciona con iones como el calcio, hierro o aluminio que provoca su precipitación o fijación, disminuyendo su disponibilidad para los vegetales</w:t>
      </w:r>
      <w:r w:rsidR="00AF3B05" w:rsidRPr="003C7D9D">
        <w:rPr>
          <w:rFonts w:ascii="Times New Roman" w:hAnsi="Times New Roman"/>
          <w:sz w:val="24"/>
          <w:szCs w:val="24"/>
        </w:rPr>
        <w:t xml:space="preserve"> </w:t>
      </w:r>
      <w:r w:rsidR="00642897">
        <w:rPr>
          <w:rFonts w:ascii="Times New Roman" w:hAnsi="Times New Roman"/>
          <w:sz w:val="24"/>
          <w:szCs w:val="24"/>
        </w:rPr>
        <w:t>(</w:t>
      </w:r>
      <w:r w:rsidR="00642897" w:rsidRPr="008C1E48">
        <w:rPr>
          <w:rFonts w:ascii="Times New Roman" w:hAnsi="Times New Roman"/>
          <w:sz w:val="24"/>
          <w:szCs w:val="24"/>
        </w:rPr>
        <w:t>Fern</w:t>
      </w:r>
      <w:r w:rsidR="00D94969">
        <w:rPr>
          <w:rFonts w:ascii="Times New Roman" w:hAnsi="Times New Roman"/>
          <w:sz w:val="24"/>
          <w:szCs w:val="24"/>
        </w:rPr>
        <w:t>á</w:t>
      </w:r>
      <w:r w:rsidR="00642897" w:rsidRPr="008C1E48">
        <w:rPr>
          <w:rFonts w:ascii="Times New Roman" w:hAnsi="Times New Roman"/>
          <w:sz w:val="24"/>
          <w:szCs w:val="24"/>
        </w:rPr>
        <w:t>ndez</w:t>
      </w:r>
      <w:r w:rsidR="00642897">
        <w:rPr>
          <w:rFonts w:ascii="Times New Roman" w:hAnsi="Times New Roman"/>
          <w:sz w:val="24"/>
          <w:szCs w:val="24"/>
        </w:rPr>
        <w:t xml:space="preserve">  </w:t>
      </w:r>
      <w:r w:rsidR="00642897">
        <w:rPr>
          <w:rFonts w:ascii="Times New Roman" w:hAnsi="Times New Roman"/>
          <w:i/>
          <w:sz w:val="24"/>
          <w:szCs w:val="24"/>
        </w:rPr>
        <w:t>et al</w:t>
      </w:r>
      <w:r w:rsidR="00642897">
        <w:rPr>
          <w:rFonts w:ascii="Times New Roman" w:hAnsi="Times New Roman"/>
          <w:sz w:val="24"/>
          <w:szCs w:val="24"/>
        </w:rPr>
        <w:t>.,</w:t>
      </w:r>
      <w:r w:rsidR="00642897">
        <w:rPr>
          <w:rFonts w:ascii="Times New Roman" w:hAnsi="Times New Roman"/>
          <w:i/>
          <w:sz w:val="24"/>
          <w:szCs w:val="24"/>
        </w:rPr>
        <w:t xml:space="preserve"> </w:t>
      </w:r>
      <w:r w:rsidR="00642897" w:rsidRPr="00642897">
        <w:rPr>
          <w:rFonts w:ascii="Times New Roman" w:hAnsi="Times New Roman"/>
          <w:sz w:val="24"/>
          <w:szCs w:val="24"/>
        </w:rPr>
        <w:t>2005</w:t>
      </w:r>
      <w:r w:rsidR="00642897">
        <w:rPr>
          <w:rFonts w:ascii="Times New Roman" w:hAnsi="Times New Roman"/>
          <w:sz w:val="24"/>
          <w:szCs w:val="24"/>
        </w:rPr>
        <w:t>)</w:t>
      </w:r>
      <w:r w:rsidRPr="003C7D9D">
        <w:rPr>
          <w:rFonts w:ascii="Times New Roman" w:hAnsi="Times New Roman"/>
          <w:sz w:val="24"/>
          <w:szCs w:val="24"/>
        </w:rPr>
        <w:t>.</w:t>
      </w:r>
    </w:p>
    <w:p w:rsidR="003D63B5" w:rsidRPr="003C7D9D" w:rsidRDefault="00396181" w:rsidP="006C6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C7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Algunas especies microbianas del suelo tienen la capacidad de convertir las formas insolubles del </w:t>
      </w:r>
      <w:r w:rsidR="009D5D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</w:t>
      </w:r>
      <w:r w:rsidR="009D5D46" w:rsidRPr="003C7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ósforo </w:t>
      </w:r>
      <w:r w:rsidRPr="003C7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en formas asimilables para las plantas; la acción de solubilización puede generarse a través de procesos como producción de ácidos orgánicos, </w:t>
      </w:r>
      <w:proofErr w:type="spellStart"/>
      <w:r w:rsidRPr="003C7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quelación</w:t>
      </w:r>
      <w:proofErr w:type="spellEnd"/>
      <w:r w:rsidRPr="003C7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intercambio de reacciones </w:t>
      </w:r>
      <w:r w:rsidR="006428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642897" w:rsidRPr="00796C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Begonia </w:t>
      </w:r>
      <w:r w:rsidR="00642897" w:rsidRPr="00796C69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et al., </w:t>
      </w:r>
      <w:r w:rsidR="00642897" w:rsidRPr="00796C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2004</w:t>
      </w:r>
      <w:r w:rsidR="006428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3C7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3D63B5" w:rsidRPr="003C7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Los </w:t>
      </w:r>
      <w:proofErr w:type="spellStart"/>
      <w:r w:rsidR="003D63B5" w:rsidRPr="003C7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biofertilizantes</w:t>
      </w:r>
      <w:proofErr w:type="spellEnd"/>
      <w:r w:rsidR="003D63B5" w:rsidRPr="003C7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son insumos biológicos </w:t>
      </w:r>
      <w:r w:rsidR="00BA6987" w:rsidRPr="003C7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basados en</w:t>
      </w:r>
      <w:r w:rsidR="003D63B5" w:rsidRPr="003C7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microorganismos </w:t>
      </w:r>
      <w:r w:rsidR="009E12B1" w:rsidRPr="003C7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que viven en el suelo o en la planta y que cumplen funciones directas o indirectas en la nutrición de </w:t>
      </w:r>
      <w:r w:rsidR="001444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é</w:t>
      </w:r>
      <w:r w:rsidR="00437F57" w:rsidRPr="003C7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sta, bien sea, supliendo, captando o haciendo disponible elementos esenciales para los cultivos, así como, suministrándole sustancia</w:t>
      </w:r>
      <w:r w:rsidR="00BC28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promotoras de </w:t>
      </w:r>
      <w:r w:rsidR="00437F57" w:rsidRPr="003C7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crecimiento </w:t>
      </w:r>
      <w:r w:rsidR="00BC28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vegetal </w:t>
      </w:r>
      <w:r w:rsidR="00E07D64" w:rsidRPr="00E07D64">
        <w:rPr>
          <w:rFonts w:ascii="Times New Roman" w:hAnsi="Times New Roman"/>
          <w:sz w:val="24"/>
          <w:szCs w:val="24"/>
        </w:rPr>
        <w:t xml:space="preserve">e inductoras de resistencia sistémica </w:t>
      </w:r>
      <w:r w:rsidR="00437F57" w:rsidRPr="003C7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ante condiciones de estrés biótico o </w:t>
      </w:r>
      <w:r w:rsidR="0081792D" w:rsidRPr="003C7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abiótico</w:t>
      </w:r>
      <w:r w:rsidR="006428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(López, 2010)</w:t>
      </w:r>
      <w:r w:rsidR="0081792D" w:rsidRPr="003C7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03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4C594E" w:rsidRPr="003C7D9D">
        <w:rPr>
          <w:rFonts w:ascii="Times New Roman" w:hAnsi="Times New Roman"/>
          <w:sz w:val="24"/>
          <w:szCs w:val="24"/>
        </w:rPr>
        <w:t xml:space="preserve">Los </w:t>
      </w:r>
      <w:proofErr w:type="spellStart"/>
      <w:r w:rsidR="004C594E" w:rsidRPr="003C7D9D">
        <w:rPr>
          <w:rFonts w:ascii="Times New Roman" w:hAnsi="Times New Roman"/>
          <w:sz w:val="24"/>
          <w:szCs w:val="24"/>
        </w:rPr>
        <w:t>biofertilizantes</w:t>
      </w:r>
      <w:proofErr w:type="spellEnd"/>
      <w:r w:rsidR="004C594E" w:rsidRPr="003C7D9D">
        <w:rPr>
          <w:rFonts w:ascii="Times New Roman" w:hAnsi="Times New Roman"/>
          <w:sz w:val="24"/>
          <w:szCs w:val="24"/>
        </w:rPr>
        <w:t xml:space="preserve"> o inoculantes microbianos se constituyen en un componente vital para los </w:t>
      </w:r>
      <w:proofErr w:type="spellStart"/>
      <w:r w:rsidR="004C594E" w:rsidRPr="003C7D9D">
        <w:rPr>
          <w:rFonts w:ascii="Times New Roman" w:hAnsi="Times New Roman"/>
          <w:sz w:val="24"/>
          <w:szCs w:val="24"/>
        </w:rPr>
        <w:t>agroecosistemas</w:t>
      </w:r>
      <w:proofErr w:type="spellEnd"/>
      <w:r w:rsidR="004C594E" w:rsidRPr="003C7D9D">
        <w:rPr>
          <w:rFonts w:ascii="Times New Roman" w:hAnsi="Times New Roman"/>
          <w:sz w:val="24"/>
          <w:szCs w:val="24"/>
        </w:rPr>
        <w:t xml:space="preserve">, al </w:t>
      </w:r>
      <w:r w:rsidR="00C06F42">
        <w:rPr>
          <w:rFonts w:ascii="Times New Roman" w:hAnsi="Times New Roman"/>
          <w:sz w:val="24"/>
          <w:szCs w:val="24"/>
        </w:rPr>
        <w:t xml:space="preserve">movilizar o hacer más asimilable, </w:t>
      </w:r>
      <w:r w:rsidR="004C594E" w:rsidRPr="003C7D9D">
        <w:rPr>
          <w:rFonts w:ascii="Times New Roman" w:hAnsi="Times New Roman"/>
          <w:sz w:val="24"/>
          <w:szCs w:val="24"/>
        </w:rPr>
        <w:t>elementos esenciales como el caso de</w:t>
      </w:r>
      <w:r w:rsidR="00A41521">
        <w:rPr>
          <w:rFonts w:ascii="Times New Roman" w:hAnsi="Times New Roman"/>
          <w:sz w:val="24"/>
          <w:szCs w:val="24"/>
        </w:rPr>
        <w:t>l</w:t>
      </w:r>
      <w:r w:rsidR="004C594E" w:rsidRPr="003C7D9D">
        <w:rPr>
          <w:rFonts w:ascii="Times New Roman" w:hAnsi="Times New Roman"/>
          <w:sz w:val="24"/>
          <w:szCs w:val="24"/>
        </w:rPr>
        <w:t xml:space="preserve"> </w:t>
      </w:r>
      <w:r w:rsidR="00032DD7">
        <w:rPr>
          <w:rFonts w:ascii="Times New Roman" w:hAnsi="Times New Roman"/>
          <w:sz w:val="24"/>
          <w:szCs w:val="24"/>
        </w:rPr>
        <w:t>fó</w:t>
      </w:r>
      <w:r w:rsidR="00032DD7" w:rsidRPr="003C7D9D">
        <w:rPr>
          <w:rFonts w:ascii="Times New Roman" w:hAnsi="Times New Roman"/>
          <w:sz w:val="24"/>
          <w:szCs w:val="24"/>
        </w:rPr>
        <w:t>sforo</w:t>
      </w:r>
      <w:r w:rsidR="00C06F42">
        <w:rPr>
          <w:rFonts w:ascii="Times New Roman" w:hAnsi="Times New Roman"/>
          <w:sz w:val="24"/>
          <w:szCs w:val="24"/>
        </w:rPr>
        <w:t>. D</w:t>
      </w:r>
      <w:r w:rsidR="004C594E" w:rsidRPr="003C7D9D">
        <w:rPr>
          <w:rFonts w:ascii="Times New Roman" w:hAnsi="Times New Roman"/>
          <w:sz w:val="24"/>
          <w:szCs w:val="24"/>
        </w:rPr>
        <w:t xml:space="preserve">entro de los </w:t>
      </w:r>
      <w:r w:rsidR="00A943F1" w:rsidRPr="003C7D9D">
        <w:rPr>
          <w:rFonts w:ascii="Times New Roman" w:hAnsi="Times New Roman"/>
          <w:sz w:val="24"/>
          <w:szCs w:val="24"/>
        </w:rPr>
        <w:t>microorganismo</w:t>
      </w:r>
      <w:r w:rsidR="000B03F8">
        <w:rPr>
          <w:rFonts w:ascii="Times New Roman" w:hAnsi="Times New Roman"/>
          <w:sz w:val="24"/>
          <w:szCs w:val="24"/>
        </w:rPr>
        <w:t>s</w:t>
      </w:r>
      <w:r w:rsidR="00A943F1" w:rsidRPr="003C7D9D">
        <w:rPr>
          <w:rFonts w:ascii="Times New Roman" w:hAnsi="Times New Roman"/>
          <w:sz w:val="24"/>
          <w:szCs w:val="24"/>
        </w:rPr>
        <w:t xml:space="preserve"> que han demostrado tener eficiencia en la </w:t>
      </w:r>
      <w:proofErr w:type="spellStart"/>
      <w:r w:rsidR="00A943F1" w:rsidRPr="003C7D9D">
        <w:rPr>
          <w:rFonts w:ascii="Times New Roman" w:hAnsi="Times New Roman"/>
          <w:sz w:val="24"/>
          <w:szCs w:val="24"/>
        </w:rPr>
        <w:t>solubilizac</w:t>
      </w:r>
      <w:r w:rsidR="00A41521">
        <w:rPr>
          <w:rFonts w:ascii="Times New Roman" w:hAnsi="Times New Roman"/>
          <w:sz w:val="24"/>
          <w:szCs w:val="24"/>
        </w:rPr>
        <w:t>ó</w:t>
      </w:r>
      <w:r w:rsidR="00A943F1" w:rsidRPr="003C7D9D">
        <w:rPr>
          <w:rFonts w:ascii="Times New Roman" w:hAnsi="Times New Roman"/>
          <w:sz w:val="24"/>
          <w:szCs w:val="24"/>
        </w:rPr>
        <w:t>n</w:t>
      </w:r>
      <w:proofErr w:type="spellEnd"/>
      <w:r w:rsidR="00A943F1" w:rsidRPr="003C7D9D">
        <w:rPr>
          <w:rFonts w:ascii="Times New Roman" w:hAnsi="Times New Roman"/>
          <w:sz w:val="24"/>
          <w:szCs w:val="24"/>
        </w:rPr>
        <w:t xml:space="preserve"> de fosfato</w:t>
      </w:r>
      <w:r w:rsidR="00C06F42">
        <w:rPr>
          <w:rFonts w:ascii="Times New Roman" w:hAnsi="Times New Roman"/>
          <w:sz w:val="24"/>
          <w:szCs w:val="24"/>
        </w:rPr>
        <w:t>s</w:t>
      </w:r>
      <w:r w:rsidR="00A943F1" w:rsidRPr="003C7D9D">
        <w:rPr>
          <w:rFonts w:ascii="Times New Roman" w:hAnsi="Times New Roman"/>
          <w:sz w:val="24"/>
          <w:szCs w:val="24"/>
        </w:rPr>
        <w:t xml:space="preserve"> </w:t>
      </w:r>
      <w:r w:rsidR="00C06F42">
        <w:rPr>
          <w:rFonts w:ascii="Times New Roman" w:hAnsi="Times New Roman"/>
          <w:sz w:val="24"/>
          <w:szCs w:val="24"/>
        </w:rPr>
        <w:t xml:space="preserve">se </w:t>
      </w:r>
      <w:r w:rsidR="00E37183" w:rsidRPr="003C7D9D">
        <w:rPr>
          <w:rFonts w:ascii="Times New Roman" w:hAnsi="Times New Roman"/>
          <w:sz w:val="24"/>
          <w:szCs w:val="24"/>
        </w:rPr>
        <w:t>enc</w:t>
      </w:r>
      <w:r w:rsidR="00C06F42">
        <w:rPr>
          <w:rFonts w:ascii="Times New Roman" w:hAnsi="Times New Roman"/>
          <w:sz w:val="24"/>
          <w:szCs w:val="24"/>
        </w:rPr>
        <w:t>ue</w:t>
      </w:r>
      <w:r w:rsidR="00E37183" w:rsidRPr="003C7D9D">
        <w:rPr>
          <w:rFonts w:ascii="Times New Roman" w:hAnsi="Times New Roman"/>
          <w:sz w:val="24"/>
          <w:szCs w:val="24"/>
        </w:rPr>
        <w:t>ntra</w:t>
      </w:r>
      <w:r w:rsidR="00C06F42">
        <w:rPr>
          <w:rFonts w:ascii="Times New Roman" w:hAnsi="Times New Roman"/>
          <w:sz w:val="24"/>
          <w:szCs w:val="24"/>
        </w:rPr>
        <w:t>n</w:t>
      </w:r>
      <w:r w:rsidR="00CD38EF">
        <w:rPr>
          <w:rFonts w:ascii="Times New Roman" w:hAnsi="Times New Roman"/>
          <w:sz w:val="24"/>
          <w:szCs w:val="24"/>
        </w:rPr>
        <w:t xml:space="preserve"> </w:t>
      </w:r>
      <w:r w:rsidR="00792D85" w:rsidRPr="003C7D9D">
        <w:rPr>
          <w:rFonts w:ascii="Times New Roman" w:hAnsi="Times New Roman"/>
          <w:sz w:val="24"/>
          <w:szCs w:val="24"/>
        </w:rPr>
        <w:t>varios</w:t>
      </w:r>
      <w:r w:rsidR="000B03F8">
        <w:rPr>
          <w:rFonts w:ascii="Times New Roman" w:hAnsi="Times New Roman"/>
          <w:sz w:val="24"/>
          <w:szCs w:val="24"/>
        </w:rPr>
        <w:t xml:space="preserve"> </w:t>
      </w:r>
      <w:r w:rsidR="00792D85" w:rsidRPr="003C7D9D">
        <w:rPr>
          <w:rFonts w:ascii="Times New Roman" w:hAnsi="Times New Roman"/>
          <w:sz w:val="24"/>
          <w:szCs w:val="24"/>
        </w:rPr>
        <w:t>géneros destacándose</w:t>
      </w:r>
      <w:r w:rsidR="000B03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183" w:rsidRPr="003C7D9D">
        <w:rPr>
          <w:rFonts w:ascii="Times New Roman" w:hAnsi="Times New Roman"/>
          <w:i/>
          <w:iCs/>
          <w:sz w:val="24"/>
          <w:szCs w:val="24"/>
        </w:rPr>
        <w:t>Burkholderia</w:t>
      </w:r>
      <w:proofErr w:type="spellEnd"/>
      <w:r w:rsidR="000B03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37183" w:rsidRPr="003C7D9D">
        <w:rPr>
          <w:rFonts w:ascii="Times New Roman" w:hAnsi="Times New Roman"/>
          <w:i/>
          <w:iCs/>
          <w:sz w:val="24"/>
          <w:szCs w:val="24"/>
        </w:rPr>
        <w:t>cepacia</w:t>
      </w:r>
      <w:proofErr w:type="spellEnd"/>
      <w:r w:rsidR="00E37183" w:rsidRPr="003C7D9D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E37183" w:rsidRPr="003C7D9D">
        <w:rPr>
          <w:rFonts w:ascii="Times New Roman" w:hAnsi="Times New Roman"/>
          <w:i/>
          <w:iCs/>
          <w:sz w:val="24"/>
          <w:szCs w:val="24"/>
        </w:rPr>
        <w:t>Pseudomona</w:t>
      </w:r>
      <w:r w:rsidR="00C06F42"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r w:rsidR="00E37183" w:rsidRPr="003C7D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37183" w:rsidRPr="000B03F8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="00E37183" w:rsidRPr="003C7D9D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E37183" w:rsidRPr="003C7D9D">
        <w:rPr>
          <w:rFonts w:ascii="Times New Roman" w:hAnsi="Times New Roman"/>
          <w:i/>
          <w:iCs/>
          <w:sz w:val="24"/>
          <w:szCs w:val="24"/>
        </w:rPr>
        <w:t>Aeromonahy</w:t>
      </w:r>
      <w:proofErr w:type="spellEnd"/>
      <w:r w:rsidR="00C06F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37183" w:rsidRPr="003C7D9D">
        <w:rPr>
          <w:rFonts w:ascii="Times New Roman" w:hAnsi="Times New Roman"/>
          <w:i/>
          <w:iCs/>
          <w:sz w:val="24"/>
          <w:szCs w:val="24"/>
        </w:rPr>
        <w:t>drophilia</w:t>
      </w:r>
      <w:proofErr w:type="spellEnd"/>
      <w:r w:rsidR="00E37183" w:rsidRPr="003C7D9D">
        <w:rPr>
          <w:rFonts w:ascii="Times New Roman" w:hAnsi="Times New Roman"/>
          <w:i/>
          <w:iCs/>
          <w:sz w:val="24"/>
          <w:szCs w:val="24"/>
        </w:rPr>
        <w:t xml:space="preserve">,  </w:t>
      </w:r>
      <w:proofErr w:type="spellStart"/>
      <w:r w:rsidR="00E37183" w:rsidRPr="003C7D9D">
        <w:rPr>
          <w:rFonts w:ascii="Times New Roman" w:hAnsi="Times New Roman"/>
          <w:i/>
          <w:iCs/>
          <w:sz w:val="24"/>
          <w:szCs w:val="24"/>
        </w:rPr>
        <w:t>Pseudomona</w:t>
      </w:r>
      <w:r w:rsidR="00C06F42"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r w:rsidR="00E37183" w:rsidRPr="003C7D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37183" w:rsidRPr="003C7D9D">
        <w:rPr>
          <w:rFonts w:ascii="Times New Roman" w:hAnsi="Times New Roman"/>
          <w:i/>
          <w:iCs/>
          <w:sz w:val="24"/>
          <w:szCs w:val="24"/>
        </w:rPr>
        <w:t>luteola</w:t>
      </w:r>
      <w:proofErr w:type="spellEnd"/>
      <w:r w:rsidR="00E37183" w:rsidRPr="003C7D9D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E37183" w:rsidRPr="003C7D9D">
        <w:rPr>
          <w:rFonts w:ascii="Times New Roman" w:hAnsi="Times New Roman"/>
          <w:i/>
          <w:iCs/>
          <w:sz w:val="24"/>
          <w:szCs w:val="24"/>
        </w:rPr>
        <w:t>Pseudomona</w:t>
      </w:r>
      <w:r w:rsidR="00C06F42"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r w:rsidR="00E37183" w:rsidRPr="003C7D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37183" w:rsidRPr="003C7D9D">
        <w:rPr>
          <w:rFonts w:ascii="Times New Roman" w:hAnsi="Times New Roman"/>
          <w:i/>
          <w:iCs/>
          <w:sz w:val="24"/>
          <w:szCs w:val="24"/>
        </w:rPr>
        <w:t>putida</w:t>
      </w:r>
      <w:proofErr w:type="spellEnd"/>
      <w:r w:rsidR="00E37183" w:rsidRPr="003C7D9D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E37183" w:rsidRPr="003C7D9D">
        <w:rPr>
          <w:rFonts w:ascii="Times New Roman" w:hAnsi="Times New Roman"/>
          <w:i/>
          <w:iCs/>
          <w:sz w:val="24"/>
          <w:szCs w:val="24"/>
        </w:rPr>
        <w:t>Enterobacter</w:t>
      </w:r>
      <w:proofErr w:type="spellEnd"/>
      <w:r w:rsidR="000B03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37183" w:rsidRPr="003C7D9D">
        <w:rPr>
          <w:rFonts w:ascii="Times New Roman" w:hAnsi="Times New Roman"/>
          <w:i/>
          <w:iCs/>
          <w:sz w:val="24"/>
          <w:szCs w:val="24"/>
        </w:rPr>
        <w:t>sakasaki</w:t>
      </w:r>
      <w:proofErr w:type="spellEnd"/>
      <w:r w:rsidR="000672D0" w:rsidRPr="000672D0">
        <w:rPr>
          <w:rFonts w:ascii="Times New Roman" w:hAnsi="Times New Roman"/>
          <w:iCs/>
          <w:sz w:val="24"/>
          <w:szCs w:val="24"/>
        </w:rPr>
        <w:t>,</w:t>
      </w:r>
      <w:r w:rsidR="00E37183" w:rsidRPr="003C7D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37183" w:rsidRPr="003C7D9D">
        <w:rPr>
          <w:rFonts w:ascii="Times New Roman" w:hAnsi="Times New Roman"/>
          <w:i/>
          <w:iCs/>
          <w:sz w:val="24"/>
          <w:szCs w:val="24"/>
        </w:rPr>
        <w:t>Pantoea</w:t>
      </w:r>
      <w:proofErr w:type="spellEnd"/>
      <w:r w:rsidR="00E37183" w:rsidRPr="003C7D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37183" w:rsidRPr="000B03F8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="00E37183" w:rsidRPr="003C7D9D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E37183" w:rsidRPr="003C7D9D">
        <w:rPr>
          <w:rFonts w:ascii="Times New Roman" w:hAnsi="Times New Roman"/>
          <w:i/>
          <w:iCs/>
          <w:sz w:val="24"/>
          <w:szCs w:val="24"/>
        </w:rPr>
        <w:t>Enterobacter</w:t>
      </w:r>
      <w:proofErr w:type="spellEnd"/>
      <w:r w:rsidR="000B03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37183" w:rsidRPr="003C7D9D">
        <w:rPr>
          <w:rFonts w:ascii="Times New Roman" w:hAnsi="Times New Roman"/>
          <w:i/>
          <w:iCs/>
          <w:sz w:val="24"/>
          <w:szCs w:val="24"/>
        </w:rPr>
        <w:t>cloacae</w:t>
      </w:r>
      <w:proofErr w:type="spellEnd"/>
      <w:r w:rsidR="006428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428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642897" w:rsidRPr="008C1E48">
        <w:rPr>
          <w:rFonts w:ascii="Times New Roman" w:hAnsi="Times New Roman"/>
          <w:sz w:val="24"/>
          <w:szCs w:val="24"/>
          <w:lang w:val="es-AR"/>
        </w:rPr>
        <w:t>Lara</w:t>
      </w:r>
      <w:r w:rsidR="00642897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642897">
        <w:rPr>
          <w:rFonts w:ascii="Times New Roman" w:hAnsi="Times New Roman"/>
          <w:i/>
          <w:sz w:val="24"/>
          <w:szCs w:val="24"/>
          <w:lang w:val="es-AR"/>
        </w:rPr>
        <w:t>et al</w:t>
      </w:r>
      <w:r w:rsidR="00642897">
        <w:rPr>
          <w:rFonts w:ascii="Times New Roman" w:hAnsi="Times New Roman"/>
          <w:sz w:val="24"/>
          <w:szCs w:val="24"/>
          <w:lang w:val="es-AR"/>
        </w:rPr>
        <w:t>., 2011</w:t>
      </w:r>
      <w:r w:rsidR="006428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E37183" w:rsidRPr="003C7D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943F1" w:rsidRPr="003C7D9D" w:rsidRDefault="00A943F1" w:rsidP="006C6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92D85" w:rsidRPr="003C7D9D" w:rsidRDefault="00792D85" w:rsidP="006C6A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D9D">
        <w:rPr>
          <w:rFonts w:ascii="Times New Roman" w:hAnsi="Times New Roman"/>
          <w:sz w:val="24"/>
          <w:szCs w:val="24"/>
        </w:rPr>
        <w:t xml:space="preserve">Los </w:t>
      </w:r>
      <w:proofErr w:type="spellStart"/>
      <w:r w:rsidRPr="003C7D9D">
        <w:rPr>
          <w:rFonts w:ascii="Times New Roman" w:hAnsi="Times New Roman"/>
          <w:sz w:val="24"/>
          <w:szCs w:val="24"/>
        </w:rPr>
        <w:t>biofertilizantes</w:t>
      </w:r>
      <w:proofErr w:type="spellEnd"/>
      <w:r w:rsidRPr="003C7D9D">
        <w:rPr>
          <w:rFonts w:ascii="Times New Roman" w:hAnsi="Times New Roman"/>
          <w:sz w:val="24"/>
          <w:szCs w:val="24"/>
        </w:rPr>
        <w:t xml:space="preserve"> basados en microorganismos </w:t>
      </w:r>
      <w:proofErr w:type="spellStart"/>
      <w:r w:rsidRPr="003C7D9D">
        <w:rPr>
          <w:rFonts w:ascii="Times New Roman" w:hAnsi="Times New Roman"/>
          <w:sz w:val="24"/>
          <w:szCs w:val="24"/>
        </w:rPr>
        <w:t>rizo</w:t>
      </w:r>
      <w:r w:rsidR="00032DD7" w:rsidRPr="001966E8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1966E8">
        <w:rPr>
          <w:rFonts w:ascii="Times New Roman" w:hAnsi="Times New Roman"/>
          <w:color w:val="000000" w:themeColor="text1"/>
          <w:sz w:val="24"/>
          <w:szCs w:val="24"/>
        </w:rPr>
        <w:t>f</w:t>
      </w:r>
      <w:r w:rsidR="00F36F01">
        <w:rPr>
          <w:rFonts w:ascii="Times New Roman" w:hAnsi="Times New Roman"/>
          <w:sz w:val="24"/>
          <w:szCs w:val="24"/>
        </w:rPr>
        <w:t>é</w:t>
      </w:r>
      <w:r w:rsidRPr="003C7D9D">
        <w:rPr>
          <w:rFonts w:ascii="Times New Roman" w:hAnsi="Times New Roman"/>
          <w:sz w:val="24"/>
          <w:szCs w:val="24"/>
        </w:rPr>
        <w:t>ricos</w:t>
      </w:r>
      <w:proofErr w:type="spellEnd"/>
      <w:r w:rsidRPr="003C7D9D">
        <w:rPr>
          <w:rFonts w:ascii="Times New Roman" w:hAnsi="Times New Roman"/>
          <w:sz w:val="24"/>
          <w:szCs w:val="24"/>
        </w:rPr>
        <w:t xml:space="preserve"> son una alternativa emergente a los fertilizantes químicos inorgánicos para incrementar la fertilidad y producción de cultivo en </w:t>
      </w:r>
      <w:proofErr w:type="spellStart"/>
      <w:r w:rsidRPr="003C7D9D">
        <w:rPr>
          <w:rFonts w:ascii="Times New Roman" w:hAnsi="Times New Roman"/>
          <w:sz w:val="24"/>
          <w:szCs w:val="24"/>
        </w:rPr>
        <w:t>agroecosistemas</w:t>
      </w:r>
      <w:proofErr w:type="spellEnd"/>
      <w:r w:rsidRPr="003C7D9D">
        <w:rPr>
          <w:rFonts w:ascii="Times New Roman" w:hAnsi="Times New Roman"/>
          <w:sz w:val="24"/>
          <w:szCs w:val="24"/>
        </w:rPr>
        <w:t xml:space="preserve"> sustentables</w:t>
      </w:r>
      <w:r w:rsidR="00A54085" w:rsidRPr="003C7D9D">
        <w:rPr>
          <w:rFonts w:ascii="Times New Roman" w:hAnsi="Times New Roman"/>
          <w:sz w:val="24"/>
          <w:szCs w:val="24"/>
        </w:rPr>
        <w:t xml:space="preserve">, debido a que son productos </w:t>
      </w:r>
      <w:r w:rsidR="00BA6987" w:rsidRPr="003C7D9D">
        <w:rPr>
          <w:rFonts w:ascii="Times New Roman" w:hAnsi="Times New Roman"/>
          <w:sz w:val="24"/>
          <w:szCs w:val="24"/>
        </w:rPr>
        <w:t>basados en</w:t>
      </w:r>
      <w:r w:rsidR="00A54085" w:rsidRPr="003C7D9D">
        <w:rPr>
          <w:rFonts w:ascii="Times New Roman" w:hAnsi="Times New Roman"/>
          <w:sz w:val="24"/>
          <w:szCs w:val="24"/>
        </w:rPr>
        <w:t xml:space="preserve"> microorganismos con funciones importantes en la nutrición vegetal, ha mostrado efecto benéficos para los cultivos</w:t>
      </w:r>
      <w:r w:rsidR="006B51F5">
        <w:rPr>
          <w:rFonts w:ascii="Times New Roman" w:hAnsi="Times New Roman"/>
          <w:sz w:val="24"/>
          <w:szCs w:val="24"/>
        </w:rPr>
        <w:t xml:space="preserve"> </w:t>
      </w:r>
      <w:r w:rsidR="00A54085" w:rsidRPr="003C7D9D">
        <w:rPr>
          <w:rFonts w:ascii="Times New Roman" w:hAnsi="Times New Roman"/>
          <w:sz w:val="24"/>
          <w:szCs w:val="24"/>
        </w:rPr>
        <w:t xml:space="preserve">reduciendo el uso indiscriminado de sustancias químicas y de mejorar la cantidad y calidad de los recursos internos </w:t>
      </w:r>
      <w:r w:rsidR="00642897">
        <w:rPr>
          <w:rFonts w:ascii="Times New Roman" w:hAnsi="Times New Roman"/>
          <w:sz w:val="24"/>
          <w:szCs w:val="24"/>
        </w:rPr>
        <w:t>(</w:t>
      </w:r>
      <w:r w:rsidR="00642897" w:rsidRPr="008C1E48">
        <w:rPr>
          <w:rFonts w:ascii="Times New Roman" w:hAnsi="Times New Roman"/>
          <w:sz w:val="24"/>
          <w:szCs w:val="24"/>
        </w:rPr>
        <w:t>Echever</w:t>
      </w:r>
      <w:r w:rsidR="00642897">
        <w:rPr>
          <w:rFonts w:ascii="Times New Roman" w:hAnsi="Times New Roman"/>
          <w:sz w:val="24"/>
          <w:szCs w:val="24"/>
        </w:rPr>
        <w:t xml:space="preserve">ri y </w:t>
      </w:r>
      <w:r w:rsidR="00642897" w:rsidRPr="008C1E48">
        <w:rPr>
          <w:rFonts w:ascii="Times New Roman" w:hAnsi="Times New Roman"/>
          <w:sz w:val="24"/>
          <w:szCs w:val="24"/>
        </w:rPr>
        <w:t>Castilla</w:t>
      </w:r>
      <w:r w:rsidR="00D9340D">
        <w:rPr>
          <w:rFonts w:ascii="Times New Roman" w:hAnsi="Times New Roman"/>
          <w:sz w:val="24"/>
          <w:szCs w:val="24"/>
        </w:rPr>
        <w:t xml:space="preserve">, 2008; </w:t>
      </w:r>
      <w:proofErr w:type="spellStart"/>
      <w:r w:rsidR="00D9340D" w:rsidRPr="00796C69">
        <w:rPr>
          <w:rFonts w:ascii="Times New Roman" w:hAnsi="Times New Roman"/>
          <w:sz w:val="24"/>
          <w:szCs w:val="24"/>
        </w:rPr>
        <w:t>Wu</w:t>
      </w:r>
      <w:proofErr w:type="spellEnd"/>
      <w:r w:rsidR="00D9340D" w:rsidRPr="00796C69">
        <w:rPr>
          <w:rFonts w:ascii="Times New Roman" w:hAnsi="Times New Roman"/>
          <w:sz w:val="24"/>
          <w:szCs w:val="24"/>
        </w:rPr>
        <w:t xml:space="preserve"> </w:t>
      </w:r>
      <w:r w:rsidR="00D9340D" w:rsidRPr="00796C69">
        <w:rPr>
          <w:rFonts w:ascii="Times New Roman" w:hAnsi="Times New Roman"/>
          <w:i/>
          <w:sz w:val="24"/>
          <w:szCs w:val="24"/>
        </w:rPr>
        <w:t>et al</w:t>
      </w:r>
      <w:r w:rsidR="00D9340D" w:rsidRPr="00796C69">
        <w:rPr>
          <w:rFonts w:ascii="Times New Roman" w:hAnsi="Times New Roman"/>
          <w:sz w:val="24"/>
          <w:szCs w:val="24"/>
        </w:rPr>
        <w:t>., 2005</w:t>
      </w:r>
      <w:r w:rsidR="00642897">
        <w:rPr>
          <w:rFonts w:ascii="Times New Roman" w:hAnsi="Times New Roman"/>
          <w:sz w:val="24"/>
          <w:szCs w:val="24"/>
        </w:rPr>
        <w:t>)</w:t>
      </w:r>
      <w:r w:rsidRPr="003C7D9D">
        <w:rPr>
          <w:rFonts w:ascii="Times New Roman" w:hAnsi="Times New Roman"/>
          <w:sz w:val="24"/>
          <w:szCs w:val="24"/>
        </w:rPr>
        <w:t>.</w:t>
      </w:r>
      <w:r w:rsidR="000B03F8">
        <w:rPr>
          <w:rFonts w:ascii="Times New Roman" w:hAnsi="Times New Roman"/>
          <w:sz w:val="24"/>
          <w:szCs w:val="24"/>
        </w:rPr>
        <w:t xml:space="preserve">  </w:t>
      </w:r>
      <w:r w:rsidR="006B684D" w:rsidRPr="003C7D9D">
        <w:rPr>
          <w:rFonts w:ascii="Times New Roman" w:hAnsi="Times New Roman"/>
          <w:sz w:val="24"/>
          <w:szCs w:val="24"/>
        </w:rPr>
        <w:t xml:space="preserve">Por lo anteriormente mencionado, es de gran interés el estudio de los microorganismos </w:t>
      </w:r>
      <w:proofErr w:type="spellStart"/>
      <w:r w:rsidR="006B684D" w:rsidRPr="003C7D9D">
        <w:rPr>
          <w:rFonts w:ascii="Times New Roman" w:hAnsi="Times New Roman"/>
          <w:sz w:val="24"/>
          <w:szCs w:val="24"/>
        </w:rPr>
        <w:t>solubilizadores</w:t>
      </w:r>
      <w:proofErr w:type="spellEnd"/>
      <w:r w:rsidR="006B684D" w:rsidRPr="003C7D9D">
        <w:rPr>
          <w:rFonts w:ascii="Times New Roman" w:hAnsi="Times New Roman"/>
          <w:sz w:val="24"/>
          <w:szCs w:val="24"/>
        </w:rPr>
        <w:t xml:space="preserve"> de fosfato y los posible</w:t>
      </w:r>
      <w:r w:rsidR="00CD38EF">
        <w:rPr>
          <w:rFonts w:ascii="Times New Roman" w:hAnsi="Times New Roman"/>
          <w:sz w:val="24"/>
          <w:szCs w:val="24"/>
        </w:rPr>
        <w:t>s consorcios que se pueden dar</w:t>
      </w:r>
      <w:r w:rsidR="006B684D" w:rsidRPr="003C7D9D">
        <w:rPr>
          <w:rFonts w:ascii="Times New Roman" w:hAnsi="Times New Roman"/>
          <w:sz w:val="24"/>
          <w:szCs w:val="24"/>
        </w:rPr>
        <w:t xml:space="preserve"> entre ellos para aumentar </w:t>
      </w:r>
      <w:r w:rsidR="00E930DB" w:rsidRPr="003C7D9D">
        <w:rPr>
          <w:rFonts w:ascii="Times New Roman" w:hAnsi="Times New Roman"/>
          <w:sz w:val="24"/>
          <w:szCs w:val="24"/>
        </w:rPr>
        <w:t>la disponibilidad del elemento</w:t>
      </w:r>
      <w:r w:rsidR="00747A2D" w:rsidRPr="003C7D9D">
        <w:rPr>
          <w:rFonts w:ascii="Times New Roman" w:hAnsi="Times New Roman"/>
          <w:sz w:val="24"/>
          <w:szCs w:val="24"/>
        </w:rPr>
        <w:t xml:space="preserve">,  </w:t>
      </w:r>
      <w:r w:rsidR="006B684D" w:rsidRPr="003C7D9D">
        <w:rPr>
          <w:rFonts w:ascii="Times New Roman" w:hAnsi="Times New Roman"/>
          <w:sz w:val="24"/>
          <w:szCs w:val="24"/>
        </w:rPr>
        <w:t>de esta forma se reducen los costos en el sector agrícola unas de las principales bases de la economía del departamento de Córdoba al igual que otros departamentos de Colombia</w:t>
      </w:r>
      <w:r w:rsidR="000B03F8">
        <w:rPr>
          <w:rFonts w:ascii="Times New Roman" w:hAnsi="Times New Roman"/>
          <w:sz w:val="24"/>
          <w:szCs w:val="24"/>
        </w:rPr>
        <w:t>.</w:t>
      </w:r>
      <w:r w:rsidR="006B684D" w:rsidRPr="003C7D9D">
        <w:rPr>
          <w:rFonts w:ascii="Times New Roman" w:hAnsi="Times New Roman"/>
          <w:sz w:val="24"/>
          <w:szCs w:val="24"/>
        </w:rPr>
        <w:t xml:space="preserve">   </w:t>
      </w:r>
    </w:p>
    <w:p w:rsidR="00553CA5" w:rsidRPr="00C45826" w:rsidRDefault="00032F1F" w:rsidP="00553C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región de Córdoba</w:t>
      </w:r>
      <w:r w:rsidR="00915728">
        <w:rPr>
          <w:rFonts w:ascii="Times New Roman" w:hAnsi="Times New Roman"/>
          <w:sz w:val="24"/>
          <w:szCs w:val="24"/>
        </w:rPr>
        <w:t xml:space="preserve"> además de ser agrícola</w:t>
      </w:r>
      <w:r>
        <w:rPr>
          <w:rFonts w:ascii="Times New Roman" w:hAnsi="Times New Roman"/>
          <w:sz w:val="24"/>
          <w:szCs w:val="24"/>
        </w:rPr>
        <w:t xml:space="preserve"> </w:t>
      </w:r>
      <w:r w:rsidR="00553CA5" w:rsidRPr="004E2808">
        <w:rPr>
          <w:rFonts w:ascii="Times New Roman" w:hAnsi="Times New Roman"/>
          <w:sz w:val="24"/>
          <w:szCs w:val="24"/>
        </w:rPr>
        <w:t xml:space="preserve">es considerado una importante zona ganadera </w:t>
      </w:r>
      <w:r w:rsidR="00553CA5">
        <w:rPr>
          <w:rFonts w:ascii="Times New Roman" w:hAnsi="Times New Roman"/>
          <w:sz w:val="24"/>
          <w:szCs w:val="24"/>
        </w:rPr>
        <w:t>que sustenta</w:t>
      </w:r>
      <w:r w:rsidR="00553CA5" w:rsidRPr="004E2808">
        <w:rPr>
          <w:rFonts w:ascii="Times New Roman" w:hAnsi="Times New Roman"/>
          <w:sz w:val="24"/>
          <w:szCs w:val="24"/>
        </w:rPr>
        <w:t xml:space="preserve"> la alimentación de los animales principalmente en las especie</w:t>
      </w:r>
      <w:r w:rsidR="00553CA5">
        <w:rPr>
          <w:rFonts w:ascii="Times New Roman" w:hAnsi="Times New Roman"/>
          <w:sz w:val="24"/>
          <w:szCs w:val="24"/>
        </w:rPr>
        <w:t xml:space="preserve">s forrajeras existentes como la </w:t>
      </w:r>
      <w:r w:rsidR="00553CA5" w:rsidRPr="004E2808">
        <w:rPr>
          <w:rFonts w:ascii="Times New Roman" w:hAnsi="Times New Roman"/>
          <w:sz w:val="24"/>
          <w:szCs w:val="24"/>
        </w:rPr>
        <w:t xml:space="preserve">gramínea </w:t>
      </w:r>
      <w:proofErr w:type="spellStart"/>
      <w:r w:rsidR="00553CA5" w:rsidRPr="004E2808">
        <w:rPr>
          <w:rFonts w:ascii="Times New Roman" w:hAnsi="Times New Roman"/>
          <w:i/>
          <w:iCs/>
          <w:sz w:val="24"/>
          <w:szCs w:val="24"/>
        </w:rPr>
        <w:t>Dichantium</w:t>
      </w:r>
      <w:proofErr w:type="spellEnd"/>
      <w:r w:rsidR="00553CA5" w:rsidRPr="004E280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53CA5" w:rsidRPr="004E2808">
        <w:rPr>
          <w:rFonts w:ascii="Times New Roman" w:hAnsi="Times New Roman"/>
          <w:i/>
          <w:iCs/>
          <w:sz w:val="24"/>
          <w:szCs w:val="24"/>
        </w:rPr>
        <w:t>aristatum</w:t>
      </w:r>
      <w:proofErr w:type="spellEnd"/>
      <w:r w:rsidR="00553CA5" w:rsidRPr="004E280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53CA5" w:rsidRPr="004E2808">
        <w:rPr>
          <w:rFonts w:ascii="Times New Roman" w:hAnsi="Times New Roman"/>
          <w:sz w:val="24"/>
          <w:szCs w:val="24"/>
        </w:rPr>
        <w:t>(</w:t>
      </w:r>
      <w:r w:rsidR="009444CC">
        <w:rPr>
          <w:rFonts w:ascii="Times New Roman" w:hAnsi="Times New Roman"/>
          <w:sz w:val="24"/>
          <w:szCs w:val="24"/>
        </w:rPr>
        <w:t xml:space="preserve">pastos </w:t>
      </w:r>
      <w:proofErr w:type="spellStart"/>
      <w:r w:rsidR="00553CA5" w:rsidRPr="004E2808">
        <w:rPr>
          <w:rFonts w:ascii="Times New Roman" w:hAnsi="Times New Roman"/>
          <w:sz w:val="24"/>
          <w:szCs w:val="24"/>
        </w:rPr>
        <w:t>Anglet</w:t>
      </w:r>
      <w:r w:rsidR="009444CC">
        <w:rPr>
          <w:rFonts w:ascii="Times New Roman" w:hAnsi="Times New Roman"/>
          <w:sz w:val="24"/>
          <w:szCs w:val="24"/>
        </w:rPr>
        <w:t>o</w:t>
      </w:r>
      <w:r w:rsidR="00553CA5" w:rsidRPr="004E2808">
        <w:rPr>
          <w:rFonts w:ascii="Times New Roman" w:hAnsi="Times New Roman"/>
          <w:sz w:val="24"/>
          <w:szCs w:val="24"/>
        </w:rPr>
        <w:t>n</w:t>
      </w:r>
      <w:proofErr w:type="spellEnd"/>
      <w:r w:rsidR="00553CA5" w:rsidRPr="004E2808">
        <w:rPr>
          <w:rFonts w:ascii="Times New Roman" w:hAnsi="Times New Roman"/>
          <w:sz w:val="24"/>
          <w:szCs w:val="24"/>
        </w:rPr>
        <w:t>).</w:t>
      </w:r>
      <w:r w:rsidR="00553CA5">
        <w:rPr>
          <w:rFonts w:ascii="Times New Roman" w:hAnsi="Times New Roman"/>
          <w:sz w:val="24"/>
          <w:szCs w:val="24"/>
        </w:rPr>
        <w:t xml:space="preserve"> Esta planta es </w:t>
      </w:r>
      <w:r w:rsidR="00553CA5" w:rsidRPr="00C45826">
        <w:rPr>
          <w:rFonts w:ascii="Times New Roman" w:hAnsi="Times New Roman"/>
          <w:sz w:val="24"/>
          <w:szCs w:val="24"/>
        </w:rPr>
        <w:t xml:space="preserve">muy apetecible por </w:t>
      </w:r>
      <w:r w:rsidR="00553CA5">
        <w:rPr>
          <w:rFonts w:ascii="Times New Roman" w:hAnsi="Times New Roman"/>
          <w:sz w:val="24"/>
          <w:szCs w:val="24"/>
        </w:rPr>
        <w:t>el ganado</w:t>
      </w:r>
      <w:r w:rsidR="00553CA5" w:rsidRPr="00C45826">
        <w:rPr>
          <w:rFonts w:ascii="Times New Roman" w:hAnsi="Times New Roman"/>
          <w:sz w:val="24"/>
          <w:szCs w:val="24"/>
        </w:rPr>
        <w:t xml:space="preserve"> y </w:t>
      </w:r>
      <w:r w:rsidR="00553CA5">
        <w:rPr>
          <w:rFonts w:ascii="Times New Roman" w:hAnsi="Times New Roman"/>
          <w:sz w:val="24"/>
          <w:szCs w:val="24"/>
        </w:rPr>
        <w:t xml:space="preserve">es </w:t>
      </w:r>
      <w:r w:rsidR="00553CA5" w:rsidRPr="00C45826">
        <w:rPr>
          <w:rFonts w:ascii="Times New Roman" w:hAnsi="Times New Roman"/>
          <w:sz w:val="24"/>
          <w:szCs w:val="24"/>
        </w:rPr>
        <w:t>utilizado en la fabricación de heno</w:t>
      </w:r>
      <w:r w:rsidR="003E6ADE">
        <w:rPr>
          <w:rFonts w:ascii="Times New Roman" w:hAnsi="Times New Roman"/>
          <w:sz w:val="24"/>
          <w:szCs w:val="24"/>
        </w:rPr>
        <w:t>,</w:t>
      </w:r>
      <w:r w:rsidR="00553CA5" w:rsidRPr="00C45826">
        <w:rPr>
          <w:rFonts w:ascii="Times New Roman" w:hAnsi="Times New Roman"/>
          <w:sz w:val="24"/>
          <w:szCs w:val="24"/>
        </w:rPr>
        <w:t xml:space="preserve"> </w:t>
      </w:r>
      <w:r w:rsidR="008D1408">
        <w:rPr>
          <w:rFonts w:ascii="Times New Roman" w:hAnsi="Times New Roman"/>
          <w:sz w:val="24"/>
          <w:szCs w:val="24"/>
        </w:rPr>
        <w:t xml:space="preserve">para </w:t>
      </w:r>
      <w:r w:rsidR="00810D31">
        <w:rPr>
          <w:rFonts w:ascii="Times New Roman" w:hAnsi="Times New Roman"/>
          <w:sz w:val="24"/>
          <w:szCs w:val="24"/>
        </w:rPr>
        <w:t>supli</w:t>
      </w:r>
      <w:r w:rsidR="008D1408">
        <w:rPr>
          <w:rFonts w:ascii="Times New Roman" w:hAnsi="Times New Roman"/>
          <w:sz w:val="24"/>
          <w:szCs w:val="24"/>
        </w:rPr>
        <w:t>r</w:t>
      </w:r>
      <w:r w:rsidR="00810D31">
        <w:rPr>
          <w:rFonts w:ascii="Times New Roman" w:hAnsi="Times New Roman"/>
          <w:sz w:val="24"/>
          <w:szCs w:val="24"/>
        </w:rPr>
        <w:t xml:space="preserve"> las necesidades </w:t>
      </w:r>
      <w:r w:rsidR="008D1408">
        <w:rPr>
          <w:rFonts w:ascii="Times New Roman" w:hAnsi="Times New Roman"/>
          <w:sz w:val="24"/>
          <w:szCs w:val="24"/>
        </w:rPr>
        <w:t xml:space="preserve">alimenticias </w:t>
      </w:r>
      <w:r w:rsidR="00810D31">
        <w:rPr>
          <w:rFonts w:ascii="Times New Roman" w:hAnsi="Times New Roman"/>
          <w:sz w:val="24"/>
          <w:szCs w:val="24"/>
        </w:rPr>
        <w:t>de</w:t>
      </w:r>
      <w:r w:rsidR="00553CA5" w:rsidRPr="00C45826">
        <w:rPr>
          <w:rFonts w:ascii="Times New Roman" w:hAnsi="Times New Roman"/>
          <w:sz w:val="24"/>
          <w:szCs w:val="24"/>
        </w:rPr>
        <w:t xml:space="preserve"> los animales </w:t>
      </w:r>
      <w:r w:rsidR="008D1408">
        <w:rPr>
          <w:rFonts w:ascii="Times New Roman" w:hAnsi="Times New Roman"/>
          <w:sz w:val="24"/>
          <w:szCs w:val="24"/>
        </w:rPr>
        <w:t xml:space="preserve">en </w:t>
      </w:r>
      <w:r w:rsidR="00553CA5" w:rsidRPr="00C45826">
        <w:rPr>
          <w:rFonts w:ascii="Times New Roman" w:hAnsi="Times New Roman"/>
          <w:sz w:val="24"/>
          <w:szCs w:val="24"/>
        </w:rPr>
        <w:t xml:space="preserve"> procesos de producción de carne o leche</w:t>
      </w:r>
      <w:r w:rsidR="003E6ADE">
        <w:rPr>
          <w:rFonts w:ascii="Times New Roman" w:hAnsi="Times New Roman"/>
          <w:sz w:val="24"/>
          <w:szCs w:val="24"/>
        </w:rPr>
        <w:t>,</w:t>
      </w:r>
      <w:r w:rsidR="00553CA5" w:rsidRPr="00C45826">
        <w:rPr>
          <w:rFonts w:ascii="Times New Roman" w:hAnsi="Times New Roman"/>
          <w:sz w:val="24"/>
          <w:szCs w:val="24"/>
        </w:rPr>
        <w:t xml:space="preserve"> a un costo mucho menor que los concentrados (</w:t>
      </w:r>
      <w:r w:rsidR="00166772">
        <w:rPr>
          <w:rFonts w:ascii="Times New Roman" w:hAnsi="Times New Roman"/>
          <w:sz w:val="24"/>
          <w:szCs w:val="24"/>
        </w:rPr>
        <w:t xml:space="preserve">Cuadrado </w:t>
      </w:r>
      <w:r w:rsidR="00166772" w:rsidRPr="00166772">
        <w:rPr>
          <w:rFonts w:ascii="Times New Roman" w:hAnsi="Times New Roman"/>
          <w:i/>
          <w:sz w:val="24"/>
          <w:szCs w:val="24"/>
        </w:rPr>
        <w:t>et al,</w:t>
      </w:r>
      <w:r w:rsidR="00553CA5" w:rsidRPr="00C45826">
        <w:rPr>
          <w:rFonts w:ascii="Times New Roman" w:hAnsi="Times New Roman"/>
          <w:sz w:val="24"/>
          <w:szCs w:val="24"/>
        </w:rPr>
        <w:t xml:space="preserve"> 2003).</w:t>
      </w:r>
      <w:r w:rsidR="00553CA5">
        <w:rPr>
          <w:rFonts w:ascii="Times New Roman" w:hAnsi="Times New Roman"/>
          <w:sz w:val="24"/>
          <w:szCs w:val="24"/>
        </w:rPr>
        <w:t xml:space="preserve"> </w:t>
      </w:r>
      <w:r w:rsidR="001B1D11">
        <w:rPr>
          <w:rFonts w:ascii="Times New Roman" w:hAnsi="Times New Roman"/>
          <w:sz w:val="24"/>
          <w:szCs w:val="24"/>
        </w:rPr>
        <w:t>Sin embargo  l</w:t>
      </w:r>
      <w:r w:rsidR="009444CC">
        <w:rPr>
          <w:rFonts w:ascii="Times New Roman" w:hAnsi="Times New Roman"/>
          <w:sz w:val="24"/>
          <w:szCs w:val="24"/>
        </w:rPr>
        <w:t xml:space="preserve">as áreas de cultivo del pasto </w:t>
      </w:r>
      <w:proofErr w:type="spellStart"/>
      <w:r w:rsidR="009444CC">
        <w:rPr>
          <w:rFonts w:ascii="Times New Roman" w:hAnsi="Times New Roman"/>
          <w:sz w:val="24"/>
          <w:szCs w:val="24"/>
        </w:rPr>
        <w:t>Angleton</w:t>
      </w:r>
      <w:proofErr w:type="spellEnd"/>
      <w:r w:rsidR="009444CC">
        <w:rPr>
          <w:rFonts w:ascii="Times New Roman" w:hAnsi="Times New Roman"/>
          <w:sz w:val="24"/>
          <w:szCs w:val="24"/>
        </w:rPr>
        <w:t xml:space="preserve"> han sido sometidas al uso excesivo de fertiliza</w:t>
      </w:r>
      <w:r w:rsidR="001B1D11">
        <w:rPr>
          <w:rFonts w:ascii="Times New Roman" w:hAnsi="Times New Roman"/>
          <w:sz w:val="24"/>
          <w:szCs w:val="24"/>
        </w:rPr>
        <w:t>ntes</w:t>
      </w:r>
      <w:r w:rsidR="009444CC">
        <w:rPr>
          <w:rFonts w:ascii="Times New Roman" w:hAnsi="Times New Roman"/>
          <w:sz w:val="24"/>
          <w:szCs w:val="24"/>
        </w:rPr>
        <w:t xml:space="preserve"> químic</w:t>
      </w:r>
      <w:r w:rsidR="001B1D11">
        <w:rPr>
          <w:rFonts w:ascii="Times New Roman" w:hAnsi="Times New Roman"/>
          <w:sz w:val="24"/>
          <w:szCs w:val="24"/>
        </w:rPr>
        <w:t>os</w:t>
      </w:r>
      <w:r w:rsidR="009444CC">
        <w:rPr>
          <w:rFonts w:ascii="Times New Roman" w:hAnsi="Times New Roman"/>
          <w:sz w:val="24"/>
          <w:szCs w:val="24"/>
        </w:rPr>
        <w:t xml:space="preserve"> lo cual ha </w:t>
      </w:r>
      <w:r w:rsidR="009444CC" w:rsidRPr="004E2808">
        <w:rPr>
          <w:rFonts w:ascii="Times New Roman" w:hAnsi="Times New Roman"/>
          <w:sz w:val="24"/>
          <w:szCs w:val="24"/>
        </w:rPr>
        <w:t>influ</w:t>
      </w:r>
      <w:r w:rsidR="00BC31B0">
        <w:rPr>
          <w:rFonts w:ascii="Times New Roman" w:hAnsi="Times New Roman"/>
          <w:sz w:val="24"/>
          <w:szCs w:val="24"/>
        </w:rPr>
        <w:t>i</w:t>
      </w:r>
      <w:r w:rsidR="00636AA9">
        <w:rPr>
          <w:rFonts w:ascii="Times New Roman" w:hAnsi="Times New Roman"/>
          <w:sz w:val="24"/>
          <w:szCs w:val="24"/>
        </w:rPr>
        <w:t xml:space="preserve">do </w:t>
      </w:r>
      <w:r w:rsidR="009444CC" w:rsidRPr="004E2808">
        <w:rPr>
          <w:rFonts w:ascii="Times New Roman" w:hAnsi="Times New Roman"/>
          <w:sz w:val="24"/>
          <w:szCs w:val="24"/>
        </w:rPr>
        <w:t xml:space="preserve">en la desestabilización ecológica del suelo afectando negativamente </w:t>
      </w:r>
      <w:r w:rsidR="00ED04B6">
        <w:rPr>
          <w:rFonts w:ascii="Times New Roman" w:hAnsi="Times New Roman"/>
          <w:sz w:val="24"/>
          <w:szCs w:val="24"/>
        </w:rPr>
        <w:t xml:space="preserve">la actividad microbiana </w:t>
      </w:r>
      <w:r w:rsidR="00ED04B6" w:rsidRPr="004E2808">
        <w:rPr>
          <w:rFonts w:ascii="Times New Roman" w:hAnsi="Times New Roman"/>
          <w:sz w:val="24"/>
          <w:szCs w:val="24"/>
        </w:rPr>
        <w:t>comprometida en la nutrición vegetal</w:t>
      </w:r>
      <w:r w:rsidR="001B1D11">
        <w:rPr>
          <w:rFonts w:ascii="Times New Roman" w:hAnsi="Times New Roman"/>
          <w:sz w:val="24"/>
          <w:szCs w:val="24"/>
        </w:rPr>
        <w:t xml:space="preserve">; como consecuencias </w:t>
      </w:r>
      <w:r w:rsidR="00ED04B6">
        <w:rPr>
          <w:rFonts w:ascii="Times New Roman" w:hAnsi="Times New Roman"/>
          <w:sz w:val="24"/>
          <w:szCs w:val="24"/>
        </w:rPr>
        <w:t xml:space="preserve"> </w:t>
      </w:r>
      <w:r w:rsidR="003E6ADE">
        <w:rPr>
          <w:rFonts w:ascii="Times New Roman" w:hAnsi="Times New Roman"/>
          <w:sz w:val="24"/>
          <w:szCs w:val="24"/>
        </w:rPr>
        <w:t xml:space="preserve">se ha </w:t>
      </w:r>
      <w:r w:rsidR="009444CC" w:rsidRPr="004E2808">
        <w:rPr>
          <w:rFonts w:ascii="Times New Roman" w:hAnsi="Times New Roman"/>
          <w:sz w:val="24"/>
          <w:szCs w:val="24"/>
        </w:rPr>
        <w:t>limita</w:t>
      </w:r>
      <w:r w:rsidR="003E6ADE">
        <w:rPr>
          <w:rFonts w:ascii="Times New Roman" w:hAnsi="Times New Roman"/>
          <w:sz w:val="24"/>
          <w:szCs w:val="24"/>
        </w:rPr>
        <w:t>do</w:t>
      </w:r>
      <w:r w:rsidR="009444CC" w:rsidRPr="004E2808">
        <w:rPr>
          <w:rFonts w:ascii="Times New Roman" w:hAnsi="Times New Roman"/>
          <w:sz w:val="24"/>
          <w:szCs w:val="24"/>
        </w:rPr>
        <w:t xml:space="preserve"> los nutrientes disponibles para las plantas</w:t>
      </w:r>
      <w:r w:rsidR="003E6ADE">
        <w:rPr>
          <w:rFonts w:ascii="Times New Roman" w:hAnsi="Times New Roman"/>
          <w:sz w:val="24"/>
          <w:szCs w:val="24"/>
        </w:rPr>
        <w:t xml:space="preserve"> </w:t>
      </w:r>
      <w:r w:rsidR="005E3F49">
        <w:rPr>
          <w:rFonts w:ascii="Times New Roman" w:hAnsi="Times New Roman"/>
          <w:sz w:val="24"/>
          <w:szCs w:val="24"/>
        </w:rPr>
        <w:t xml:space="preserve">(dentro </w:t>
      </w:r>
      <w:r w:rsidR="005E3F49">
        <w:rPr>
          <w:rFonts w:ascii="Times New Roman" w:hAnsi="Times New Roman"/>
          <w:sz w:val="24"/>
          <w:szCs w:val="24"/>
        </w:rPr>
        <w:lastRenderedPageBreak/>
        <w:t xml:space="preserve">de ellos el </w:t>
      </w:r>
      <w:r w:rsidR="00E75E77">
        <w:rPr>
          <w:rFonts w:ascii="Times New Roman" w:hAnsi="Times New Roman"/>
          <w:sz w:val="24"/>
          <w:szCs w:val="24"/>
        </w:rPr>
        <w:t>fósforo</w:t>
      </w:r>
      <w:r w:rsidR="005E3F49">
        <w:rPr>
          <w:rFonts w:ascii="Times New Roman" w:hAnsi="Times New Roman"/>
          <w:sz w:val="24"/>
          <w:szCs w:val="24"/>
        </w:rPr>
        <w:t xml:space="preserve">) </w:t>
      </w:r>
      <w:r w:rsidR="003E6ADE">
        <w:rPr>
          <w:rFonts w:ascii="Times New Roman" w:hAnsi="Times New Roman"/>
          <w:sz w:val="24"/>
          <w:szCs w:val="24"/>
        </w:rPr>
        <w:t>siendo necesario la búsqueda de alternativas que puedan mejorar este panorama.</w:t>
      </w:r>
    </w:p>
    <w:p w:rsidR="00792D85" w:rsidRPr="003C7D9D" w:rsidRDefault="00AC78C4" w:rsidP="006C6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3CE2">
        <w:rPr>
          <w:rFonts w:ascii="Times New Roman" w:hAnsi="Times New Roman"/>
          <w:color w:val="000000"/>
          <w:sz w:val="24"/>
          <w:szCs w:val="24"/>
        </w:rPr>
        <w:t xml:space="preserve">Conociendo la importancia del </w:t>
      </w:r>
      <w:r w:rsidR="00E75E77">
        <w:rPr>
          <w:rFonts w:ascii="Times New Roman" w:hAnsi="Times New Roman"/>
          <w:color w:val="000000"/>
          <w:sz w:val="24"/>
          <w:szCs w:val="24"/>
        </w:rPr>
        <w:t>f</w:t>
      </w:r>
      <w:r w:rsidR="00E75E77" w:rsidRPr="00213CE2">
        <w:rPr>
          <w:rFonts w:ascii="Times New Roman" w:hAnsi="Times New Roman"/>
          <w:color w:val="000000"/>
          <w:sz w:val="24"/>
          <w:szCs w:val="24"/>
        </w:rPr>
        <w:t xml:space="preserve">ósforo </w:t>
      </w:r>
      <w:r w:rsidRPr="00213CE2">
        <w:rPr>
          <w:rFonts w:ascii="Times New Roman" w:hAnsi="Times New Roman"/>
          <w:color w:val="000000"/>
          <w:sz w:val="24"/>
          <w:szCs w:val="24"/>
        </w:rPr>
        <w:t xml:space="preserve">para el óptimo desarrollo de las plantas y </w:t>
      </w:r>
      <w:r w:rsidR="00213CE2" w:rsidRPr="00213CE2">
        <w:rPr>
          <w:rFonts w:ascii="Times New Roman" w:hAnsi="Times New Roman"/>
          <w:color w:val="000000"/>
          <w:sz w:val="24"/>
          <w:szCs w:val="24"/>
        </w:rPr>
        <w:t xml:space="preserve">teniendo en cuenta </w:t>
      </w:r>
      <w:r w:rsidR="00213CE2" w:rsidRPr="00213CE2">
        <w:rPr>
          <w:rFonts w:ascii="Times New Roman" w:hAnsi="Times New Roman"/>
          <w:sz w:val="24"/>
          <w:szCs w:val="24"/>
        </w:rPr>
        <w:t xml:space="preserve"> la problemática que conlleva una baja disponibilidad de P en el cultivo</w:t>
      </w:r>
      <w:r w:rsidR="00213CE2" w:rsidRPr="00213CE2">
        <w:rPr>
          <w:rFonts w:ascii="Times New Roman" w:hAnsi="Times New Roman"/>
          <w:color w:val="000000"/>
          <w:sz w:val="24"/>
          <w:szCs w:val="24"/>
        </w:rPr>
        <w:t xml:space="preserve"> de pastos </w:t>
      </w:r>
      <w:proofErr w:type="spellStart"/>
      <w:r w:rsidR="00213CE2" w:rsidRPr="00213CE2">
        <w:rPr>
          <w:rFonts w:ascii="Times New Roman" w:hAnsi="Times New Roman"/>
          <w:color w:val="000000"/>
          <w:sz w:val="24"/>
          <w:szCs w:val="24"/>
        </w:rPr>
        <w:t>Angleton</w:t>
      </w:r>
      <w:proofErr w:type="spellEnd"/>
      <w:r w:rsidRPr="003C7D9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92D85" w:rsidRPr="003C7D9D">
        <w:rPr>
          <w:rFonts w:ascii="Times New Roman" w:hAnsi="Times New Roman"/>
          <w:sz w:val="24"/>
          <w:szCs w:val="24"/>
        </w:rPr>
        <w:t xml:space="preserve">se evaluó la capacidad solubilizadora de fosfato de consorcios formados por bacterias nativas de los géneros </w:t>
      </w:r>
      <w:proofErr w:type="spellStart"/>
      <w:r w:rsidR="00792D85" w:rsidRPr="003C7D9D">
        <w:rPr>
          <w:rFonts w:ascii="Times New Roman" w:hAnsi="Times New Roman"/>
          <w:i/>
          <w:iCs/>
          <w:sz w:val="24"/>
          <w:szCs w:val="24"/>
        </w:rPr>
        <w:t>Burkholderia</w:t>
      </w:r>
      <w:proofErr w:type="spellEnd"/>
      <w:r w:rsidR="00CD38E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92D85" w:rsidRPr="003C7D9D">
        <w:rPr>
          <w:rFonts w:ascii="Times New Roman" w:hAnsi="Times New Roman"/>
          <w:i/>
          <w:iCs/>
          <w:sz w:val="24"/>
          <w:szCs w:val="24"/>
        </w:rPr>
        <w:t>cepacia</w:t>
      </w:r>
      <w:proofErr w:type="spellEnd"/>
      <w:r w:rsidR="00792D85" w:rsidRPr="003C7D9D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792D85" w:rsidRPr="003C7D9D">
        <w:rPr>
          <w:rFonts w:ascii="Times New Roman" w:hAnsi="Times New Roman"/>
          <w:i/>
          <w:iCs/>
          <w:sz w:val="24"/>
          <w:szCs w:val="24"/>
        </w:rPr>
        <w:t>Pseudomona</w:t>
      </w:r>
      <w:r w:rsidR="003E6ADE"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r w:rsidR="00792D85" w:rsidRPr="003C7D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92D85" w:rsidRPr="003C7D9D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="00792D85" w:rsidRPr="003C7D9D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792D85" w:rsidRPr="003C7D9D">
        <w:rPr>
          <w:rFonts w:ascii="Times New Roman" w:hAnsi="Times New Roman"/>
          <w:i/>
          <w:iCs/>
          <w:sz w:val="24"/>
          <w:szCs w:val="24"/>
        </w:rPr>
        <w:t>Pseudomona</w:t>
      </w:r>
      <w:r w:rsidR="003E6ADE"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r w:rsidR="00792D85" w:rsidRPr="003C7D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92D85" w:rsidRPr="003C7D9D">
        <w:rPr>
          <w:rFonts w:ascii="Times New Roman" w:hAnsi="Times New Roman"/>
          <w:i/>
          <w:iCs/>
          <w:sz w:val="24"/>
          <w:szCs w:val="24"/>
        </w:rPr>
        <w:t>luteola</w:t>
      </w:r>
      <w:proofErr w:type="spellEnd"/>
      <w:r w:rsidR="00792D85" w:rsidRPr="003C7D9D">
        <w:rPr>
          <w:rFonts w:ascii="Times New Roman" w:hAnsi="Times New Roman"/>
          <w:i/>
          <w:iCs/>
          <w:sz w:val="24"/>
          <w:szCs w:val="24"/>
        </w:rPr>
        <w:t xml:space="preserve"> y </w:t>
      </w:r>
      <w:proofErr w:type="spellStart"/>
      <w:r w:rsidR="00792D85" w:rsidRPr="003C7D9D">
        <w:rPr>
          <w:rFonts w:ascii="Times New Roman" w:hAnsi="Times New Roman"/>
          <w:i/>
          <w:iCs/>
          <w:sz w:val="24"/>
          <w:szCs w:val="24"/>
        </w:rPr>
        <w:t>Pantoea</w:t>
      </w:r>
      <w:proofErr w:type="spellEnd"/>
      <w:r w:rsidR="00792D85" w:rsidRPr="003C7D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92D85" w:rsidRPr="003C7D9D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="000B03F8">
        <w:rPr>
          <w:rFonts w:ascii="Times New Roman" w:hAnsi="Times New Roman"/>
          <w:sz w:val="24"/>
          <w:szCs w:val="24"/>
        </w:rPr>
        <w:t>, con el fin de buscar el</w:t>
      </w:r>
      <w:r w:rsidR="00792D85" w:rsidRPr="003C7D9D">
        <w:rPr>
          <w:rFonts w:ascii="Times New Roman" w:hAnsi="Times New Roman"/>
          <w:sz w:val="24"/>
          <w:szCs w:val="24"/>
        </w:rPr>
        <w:t xml:space="preserve"> más eficiente, para ser empleados en la producción de </w:t>
      </w:r>
      <w:proofErr w:type="spellStart"/>
      <w:r w:rsidR="00792D85" w:rsidRPr="003C7D9D">
        <w:rPr>
          <w:rFonts w:ascii="Times New Roman" w:hAnsi="Times New Roman"/>
          <w:sz w:val="24"/>
          <w:szCs w:val="24"/>
        </w:rPr>
        <w:t>biofertilizantes</w:t>
      </w:r>
      <w:proofErr w:type="spellEnd"/>
      <w:r w:rsidR="00792D85" w:rsidRPr="003C7D9D">
        <w:rPr>
          <w:rFonts w:ascii="Times New Roman" w:hAnsi="Times New Roman"/>
          <w:sz w:val="24"/>
          <w:szCs w:val="24"/>
        </w:rPr>
        <w:t xml:space="preserve"> aplicados a </w:t>
      </w:r>
      <w:r w:rsidR="00023D28">
        <w:rPr>
          <w:rFonts w:ascii="Times New Roman" w:hAnsi="Times New Roman"/>
          <w:sz w:val="24"/>
          <w:szCs w:val="24"/>
        </w:rPr>
        <w:t>plant</w:t>
      </w:r>
      <w:r w:rsidR="00213CE2">
        <w:rPr>
          <w:rFonts w:ascii="Times New Roman" w:hAnsi="Times New Roman"/>
          <w:sz w:val="24"/>
          <w:szCs w:val="24"/>
        </w:rPr>
        <w:t>a</w:t>
      </w:r>
      <w:r w:rsidR="00023D28">
        <w:rPr>
          <w:rFonts w:ascii="Times New Roman" w:hAnsi="Times New Roman"/>
          <w:sz w:val="24"/>
          <w:szCs w:val="24"/>
        </w:rPr>
        <w:t xml:space="preserve">s de pastos </w:t>
      </w:r>
      <w:proofErr w:type="spellStart"/>
      <w:r w:rsidR="00023D28">
        <w:rPr>
          <w:rFonts w:ascii="Times New Roman" w:hAnsi="Times New Roman"/>
          <w:sz w:val="24"/>
          <w:szCs w:val="24"/>
        </w:rPr>
        <w:t>Angleton</w:t>
      </w:r>
      <w:proofErr w:type="spellEnd"/>
      <w:r w:rsidR="00792D85" w:rsidRPr="003C7D9D">
        <w:rPr>
          <w:rFonts w:ascii="Times New Roman" w:hAnsi="Times New Roman"/>
          <w:sz w:val="24"/>
          <w:szCs w:val="24"/>
        </w:rPr>
        <w:t>.</w:t>
      </w:r>
    </w:p>
    <w:p w:rsidR="00792D85" w:rsidRPr="003C7D9D" w:rsidRDefault="00792D85" w:rsidP="006C6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742F" w:rsidRDefault="007612BB" w:rsidP="006C6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7D9D">
        <w:rPr>
          <w:rFonts w:ascii="Times New Roman" w:hAnsi="Times New Roman"/>
          <w:b/>
          <w:sz w:val="24"/>
          <w:szCs w:val="24"/>
        </w:rPr>
        <w:t>M</w:t>
      </w:r>
      <w:r w:rsidR="0063742F">
        <w:rPr>
          <w:rFonts w:ascii="Times New Roman" w:hAnsi="Times New Roman"/>
          <w:b/>
          <w:sz w:val="24"/>
          <w:szCs w:val="24"/>
        </w:rPr>
        <w:t>ateriales y métodos</w:t>
      </w:r>
    </w:p>
    <w:p w:rsidR="00F54A43" w:rsidRDefault="007612BB" w:rsidP="006C6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E2409" w:rsidRPr="00820142" w:rsidRDefault="009E2409" w:rsidP="006C6AC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0142">
        <w:rPr>
          <w:rFonts w:ascii="Times New Roman" w:hAnsi="Times New Roman"/>
          <w:b/>
          <w:sz w:val="24"/>
          <w:szCs w:val="24"/>
        </w:rPr>
        <w:t>Pruebas de antagonismo</w:t>
      </w:r>
    </w:p>
    <w:p w:rsidR="00104C00" w:rsidRDefault="009E2409" w:rsidP="00104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9D">
        <w:rPr>
          <w:rFonts w:ascii="Times New Roman" w:hAnsi="Times New Roman"/>
          <w:sz w:val="24"/>
          <w:szCs w:val="24"/>
        </w:rPr>
        <w:t xml:space="preserve">Se utilizaron las cepas nativas </w:t>
      </w:r>
      <w:proofErr w:type="spellStart"/>
      <w:r w:rsidRPr="003C7D9D">
        <w:rPr>
          <w:rFonts w:ascii="Times New Roman" w:hAnsi="Times New Roman"/>
          <w:i/>
          <w:iCs/>
          <w:sz w:val="24"/>
          <w:szCs w:val="24"/>
        </w:rPr>
        <w:t>Burkholderia</w:t>
      </w:r>
      <w:proofErr w:type="spellEnd"/>
      <w:r w:rsidR="000B03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C7D9D">
        <w:rPr>
          <w:rFonts w:ascii="Times New Roman" w:hAnsi="Times New Roman"/>
          <w:i/>
          <w:iCs/>
          <w:sz w:val="24"/>
          <w:szCs w:val="24"/>
        </w:rPr>
        <w:t>cepacia</w:t>
      </w:r>
      <w:proofErr w:type="spellEnd"/>
      <w:r w:rsidRPr="003C7D9D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C7D9D">
        <w:rPr>
          <w:rFonts w:ascii="Times New Roman" w:hAnsi="Times New Roman"/>
          <w:i/>
          <w:iCs/>
          <w:sz w:val="24"/>
          <w:szCs w:val="24"/>
        </w:rPr>
        <w:t>Pseudomona</w:t>
      </w:r>
      <w:r w:rsidR="007A1A33"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r w:rsidRPr="003C7D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B03F8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Pr="003C7D9D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C7D9D">
        <w:rPr>
          <w:rFonts w:ascii="Times New Roman" w:hAnsi="Times New Roman"/>
          <w:i/>
          <w:iCs/>
          <w:sz w:val="24"/>
          <w:szCs w:val="24"/>
        </w:rPr>
        <w:t>Pseudomona</w:t>
      </w:r>
      <w:r w:rsidR="007A1A33"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r w:rsidRPr="003C7D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C7D9D">
        <w:rPr>
          <w:rFonts w:ascii="Times New Roman" w:hAnsi="Times New Roman"/>
          <w:i/>
          <w:iCs/>
          <w:sz w:val="24"/>
          <w:szCs w:val="24"/>
        </w:rPr>
        <w:t>luteola</w:t>
      </w:r>
      <w:proofErr w:type="spellEnd"/>
      <w:r w:rsidRPr="003C7D9D">
        <w:rPr>
          <w:rFonts w:ascii="Times New Roman" w:hAnsi="Times New Roman"/>
          <w:i/>
          <w:iCs/>
          <w:sz w:val="24"/>
          <w:szCs w:val="24"/>
        </w:rPr>
        <w:t xml:space="preserve"> y </w:t>
      </w:r>
      <w:proofErr w:type="spellStart"/>
      <w:r w:rsidRPr="003C7D9D">
        <w:rPr>
          <w:rFonts w:ascii="Times New Roman" w:hAnsi="Times New Roman"/>
          <w:i/>
          <w:iCs/>
          <w:sz w:val="24"/>
          <w:szCs w:val="24"/>
        </w:rPr>
        <w:t>Pantoea</w:t>
      </w:r>
      <w:proofErr w:type="spellEnd"/>
      <w:r w:rsidRPr="003C7D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A1A33">
        <w:rPr>
          <w:rFonts w:ascii="Times New Roman" w:hAnsi="Times New Roman"/>
          <w:iCs/>
          <w:sz w:val="24"/>
          <w:szCs w:val="24"/>
        </w:rPr>
        <w:t>sp</w:t>
      </w:r>
      <w:r w:rsidR="002548DF">
        <w:rPr>
          <w:rFonts w:ascii="Times New Roman" w:hAnsi="Times New Roman"/>
          <w:iCs/>
          <w:sz w:val="24"/>
          <w:szCs w:val="24"/>
        </w:rPr>
        <w:t>.</w:t>
      </w:r>
      <w:proofErr w:type="spellEnd"/>
      <w:r w:rsidR="000B03F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="00E930DB" w:rsidRPr="003C7D9D">
        <w:rPr>
          <w:rFonts w:ascii="Times New Roman" w:hAnsi="Times New Roman"/>
          <w:sz w:val="24"/>
          <w:szCs w:val="24"/>
          <w:lang w:val="es-ES_tradnl"/>
        </w:rPr>
        <w:t>aislada</w:t>
      </w:r>
      <w:r w:rsidR="00571683">
        <w:rPr>
          <w:rFonts w:ascii="Times New Roman" w:hAnsi="Times New Roman"/>
          <w:sz w:val="24"/>
          <w:szCs w:val="24"/>
          <w:lang w:val="es-ES_tradnl"/>
        </w:rPr>
        <w:t>s</w:t>
      </w:r>
      <w:proofErr w:type="gramEnd"/>
      <w:r w:rsidR="00E930DB" w:rsidRPr="003C7D9D">
        <w:rPr>
          <w:rFonts w:ascii="Times New Roman" w:hAnsi="Times New Roman"/>
          <w:sz w:val="24"/>
          <w:szCs w:val="24"/>
          <w:lang w:val="es-ES_tradnl"/>
        </w:rPr>
        <w:t xml:space="preserve"> de</w:t>
      </w:r>
      <w:r w:rsidR="00284AF6">
        <w:rPr>
          <w:rFonts w:ascii="Times New Roman" w:hAnsi="Times New Roman"/>
          <w:sz w:val="24"/>
          <w:szCs w:val="24"/>
          <w:lang w:val="es-ES_tradnl"/>
        </w:rPr>
        <w:t xml:space="preserve"> suelos </w:t>
      </w:r>
      <w:proofErr w:type="spellStart"/>
      <w:r w:rsidR="00284AF6">
        <w:rPr>
          <w:rFonts w:ascii="Times New Roman" w:hAnsi="Times New Roman"/>
          <w:sz w:val="24"/>
          <w:szCs w:val="24"/>
          <w:lang w:val="es-ES_tradnl"/>
        </w:rPr>
        <w:t>rizosféricos</w:t>
      </w:r>
      <w:proofErr w:type="spellEnd"/>
      <w:r w:rsidR="00284AF6">
        <w:rPr>
          <w:rFonts w:ascii="Times New Roman" w:hAnsi="Times New Roman"/>
          <w:sz w:val="24"/>
          <w:szCs w:val="24"/>
          <w:lang w:val="es-ES_tradnl"/>
        </w:rPr>
        <w:t xml:space="preserve"> de</w:t>
      </w:r>
      <w:r w:rsidR="00670EB2">
        <w:rPr>
          <w:rFonts w:ascii="Times New Roman" w:hAnsi="Times New Roman"/>
          <w:sz w:val="24"/>
          <w:szCs w:val="24"/>
          <w:lang w:val="es-ES_tradnl"/>
        </w:rPr>
        <w:t xml:space="preserve"> zonas cultivables del </w:t>
      </w:r>
      <w:r w:rsidR="00E930DB" w:rsidRPr="003C7D9D">
        <w:rPr>
          <w:rFonts w:ascii="Times New Roman" w:hAnsi="Times New Roman"/>
          <w:sz w:val="24"/>
          <w:szCs w:val="24"/>
          <w:lang w:val="es-ES_tradnl"/>
        </w:rPr>
        <w:t>departamento</w:t>
      </w:r>
      <w:r w:rsidRPr="003C7D9D">
        <w:rPr>
          <w:rFonts w:ascii="Times New Roman" w:hAnsi="Times New Roman"/>
          <w:sz w:val="24"/>
          <w:szCs w:val="24"/>
          <w:lang w:val="es-ES_tradnl"/>
        </w:rPr>
        <w:t xml:space="preserve"> de Córdoba</w:t>
      </w:r>
      <w:r w:rsidR="00E930DB" w:rsidRPr="003C7D9D">
        <w:rPr>
          <w:rFonts w:ascii="Times New Roman" w:hAnsi="Times New Roman"/>
          <w:sz w:val="24"/>
          <w:szCs w:val="24"/>
          <w:lang w:val="es-ES_tradnl"/>
        </w:rPr>
        <w:t xml:space="preserve"> - Colombia</w:t>
      </w:r>
      <w:r w:rsidRPr="003C7D9D">
        <w:rPr>
          <w:rFonts w:ascii="Times New Roman" w:hAnsi="Times New Roman"/>
          <w:sz w:val="24"/>
          <w:szCs w:val="24"/>
          <w:lang w:val="es-ES_tradnl"/>
        </w:rPr>
        <w:t>, que demostr</w:t>
      </w:r>
      <w:r w:rsidR="00F61464">
        <w:rPr>
          <w:rFonts w:ascii="Times New Roman" w:hAnsi="Times New Roman"/>
          <w:sz w:val="24"/>
          <w:szCs w:val="24"/>
          <w:lang w:val="es-ES_tradnl"/>
        </w:rPr>
        <w:t>aron</w:t>
      </w:r>
      <w:r w:rsidRPr="003C7D9D">
        <w:rPr>
          <w:rFonts w:ascii="Times New Roman" w:hAnsi="Times New Roman"/>
          <w:sz w:val="24"/>
          <w:szCs w:val="24"/>
          <w:lang w:val="es-ES_tradnl"/>
        </w:rPr>
        <w:t xml:space="preserve"> ser eficiente</w:t>
      </w:r>
      <w:r w:rsidR="00571683">
        <w:rPr>
          <w:rFonts w:ascii="Times New Roman" w:hAnsi="Times New Roman"/>
          <w:sz w:val="24"/>
          <w:szCs w:val="24"/>
          <w:lang w:val="es-ES_tradnl"/>
        </w:rPr>
        <w:t>s</w:t>
      </w:r>
      <w:r w:rsidRPr="003C7D9D">
        <w:rPr>
          <w:rFonts w:ascii="Times New Roman" w:hAnsi="Times New Roman"/>
          <w:sz w:val="24"/>
          <w:szCs w:val="24"/>
          <w:lang w:val="es-ES_tradnl"/>
        </w:rPr>
        <w:t xml:space="preserve"> en su capacidad</w:t>
      </w:r>
      <w:r w:rsidR="00CB21FB" w:rsidRPr="003C7D9D">
        <w:rPr>
          <w:rFonts w:ascii="Times New Roman" w:hAnsi="Times New Roman"/>
          <w:sz w:val="24"/>
          <w:szCs w:val="24"/>
        </w:rPr>
        <w:t xml:space="preserve"> de solubilizar fosfato</w:t>
      </w:r>
      <w:r w:rsidR="000B03F8">
        <w:rPr>
          <w:rFonts w:ascii="Times New Roman" w:hAnsi="Times New Roman"/>
          <w:sz w:val="24"/>
          <w:szCs w:val="24"/>
        </w:rPr>
        <w:t xml:space="preserve"> </w:t>
      </w:r>
      <w:r w:rsidR="00AB4399" w:rsidRPr="003C7D9D">
        <w:rPr>
          <w:rFonts w:ascii="Times New Roman" w:hAnsi="Times New Roman"/>
          <w:sz w:val="24"/>
          <w:szCs w:val="24"/>
          <w:lang w:val="es-AR"/>
        </w:rPr>
        <w:t xml:space="preserve">y </w:t>
      </w:r>
      <w:r w:rsidR="004C7914">
        <w:rPr>
          <w:rFonts w:ascii="Times New Roman" w:hAnsi="Times New Roman"/>
          <w:sz w:val="24"/>
          <w:szCs w:val="24"/>
          <w:lang w:val="es-AR"/>
        </w:rPr>
        <w:t xml:space="preserve">que </w:t>
      </w:r>
      <w:r w:rsidR="00AB4399" w:rsidRPr="003C7D9D">
        <w:rPr>
          <w:rFonts w:ascii="Times New Roman" w:hAnsi="Times New Roman"/>
          <w:sz w:val="24"/>
          <w:szCs w:val="24"/>
          <w:lang w:val="es-AR"/>
        </w:rPr>
        <w:t xml:space="preserve">pertenecen al </w:t>
      </w:r>
      <w:r w:rsidR="00AB4399" w:rsidRPr="003C7D9D">
        <w:rPr>
          <w:rFonts w:ascii="Times New Roman" w:hAnsi="Times New Roman"/>
          <w:sz w:val="24"/>
          <w:szCs w:val="24"/>
        </w:rPr>
        <w:t>Banco de cepas del laboratorio de Biotecnología GRUBIODEQ (Universidad de Córdoba)</w:t>
      </w:r>
      <w:r w:rsidR="00CD38EF">
        <w:rPr>
          <w:rFonts w:ascii="Times New Roman" w:hAnsi="Times New Roman"/>
          <w:sz w:val="24"/>
          <w:szCs w:val="24"/>
        </w:rPr>
        <w:t xml:space="preserve"> </w:t>
      </w:r>
      <w:r w:rsidR="000B03F8">
        <w:rPr>
          <w:rFonts w:ascii="Times New Roman" w:hAnsi="Times New Roman"/>
          <w:sz w:val="24"/>
          <w:szCs w:val="24"/>
        </w:rPr>
        <w:t>(</w:t>
      </w:r>
      <w:r w:rsidR="00CD38EF" w:rsidRPr="008C1E48">
        <w:rPr>
          <w:rFonts w:ascii="Times New Roman" w:hAnsi="Times New Roman"/>
          <w:sz w:val="24"/>
          <w:szCs w:val="24"/>
          <w:lang w:val="es-AR"/>
        </w:rPr>
        <w:t>Lara</w:t>
      </w:r>
      <w:r w:rsidR="00CD38EF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CD38EF">
        <w:rPr>
          <w:rFonts w:ascii="Times New Roman" w:hAnsi="Times New Roman"/>
          <w:i/>
          <w:sz w:val="24"/>
          <w:szCs w:val="24"/>
          <w:lang w:val="es-AR"/>
        </w:rPr>
        <w:t>et al</w:t>
      </w:r>
      <w:r w:rsidR="00CD38EF">
        <w:rPr>
          <w:rFonts w:ascii="Times New Roman" w:hAnsi="Times New Roman"/>
          <w:sz w:val="24"/>
          <w:szCs w:val="24"/>
          <w:lang w:val="es-AR"/>
        </w:rPr>
        <w:t>., 2011)</w:t>
      </w:r>
      <w:r w:rsidRPr="003C7D9D">
        <w:rPr>
          <w:rFonts w:ascii="Times New Roman" w:hAnsi="Times New Roman"/>
          <w:sz w:val="24"/>
          <w:szCs w:val="24"/>
          <w:lang w:val="es-AR"/>
        </w:rPr>
        <w:t xml:space="preserve">. Las </w:t>
      </w:r>
      <w:r w:rsidRPr="003C7D9D">
        <w:rPr>
          <w:rFonts w:ascii="Times New Roman" w:hAnsi="Times New Roman"/>
          <w:sz w:val="24"/>
          <w:szCs w:val="24"/>
        </w:rPr>
        <w:t xml:space="preserve">cepas fueron </w:t>
      </w:r>
      <w:r w:rsidR="00FE6073">
        <w:rPr>
          <w:rFonts w:ascii="Times New Roman" w:hAnsi="Times New Roman"/>
          <w:sz w:val="24"/>
          <w:szCs w:val="24"/>
        </w:rPr>
        <w:t xml:space="preserve">sometidas </w:t>
      </w:r>
      <w:r w:rsidRPr="003C7D9D">
        <w:rPr>
          <w:rFonts w:ascii="Times New Roman" w:hAnsi="Times New Roman"/>
          <w:sz w:val="24"/>
          <w:szCs w:val="24"/>
        </w:rPr>
        <w:t xml:space="preserve"> </w:t>
      </w:r>
      <w:r w:rsidR="00FE6073">
        <w:rPr>
          <w:rFonts w:ascii="Times New Roman" w:hAnsi="Times New Roman"/>
          <w:sz w:val="24"/>
          <w:szCs w:val="24"/>
        </w:rPr>
        <w:t xml:space="preserve">a </w:t>
      </w:r>
      <w:r w:rsidRPr="003C7D9D">
        <w:rPr>
          <w:rFonts w:ascii="Times New Roman" w:hAnsi="Times New Roman"/>
          <w:sz w:val="24"/>
          <w:szCs w:val="24"/>
        </w:rPr>
        <w:t xml:space="preserve"> pruebas de</w:t>
      </w:r>
      <w:r w:rsidR="00932596" w:rsidRPr="003C7D9D">
        <w:rPr>
          <w:rFonts w:ascii="Times New Roman" w:hAnsi="Times New Roman"/>
          <w:sz w:val="24"/>
          <w:szCs w:val="24"/>
        </w:rPr>
        <w:t xml:space="preserve"> antagonismo </w:t>
      </w:r>
      <w:r w:rsidR="00DF5C81" w:rsidRPr="003C7D9D">
        <w:rPr>
          <w:rFonts w:ascii="Times New Roman" w:hAnsi="Times New Roman"/>
          <w:sz w:val="24"/>
          <w:szCs w:val="24"/>
        </w:rPr>
        <w:t>con el fin de verificar que no existiera  inhibición entre ellas</w:t>
      </w:r>
      <w:r w:rsidR="00DF5C81">
        <w:rPr>
          <w:rFonts w:ascii="Times New Roman" w:hAnsi="Times New Roman"/>
          <w:sz w:val="24"/>
          <w:szCs w:val="24"/>
        </w:rPr>
        <w:t xml:space="preserve"> y así poder formar los consorcios</w:t>
      </w:r>
      <w:r w:rsidR="00396AC3">
        <w:rPr>
          <w:rFonts w:ascii="Times New Roman" w:hAnsi="Times New Roman"/>
          <w:sz w:val="24"/>
          <w:szCs w:val="24"/>
        </w:rPr>
        <w:t xml:space="preserve">; las </w:t>
      </w:r>
      <w:r w:rsidRPr="003C7D9D">
        <w:rPr>
          <w:rFonts w:ascii="Times New Roman" w:hAnsi="Times New Roman"/>
          <w:sz w:val="24"/>
          <w:szCs w:val="24"/>
        </w:rPr>
        <w:t xml:space="preserve">pruebas de antagonismo se realizaron en el </w:t>
      </w:r>
      <w:proofErr w:type="spellStart"/>
      <w:r w:rsidRPr="003C7D9D">
        <w:rPr>
          <w:rFonts w:ascii="Times New Roman" w:hAnsi="Times New Roman"/>
          <w:sz w:val="24"/>
          <w:szCs w:val="24"/>
        </w:rPr>
        <w:t>agar</w:t>
      </w:r>
      <w:proofErr w:type="spellEnd"/>
      <w:r w:rsidRPr="003C7D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3979">
        <w:rPr>
          <w:rFonts w:ascii="Times New Roman" w:hAnsi="Times New Roman"/>
          <w:sz w:val="24"/>
          <w:szCs w:val="24"/>
        </w:rPr>
        <w:t>M</w:t>
      </w:r>
      <w:r w:rsidRPr="003C7D9D">
        <w:rPr>
          <w:rFonts w:ascii="Times New Roman" w:hAnsi="Times New Roman"/>
          <w:sz w:val="24"/>
          <w:szCs w:val="24"/>
        </w:rPr>
        <w:t>ueller</w:t>
      </w:r>
      <w:proofErr w:type="spellEnd"/>
      <w:r w:rsidRPr="003C7D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7D9D">
        <w:rPr>
          <w:rFonts w:ascii="Times New Roman" w:hAnsi="Times New Roman"/>
          <w:sz w:val="24"/>
          <w:szCs w:val="24"/>
        </w:rPr>
        <w:t>Hinton</w:t>
      </w:r>
      <w:proofErr w:type="spellEnd"/>
      <w:r w:rsidRPr="003C7D9D">
        <w:rPr>
          <w:rFonts w:ascii="Times New Roman" w:hAnsi="Times New Roman"/>
          <w:sz w:val="24"/>
          <w:szCs w:val="24"/>
        </w:rPr>
        <w:t xml:space="preserve">, mediante la técnica de difusión en </w:t>
      </w:r>
      <w:proofErr w:type="spellStart"/>
      <w:r w:rsidRPr="003C7D9D">
        <w:rPr>
          <w:rFonts w:ascii="Times New Roman" w:hAnsi="Times New Roman"/>
          <w:sz w:val="24"/>
          <w:szCs w:val="24"/>
        </w:rPr>
        <w:t>agar</w:t>
      </w:r>
      <w:proofErr w:type="spellEnd"/>
      <w:r w:rsidRPr="003C7D9D">
        <w:rPr>
          <w:rFonts w:ascii="Times New Roman" w:hAnsi="Times New Roman"/>
          <w:sz w:val="24"/>
          <w:szCs w:val="24"/>
        </w:rPr>
        <w:t xml:space="preserve"> </w:t>
      </w:r>
      <w:r w:rsidR="00CD38EF">
        <w:rPr>
          <w:rFonts w:ascii="Times New Roman" w:hAnsi="Times New Roman"/>
          <w:sz w:val="24"/>
          <w:szCs w:val="24"/>
        </w:rPr>
        <w:t>(</w:t>
      </w:r>
      <w:r w:rsidR="00CD38EF" w:rsidRPr="008C1E48">
        <w:rPr>
          <w:rFonts w:ascii="Times New Roman" w:hAnsi="Times New Roman"/>
          <w:bCs/>
          <w:sz w:val="24"/>
          <w:szCs w:val="24"/>
        </w:rPr>
        <w:t>Beltrán</w:t>
      </w:r>
      <w:r w:rsidR="00CD38EF">
        <w:rPr>
          <w:rFonts w:ascii="Times New Roman" w:hAnsi="Times New Roman"/>
          <w:bCs/>
          <w:sz w:val="24"/>
          <w:szCs w:val="24"/>
        </w:rPr>
        <w:t xml:space="preserve"> </w:t>
      </w:r>
      <w:r w:rsidR="00CD38EF">
        <w:rPr>
          <w:rFonts w:ascii="Times New Roman" w:hAnsi="Times New Roman"/>
          <w:bCs/>
          <w:i/>
          <w:sz w:val="24"/>
          <w:szCs w:val="24"/>
        </w:rPr>
        <w:t xml:space="preserve">et al., </w:t>
      </w:r>
      <w:r w:rsidR="00CD38EF" w:rsidRPr="00CD38EF">
        <w:rPr>
          <w:rFonts w:ascii="Times New Roman" w:hAnsi="Times New Roman"/>
          <w:bCs/>
          <w:sz w:val="24"/>
          <w:szCs w:val="24"/>
        </w:rPr>
        <w:t>2005</w:t>
      </w:r>
      <w:r w:rsidR="00CD38EF">
        <w:rPr>
          <w:rFonts w:ascii="Times New Roman" w:hAnsi="Times New Roman"/>
          <w:sz w:val="24"/>
          <w:szCs w:val="24"/>
        </w:rPr>
        <w:t>)</w:t>
      </w:r>
      <w:r w:rsidRPr="003C7D9D">
        <w:rPr>
          <w:rFonts w:ascii="Times New Roman" w:hAnsi="Times New Roman"/>
          <w:sz w:val="24"/>
          <w:szCs w:val="24"/>
        </w:rPr>
        <w:t>.</w:t>
      </w:r>
      <w:r w:rsidR="00187EEA" w:rsidRPr="003C7D9D">
        <w:rPr>
          <w:rFonts w:ascii="Times New Roman" w:hAnsi="Times New Roman"/>
          <w:sz w:val="24"/>
          <w:szCs w:val="24"/>
        </w:rPr>
        <w:t xml:space="preserve"> </w:t>
      </w:r>
      <w:r w:rsidR="00EF3979">
        <w:rPr>
          <w:rFonts w:ascii="Times New Roman" w:hAnsi="Times New Roman"/>
          <w:sz w:val="24"/>
          <w:szCs w:val="24"/>
        </w:rPr>
        <w:t xml:space="preserve"> </w:t>
      </w:r>
      <w:r w:rsidR="00187EEA" w:rsidRPr="003C7D9D">
        <w:rPr>
          <w:rFonts w:ascii="Times New Roman" w:hAnsi="Times New Roman"/>
          <w:sz w:val="24"/>
          <w:szCs w:val="24"/>
        </w:rPr>
        <w:t>El criterio de eli</w:t>
      </w:r>
      <w:r w:rsidR="00FA689E" w:rsidRPr="003C7D9D">
        <w:rPr>
          <w:rFonts w:ascii="Times New Roman" w:hAnsi="Times New Roman"/>
          <w:sz w:val="24"/>
          <w:szCs w:val="24"/>
        </w:rPr>
        <w:t>minación de cepas se determinó</w:t>
      </w:r>
      <w:r w:rsidR="00187EEA" w:rsidRPr="003C7D9D">
        <w:rPr>
          <w:rFonts w:ascii="Times New Roman" w:hAnsi="Times New Roman"/>
          <w:sz w:val="24"/>
          <w:szCs w:val="24"/>
        </w:rPr>
        <w:t xml:space="preserve"> por la presencia de halos de inhibición de crecimiento con diámetros mayores a 5 mm entre la cepa sembrada masivamente y la cepa enfrentada </w:t>
      </w:r>
      <w:r w:rsidR="002415D8">
        <w:rPr>
          <w:rFonts w:ascii="Times New Roman" w:hAnsi="Times New Roman"/>
          <w:sz w:val="24"/>
          <w:szCs w:val="24"/>
        </w:rPr>
        <w:t>(</w:t>
      </w:r>
      <w:r w:rsidR="002415D8" w:rsidRPr="008C1E48">
        <w:rPr>
          <w:rFonts w:ascii="Times New Roman" w:hAnsi="Times New Roman"/>
          <w:bCs/>
          <w:sz w:val="24"/>
          <w:szCs w:val="24"/>
        </w:rPr>
        <w:t>Barragán</w:t>
      </w:r>
      <w:r w:rsidR="002415D8">
        <w:rPr>
          <w:rFonts w:ascii="Times New Roman" w:hAnsi="Times New Roman"/>
          <w:bCs/>
          <w:sz w:val="24"/>
          <w:szCs w:val="24"/>
        </w:rPr>
        <w:t xml:space="preserve"> </w:t>
      </w:r>
      <w:r w:rsidR="002415D8">
        <w:rPr>
          <w:rFonts w:ascii="Times New Roman" w:hAnsi="Times New Roman"/>
          <w:bCs/>
          <w:i/>
          <w:sz w:val="24"/>
          <w:szCs w:val="24"/>
        </w:rPr>
        <w:t xml:space="preserve">et al., </w:t>
      </w:r>
      <w:r w:rsidR="002415D8" w:rsidRPr="002415D8">
        <w:rPr>
          <w:rFonts w:ascii="Times New Roman" w:hAnsi="Times New Roman"/>
          <w:bCs/>
          <w:sz w:val="24"/>
          <w:szCs w:val="24"/>
        </w:rPr>
        <w:t>2003</w:t>
      </w:r>
      <w:r w:rsidR="002415D8">
        <w:rPr>
          <w:rFonts w:ascii="Times New Roman" w:hAnsi="Times New Roman"/>
          <w:sz w:val="24"/>
          <w:szCs w:val="24"/>
        </w:rPr>
        <w:t>)</w:t>
      </w:r>
      <w:r w:rsidR="00187EEA" w:rsidRPr="003C7D9D">
        <w:rPr>
          <w:rFonts w:ascii="Times New Roman" w:hAnsi="Times New Roman"/>
          <w:sz w:val="24"/>
          <w:szCs w:val="24"/>
        </w:rPr>
        <w:t>.</w:t>
      </w:r>
      <w:r w:rsidR="00104C00" w:rsidRPr="00104C00">
        <w:rPr>
          <w:rFonts w:ascii="Times New Roman" w:hAnsi="Times New Roman"/>
          <w:sz w:val="24"/>
          <w:szCs w:val="24"/>
        </w:rPr>
        <w:t xml:space="preserve"> </w:t>
      </w:r>
    </w:p>
    <w:p w:rsidR="00104C00" w:rsidRDefault="00104C00" w:rsidP="00104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F9E" w:rsidRDefault="000D1F9E" w:rsidP="003C48E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F9E">
        <w:rPr>
          <w:rFonts w:ascii="Times New Roman" w:hAnsi="Times New Roman"/>
          <w:b/>
          <w:sz w:val="24"/>
          <w:szCs w:val="24"/>
        </w:rPr>
        <w:t>Pruebas cualitativas y cuantitativas</w:t>
      </w:r>
    </w:p>
    <w:p w:rsidR="001655CC" w:rsidRPr="003C7D9D" w:rsidRDefault="0050330C" w:rsidP="001655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D9D">
        <w:rPr>
          <w:rFonts w:ascii="Times New Roman" w:hAnsi="Times New Roman"/>
          <w:sz w:val="24"/>
          <w:szCs w:val="24"/>
        </w:rPr>
        <w:t>Para la realización de las pruebas cualitativas y cuantitativas se fabric</w:t>
      </w:r>
      <w:r>
        <w:rPr>
          <w:rFonts w:ascii="Times New Roman" w:hAnsi="Times New Roman"/>
          <w:sz w:val="24"/>
          <w:szCs w:val="24"/>
        </w:rPr>
        <w:t>aron</w:t>
      </w:r>
      <w:r w:rsidR="00C43B7C" w:rsidRPr="004E2808">
        <w:rPr>
          <w:rFonts w:ascii="Times New Roman" w:hAnsi="Times New Roman"/>
          <w:sz w:val="24"/>
          <w:szCs w:val="24"/>
        </w:rPr>
        <w:t xml:space="preserve"> </w:t>
      </w:r>
      <w:r w:rsidR="00C43B7C">
        <w:rPr>
          <w:rFonts w:ascii="Times New Roman" w:hAnsi="Times New Roman"/>
          <w:sz w:val="24"/>
          <w:szCs w:val="24"/>
        </w:rPr>
        <w:t>bioprep</w:t>
      </w:r>
      <w:r w:rsidR="008E766F">
        <w:rPr>
          <w:rFonts w:ascii="Times New Roman" w:hAnsi="Times New Roman"/>
          <w:sz w:val="24"/>
          <w:szCs w:val="24"/>
        </w:rPr>
        <w:t>a</w:t>
      </w:r>
      <w:r w:rsidR="00C43B7C">
        <w:rPr>
          <w:rFonts w:ascii="Times New Roman" w:hAnsi="Times New Roman"/>
          <w:sz w:val="24"/>
          <w:szCs w:val="24"/>
        </w:rPr>
        <w:t>rados</w:t>
      </w:r>
      <w:r w:rsidR="00C43B7C" w:rsidRPr="004E2808">
        <w:rPr>
          <w:rFonts w:ascii="Times New Roman" w:hAnsi="Times New Roman"/>
          <w:sz w:val="24"/>
          <w:szCs w:val="24"/>
        </w:rPr>
        <w:t xml:space="preserve"> </w:t>
      </w:r>
      <w:r w:rsidR="00C43B7C">
        <w:rPr>
          <w:rFonts w:ascii="Times New Roman" w:hAnsi="Times New Roman"/>
          <w:sz w:val="24"/>
          <w:szCs w:val="24"/>
        </w:rPr>
        <w:t>de cada cepa, empleando</w:t>
      </w:r>
      <w:r w:rsidR="00C43B7C" w:rsidRPr="00C458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B7C" w:rsidRPr="00C45826">
        <w:rPr>
          <w:rFonts w:ascii="Times New Roman" w:hAnsi="Times New Roman"/>
          <w:sz w:val="24"/>
          <w:szCs w:val="24"/>
        </w:rPr>
        <w:t>Erlenmeyer</w:t>
      </w:r>
      <w:r w:rsidR="00C43B7C">
        <w:rPr>
          <w:rFonts w:ascii="Times New Roman" w:hAnsi="Times New Roman"/>
          <w:sz w:val="24"/>
          <w:szCs w:val="24"/>
        </w:rPr>
        <w:t>s</w:t>
      </w:r>
      <w:proofErr w:type="spellEnd"/>
      <w:r w:rsidR="00C43B7C" w:rsidRPr="00C45826">
        <w:rPr>
          <w:rFonts w:ascii="Times New Roman" w:hAnsi="Times New Roman"/>
          <w:sz w:val="24"/>
          <w:szCs w:val="24"/>
        </w:rPr>
        <w:t xml:space="preserve"> de 100 </w:t>
      </w:r>
      <w:proofErr w:type="spellStart"/>
      <w:r w:rsidR="00C43B7C" w:rsidRPr="00C45826">
        <w:rPr>
          <w:rFonts w:ascii="Times New Roman" w:hAnsi="Times New Roman"/>
          <w:sz w:val="24"/>
          <w:szCs w:val="24"/>
        </w:rPr>
        <w:t>mL</w:t>
      </w:r>
      <w:proofErr w:type="spellEnd"/>
      <w:r w:rsidR="00C43B7C" w:rsidRPr="00C45826">
        <w:rPr>
          <w:rFonts w:ascii="Times New Roman" w:hAnsi="Times New Roman"/>
          <w:sz w:val="24"/>
          <w:szCs w:val="24"/>
        </w:rPr>
        <w:t xml:space="preserve"> </w:t>
      </w:r>
      <w:r w:rsidR="00C43B7C">
        <w:rPr>
          <w:rFonts w:ascii="Times New Roman" w:hAnsi="Times New Roman"/>
          <w:sz w:val="24"/>
          <w:szCs w:val="24"/>
        </w:rPr>
        <w:t>que contenían</w:t>
      </w:r>
      <w:r w:rsidR="00C43B7C" w:rsidRPr="00C45826">
        <w:rPr>
          <w:rFonts w:ascii="Times New Roman" w:hAnsi="Times New Roman"/>
          <w:sz w:val="24"/>
          <w:szCs w:val="24"/>
        </w:rPr>
        <w:t xml:space="preserve"> 45 </w:t>
      </w:r>
      <w:proofErr w:type="spellStart"/>
      <w:r w:rsidR="00C43B7C" w:rsidRPr="00C45826">
        <w:rPr>
          <w:rFonts w:ascii="Times New Roman" w:hAnsi="Times New Roman"/>
          <w:sz w:val="24"/>
          <w:szCs w:val="24"/>
        </w:rPr>
        <w:t>mL</w:t>
      </w:r>
      <w:proofErr w:type="spellEnd"/>
      <w:r w:rsidR="00C43B7C" w:rsidRPr="00C45826">
        <w:rPr>
          <w:rFonts w:ascii="Times New Roman" w:hAnsi="Times New Roman"/>
          <w:sz w:val="24"/>
          <w:szCs w:val="24"/>
        </w:rPr>
        <w:t xml:space="preserve"> de </w:t>
      </w:r>
      <w:r w:rsidR="00C43B7C">
        <w:rPr>
          <w:rFonts w:ascii="Times New Roman" w:hAnsi="Times New Roman"/>
          <w:sz w:val="24"/>
          <w:szCs w:val="24"/>
        </w:rPr>
        <w:t xml:space="preserve">medio de cultivo estéril y teniendo en cuenta las condiciones de crecimiento microbiano: </w:t>
      </w:r>
      <w:r w:rsidR="00C43B7C" w:rsidRPr="004E2808">
        <w:rPr>
          <w:rFonts w:ascii="Times New Roman" w:hAnsi="Times New Roman"/>
          <w:sz w:val="24"/>
          <w:szCs w:val="24"/>
        </w:rPr>
        <w:t>temperatura ambiente</w:t>
      </w:r>
      <w:r w:rsidR="00C43B7C">
        <w:rPr>
          <w:rFonts w:ascii="Times New Roman" w:hAnsi="Times New Roman"/>
          <w:sz w:val="24"/>
          <w:szCs w:val="24"/>
        </w:rPr>
        <w:t xml:space="preserve"> </w:t>
      </w:r>
      <w:r w:rsidR="00C43B7C" w:rsidRPr="00C45826">
        <w:rPr>
          <w:rFonts w:ascii="Times New Roman" w:hAnsi="Times New Roman"/>
          <w:sz w:val="24"/>
          <w:szCs w:val="24"/>
        </w:rPr>
        <w:t>(28±2ºC)</w:t>
      </w:r>
      <w:r w:rsidR="00C43B7C">
        <w:rPr>
          <w:rFonts w:ascii="Times New Roman" w:hAnsi="Times New Roman"/>
          <w:sz w:val="24"/>
          <w:szCs w:val="24"/>
        </w:rPr>
        <w:t>, tiempo de incubación</w:t>
      </w:r>
      <w:r w:rsidR="00C43B7C" w:rsidRPr="004E2808">
        <w:rPr>
          <w:rFonts w:ascii="Times New Roman" w:hAnsi="Times New Roman"/>
          <w:sz w:val="24"/>
          <w:szCs w:val="24"/>
        </w:rPr>
        <w:t xml:space="preserve"> </w:t>
      </w:r>
      <w:r w:rsidR="00C43B7C">
        <w:rPr>
          <w:rFonts w:ascii="Times New Roman" w:hAnsi="Times New Roman"/>
          <w:sz w:val="24"/>
          <w:szCs w:val="24"/>
        </w:rPr>
        <w:t>de</w:t>
      </w:r>
      <w:r w:rsidR="00C43B7C" w:rsidRPr="00C45826">
        <w:rPr>
          <w:rFonts w:ascii="Times New Roman" w:hAnsi="Times New Roman"/>
          <w:sz w:val="24"/>
          <w:szCs w:val="24"/>
        </w:rPr>
        <w:t xml:space="preserve"> 12 -18 horas </w:t>
      </w:r>
      <w:r w:rsidR="00C43B7C">
        <w:rPr>
          <w:rFonts w:ascii="Times New Roman" w:hAnsi="Times New Roman"/>
          <w:sz w:val="24"/>
          <w:szCs w:val="24"/>
        </w:rPr>
        <w:t xml:space="preserve">y </w:t>
      </w:r>
      <w:r w:rsidR="00C43B7C" w:rsidRPr="004E2808">
        <w:rPr>
          <w:rFonts w:ascii="Times New Roman" w:hAnsi="Times New Roman"/>
          <w:sz w:val="24"/>
          <w:szCs w:val="24"/>
        </w:rPr>
        <w:t xml:space="preserve">agitación constante </w:t>
      </w:r>
      <w:r w:rsidR="00C43B7C">
        <w:rPr>
          <w:rFonts w:ascii="Times New Roman" w:hAnsi="Times New Roman"/>
          <w:sz w:val="24"/>
          <w:szCs w:val="24"/>
        </w:rPr>
        <w:t>de</w:t>
      </w:r>
      <w:r w:rsidR="00C43B7C" w:rsidRPr="00C45826">
        <w:rPr>
          <w:rFonts w:ascii="Times New Roman" w:hAnsi="Times New Roman"/>
          <w:sz w:val="24"/>
          <w:szCs w:val="24"/>
        </w:rPr>
        <w:t xml:space="preserve"> 150 rpm</w:t>
      </w:r>
      <w:r w:rsidR="00C43B7C">
        <w:rPr>
          <w:rFonts w:ascii="Times New Roman" w:hAnsi="Times New Roman"/>
          <w:sz w:val="24"/>
          <w:szCs w:val="24"/>
        </w:rPr>
        <w:t>.</w:t>
      </w:r>
      <w:r w:rsidR="00C91641" w:rsidRPr="00C91641">
        <w:rPr>
          <w:rFonts w:ascii="Times New Roman" w:hAnsi="Times New Roman"/>
          <w:sz w:val="24"/>
          <w:szCs w:val="24"/>
        </w:rPr>
        <w:t xml:space="preserve"> </w:t>
      </w:r>
      <w:r w:rsidR="00D51378">
        <w:rPr>
          <w:rFonts w:ascii="Times New Roman" w:hAnsi="Times New Roman"/>
          <w:sz w:val="24"/>
          <w:szCs w:val="24"/>
        </w:rPr>
        <w:t xml:space="preserve">Se produjeron </w:t>
      </w:r>
      <w:r w:rsidR="003C7B60">
        <w:rPr>
          <w:rFonts w:ascii="Times New Roman" w:hAnsi="Times New Roman"/>
          <w:sz w:val="24"/>
          <w:szCs w:val="24"/>
        </w:rPr>
        <w:t xml:space="preserve">biopreparados de </w:t>
      </w:r>
      <w:r w:rsidR="00D51378" w:rsidRPr="003C7D9D">
        <w:rPr>
          <w:rFonts w:ascii="Times New Roman" w:hAnsi="Times New Roman"/>
          <w:sz w:val="24"/>
          <w:szCs w:val="24"/>
        </w:rPr>
        <w:t xml:space="preserve">concentraciones </w:t>
      </w:r>
      <w:r w:rsidR="00D51378">
        <w:rPr>
          <w:rFonts w:ascii="Times New Roman" w:hAnsi="Times New Roman"/>
          <w:sz w:val="24"/>
          <w:szCs w:val="24"/>
        </w:rPr>
        <w:t xml:space="preserve">de </w:t>
      </w:r>
      <w:r w:rsidR="00D51378" w:rsidRPr="003C7D9D">
        <w:rPr>
          <w:rFonts w:ascii="Times New Roman" w:hAnsi="Times New Roman"/>
          <w:sz w:val="24"/>
          <w:szCs w:val="24"/>
        </w:rPr>
        <w:t>10</w:t>
      </w:r>
      <w:r w:rsidR="00D51378" w:rsidRPr="003C7D9D">
        <w:rPr>
          <w:rFonts w:ascii="Times New Roman" w:hAnsi="Times New Roman"/>
          <w:sz w:val="24"/>
          <w:szCs w:val="24"/>
          <w:vertAlign w:val="superscript"/>
        </w:rPr>
        <w:t>8</w:t>
      </w:r>
      <w:r w:rsidR="00D51378" w:rsidRPr="003C7D9D">
        <w:rPr>
          <w:rFonts w:ascii="Times New Roman" w:hAnsi="Times New Roman"/>
          <w:sz w:val="24"/>
          <w:szCs w:val="24"/>
        </w:rPr>
        <w:t>,10</w:t>
      </w:r>
      <w:r w:rsidR="00D51378" w:rsidRPr="003C7D9D">
        <w:rPr>
          <w:rFonts w:ascii="Times New Roman" w:hAnsi="Times New Roman"/>
          <w:sz w:val="24"/>
          <w:szCs w:val="24"/>
          <w:vertAlign w:val="superscript"/>
        </w:rPr>
        <w:t>7</w:t>
      </w:r>
      <w:r w:rsidR="00D51378" w:rsidRPr="003C7D9D">
        <w:rPr>
          <w:rFonts w:ascii="Times New Roman" w:hAnsi="Times New Roman"/>
          <w:sz w:val="24"/>
          <w:szCs w:val="24"/>
        </w:rPr>
        <w:t xml:space="preserve"> y 10</w:t>
      </w:r>
      <w:r w:rsidR="00D51378" w:rsidRPr="003C7D9D">
        <w:rPr>
          <w:rFonts w:ascii="Times New Roman" w:hAnsi="Times New Roman"/>
          <w:sz w:val="24"/>
          <w:szCs w:val="24"/>
          <w:vertAlign w:val="superscript"/>
        </w:rPr>
        <w:t>6</w:t>
      </w:r>
      <w:r w:rsidR="00D51378" w:rsidRPr="003C7D9D">
        <w:rPr>
          <w:rFonts w:ascii="Times New Roman" w:hAnsi="Times New Roman"/>
          <w:sz w:val="24"/>
          <w:szCs w:val="24"/>
        </w:rPr>
        <w:t xml:space="preserve"> UFC/</w:t>
      </w:r>
      <w:proofErr w:type="spellStart"/>
      <w:r w:rsidR="00D51378" w:rsidRPr="003C7D9D">
        <w:rPr>
          <w:rFonts w:ascii="Times New Roman" w:hAnsi="Times New Roman"/>
          <w:sz w:val="24"/>
          <w:szCs w:val="24"/>
        </w:rPr>
        <w:t>mL</w:t>
      </w:r>
      <w:proofErr w:type="spellEnd"/>
      <w:r w:rsidR="008E6CA5">
        <w:rPr>
          <w:rFonts w:ascii="Times New Roman" w:hAnsi="Times New Roman"/>
          <w:sz w:val="24"/>
          <w:szCs w:val="24"/>
        </w:rPr>
        <w:t>,</w:t>
      </w:r>
      <w:r w:rsidR="003C48E1">
        <w:rPr>
          <w:rFonts w:ascii="Times New Roman" w:hAnsi="Times New Roman"/>
          <w:sz w:val="24"/>
          <w:szCs w:val="24"/>
        </w:rPr>
        <w:t xml:space="preserve"> las cuales fueron </w:t>
      </w:r>
      <w:r w:rsidR="00D10598">
        <w:rPr>
          <w:rFonts w:ascii="Times New Roman" w:hAnsi="Times New Roman"/>
          <w:sz w:val="24"/>
          <w:szCs w:val="24"/>
        </w:rPr>
        <w:t>cuantificadas</w:t>
      </w:r>
      <w:r w:rsidR="003C48E1">
        <w:rPr>
          <w:rFonts w:ascii="Times New Roman" w:hAnsi="Times New Roman"/>
          <w:sz w:val="24"/>
          <w:szCs w:val="24"/>
        </w:rPr>
        <w:t xml:space="preserve"> a través de diluciones seriadas </w:t>
      </w:r>
      <w:r w:rsidR="003C48E1" w:rsidRPr="003C7D9D">
        <w:rPr>
          <w:rFonts w:ascii="Times New Roman" w:hAnsi="Times New Roman"/>
          <w:sz w:val="24"/>
          <w:szCs w:val="24"/>
        </w:rPr>
        <w:t xml:space="preserve">por la técnica de </w:t>
      </w:r>
      <w:proofErr w:type="spellStart"/>
      <w:r w:rsidR="003C48E1" w:rsidRPr="003C7D9D">
        <w:rPr>
          <w:rFonts w:ascii="Times New Roman" w:hAnsi="Times New Roman"/>
          <w:sz w:val="24"/>
          <w:szCs w:val="24"/>
        </w:rPr>
        <w:t>microgota</w:t>
      </w:r>
      <w:proofErr w:type="spellEnd"/>
      <w:r w:rsidR="003C48E1">
        <w:rPr>
          <w:rFonts w:ascii="Times New Roman" w:hAnsi="Times New Roman"/>
          <w:sz w:val="24"/>
          <w:szCs w:val="24"/>
        </w:rPr>
        <w:t xml:space="preserve"> (</w:t>
      </w:r>
      <w:r w:rsidR="003C48E1" w:rsidRPr="008C1E48">
        <w:rPr>
          <w:rFonts w:ascii="Times New Roman" w:hAnsi="Times New Roman"/>
          <w:bCs/>
          <w:sz w:val="24"/>
          <w:szCs w:val="24"/>
        </w:rPr>
        <w:t>Moreno</w:t>
      </w:r>
      <w:r w:rsidR="003C48E1">
        <w:rPr>
          <w:rFonts w:ascii="Times New Roman" w:hAnsi="Times New Roman"/>
          <w:bCs/>
          <w:sz w:val="24"/>
          <w:szCs w:val="24"/>
        </w:rPr>
        <w:t xml:space="preserve"> </w:t>
      </w:r>
      <w:r w:rsidR="003C48E1">
        <w:rPr>
          <w:rFonts w:ascii="Times New Roman" w:hAnsi="Times New Roman"/>
          <w:bCs/>
          <w:i/>
          <w:sz w:val="24"/>
          <w:szCs w:val="24"/>
        </w:rPr>
        <w:t xml:space="preserve">et al., </w:t>
      </w:r>
      <w:r w:rsidR="003C48E1" w:rsidRPr="002415D8">
        <w:rPr>
          <w:rFonts w:ascii="Times New Roman" w:hAnsi="Times New Roman"/>
          <w:bCs/>
          <w:sz w:val="24"/>
          <w:szCs w:val="24"/>
        </w:rPr>
        <w:t>2000</w:t>
      </w:r>
      <w:r w:rsidR="003C48E1">
        <w:rPr>
          <w:rFonts w:ascii="Times New Roman" w:hAnsi="Times New Roman"/>
          <w:sz w:val="24"/>
          <w:szCs w:val="24"/>
        </w:rPr>
        <w:t>)</w:t>
      </w:r>
      <w:r w:rsidR="003C48E1" w:rsidRPr="003C7D9D">
        <w:rPr>
          <w:rFonts w:ascii="Times New Roman" w:hAnsi="Times New Roman"/>
          <w:sz w:val="24"/>
          <w:szCs w:val="24"/>
        </w:rPr>
        <w:t xml:space="preserve">. </w:t>
      </w:r>
      <w:r w:rsidR="00B9458C">
        <w:rPr>
          <w:rFonts w:ascii="Times New Roman" w:hAnsi="Times New Roman"/>
          <w:sz w:val="24"/>
          <w:szCs w:val="24"/>
        </w:rPr>
        <w:t xml:space="preserve"> </w:t>
      </w:r>
      <w:r w:rsidR="00500C02">
        <w:rPr>
          <w:rFonts w:ascii="Times New Roman" w:hAnsi="Times New Roman"/>
          <w:sz w:val="24"/>
          <w:szCs w:val="24"/>
        </w:rPr>
        <w:t xml:space="preserve">Posteriormente se procedió a realizar la </w:t>
      </w:r>
      <w:r w:rsidR="00500C02" w:rsidRPr="004E2808">
        <w:rPr>
          <w:rFonts w:ascii="Times New Roman" w:hAnsi="Times New Roman"/>
          <w:sz w:val="24"/>
          <w:szCs w:val="24"/>
        </w:rPr>
        <w:t xml:space="preserve">evaluación </w:t>
      </w:r>
      <w:r w:rsidR="00500C02">
        <w:rPr>
          <w:rFonts w:ascii="Times New Roman" w:hAnsi="Times New Roman"/>
          <w:sz w:val="24"/>
          <w:szCs w:val="24"/>
        </w:rPr>
        <w:t xml:space="preserve">cualitativa y </w:t>
      </w:r>
      <w:r w:rsidR="00500C02" w:rsidRPr="004E2808">
        <w:rPr>
          <w:rFonts w:ascii="Times New Roman" w:hAnsi="Times New Roman"/>
          <w:sz w:val="24"/>
          <w:szCs w:val="24"/>
        </w:rPr>
        <w:t xml:space="preserve">cuantitativa de la capacidad solubilizadora de fosfato de las </w:t>
      </w:r>
      <w:r w:rsidR="00500C02">
        <w:rPr>
          <w:rFonts w:ascii="Times New Roman" w:hAnsi="Times New Roman"/>
          <w:sz w:val="24"/>
          <w:szCs w:val="24"/>
        </w:rPr>
        <w:t>cepas</w:t>
      </w:r>
      <w:r w:rsidR="001655CC" w:rsidRPr="001655CC">
        <w:rPr>
          <w:rFonts w:ascii="Times New Roman" w:hAnsi="Times New Roman"/>
          <w:sz w:val="24"/>
          <w:szCs w:val="24"/>
        </w:rPr>
        <w:t xml:space="preserve"> </w:t>
      </w:r>
      <w:r w:rsidR="001655CC" w:rsidRPr="003C7D9D">
        <w:rPr>
          <w:rFonts w:ascii="Times New Roman" w:hAnsi="Times New Roman"/>
          <w:sz w:val="24"/>
          <w:szCs w:val="24"/>
        </w:rPr>
        <w:t>nativas</w:t>
      </w:r>
      <w:r w:rsidR="00500C02" w:rsidRPr="004E2808">
        <w:rPr>
          <w:rFonts w:ascii="Times New Roman" w:hAnsi="Times New Roman"/>
          <w:sz w:val="24"/>
          <w:szCs w:val="24"/>
        </w:rPr>
        <w:t xml:space="preserve"> </w:t>
      </w:r>
      <w:r w:rsidR="001655CC" w:rsidRPr="003C7D9D">
        <w:rPr>
          <w:rFonts w:ascii="Times New Roman" w:hAnsi="Times New Roman"/>
          <w:sz w:val="24"/>
          <w:szCs w:val="24"/>
        </w:rPr>
        <w:t>individual, como en consorcio</w:t>
      </w:r>
      <w:r w:rsidR="006453B1">
        <w:rPr>
          <w:rFonts w:ascii="Times New Roman" w:hAnsi="Times New Roman"/>
          <w:sz w:val="24"/>
          <w:szCs w:val="24"/>
        </w:rPr>
        <w:t>,</w:t>
      </w:r>
      <w:r w:rsidR="001655CC" w:rsidRPr="003C7D9D">
        <w:rPr>
          <w:rFonts w:ascii="Times New Roman" w:hAnsi="Times New Roman"/>
          <w:sz w:val="24"/>
          <w:szCs w:val="24"/>
        </w:rPr>
        <w:t xml:space="preserve"> a concentraciones 10</w:t>
      </w:r>
      <w:r w:rsidR="001655CC" w:rsidRPr="003C7D9D">
        <w:rPr>
          <w:rFonts w:ascii="Times New Roman" w:hAnsi="Times New Roman"/>
          <w:sz w:val="24"/>
          <w:szCs w:val="24"/>
          <w:vertAlign w:val="superscript"/>
        </w:rPr>
        <w:t>8</w:t>
      </w:r>
      <w:r w:rsidR="001655CC" w:rsidRPr="003C7D9D">
        <w:rPr>
          <w:rFonts w:ascii="Times New Roman" w:hAnsi="Times New Roman"/>
          <w:sz w:val="24"/>
          <w:szCs w:val="24"/>
        </w:rPr>
        <w:t>,</w:t>
      </w:r>
      <w:r w:rsidR="006453B1">
        <w:rPr>
          <w:rFonts w:ascii="Times New Roman" w:hAnsi="Times New Roman"/>
          <w:sz w:val="24"/>
          <w:szCs w:val="24"/>
        </w:rPr>
        <w:t xml:space="preserve"> </w:t>
      </w:r>
      <w:r w:rsidR="001655CC" w:rsidRPr="003C7D9D">
        <w:rPr>
          <w:rFonts w:ascii="Times New Roman" w:hAnsi="Times New Roman"/>
          <w:sz w:val="24"/>
          <w:szCs w:val="24"/>
        </w:rPr>
        <w:t>10</w:t>
      </w:r>
      <w:r w:rsidR="001655CC" w:rsidRPr="003C7D9D">
        <w:rPr>
          <w:rFonts w:ascii="Times New Roman" w:hAnsi="Times New Roman"/>
          <w:sz w:val="24"/>
          <w:szCs w:val="24"/>
          <w:vertAlign w:val="superscript"/>
        </w:rPr>
        <w:t>7</w:t>
      </w:r>
      <w:r w:rsidR="001655CC" w:rsidRPr="003C7D9D">
        <w:rPr>
          <w:rFonts w:ascii="Times New Roman" w:hAnsi="Times New Roman"/>
          <w:sz w:val="24"/>
          <w:szCs w:val="24"/>
        </w:rPr>
        <w:t xml:space="preserve"> y 10</w:t>
      </w:r>
      <w:r w:rsidR="001655CC" w:rsidRPr="003C7D9D">
        <w:rPr>
          <w:rFonts w:ascii="Times New Roman" w:hAnsi="Times New Roman"/>
          <w:sz w:val="24"/>
          <w:szCs w:val="24"/>
          <w:vertAlign w:val="superscript"/>
        </w:rPr>
        <w:t>6</w:t>
      </w:r>
      <w:r w:rsidR="001655CC" w:rsidRPr="003C7D9D">
        <w:rPr>
          <w:rFonts w:ascii="Times New Roman" w:hAnsi="Times New Roman"/>
          <w:sz w:val="24"/>
          <w:szCs w:val="24"/>
        </w:rPr>
        <w:t xml:space="preserve"> UFC/</w:t>
      </w:r>
      <w:proofErr w:type="spellStart"/>
      <w:r w:rsidR="001655CC" w:rsidRPr="003C7D9D">
        <w:rPr>
          <w:rFonts w:ascii="Times New Roman" w:hAnsi="Times New Roman"/>
          <w:sz w:val="24"/>
          <w:szCs w:val="24"/>
        </w:rPr>
        <w:t>mL</w:t>
      </w:r>
      <w:proofErr w:type="spellEnd"/>
      <w:r w:rsidR="001655CC">
        <w:rPr>
          <w:rFonts w:ascii="Times New Roman" w:hAnsi="Times New Roman"/>
          <w:sz w:val="24"/>
          <w:szCs w:val="24"/>
        </w:rPr>
        <w:t>;</w:t>
      </w:r>
      <w:r w:rsidR="001655CC" w:rsidRPr="003C7D9D">
        <w:rPr>
          <w:rFonts w:ascii="Times New Roman" w:hAnsi="Times New Roman"/>
          <w:sz w:val="24"/>
          <w:szCs w:val="24"/>
        </w:rPr>
        <w:t xml:space="preserve"> los consorcios se forma</w:t>
      </w:r>
      <w:r w:rsidR="001655CC">
        <w:rPr>
          <w:rFonts w:ascii="Times New Roman" w:hAnsi="Times New Roman"/>
          <w:sz w:val="24"/>
          <w:szCs w:val="24"/>
        </w:rPr>
        <w:t xml:space="preserve">ron </w:t>
      </w:r>
      <w:r w:rsidR="001655CC" w:rsidRPr="003C7D9D">
        <w:rPr>
          <w:rFonts w:ascii="Times New Roman" w:hAnsi="Times New Roman"/>
          <w:sz w:val="24"/>
          <w:szCs w:val="24"/>
        </w:rPr>
        <w:t>con las cepas aisladas que no presentaron ningún efecto antagonista a concentraciones iguales.</w:t>
      </w:r>
    </w:p>
    <w:p w:rsidR="00DC78AE" w:rsidRDefault="00DC78AE" w:rsidP="00DC78AE">
      <w:pPr>
        <w:pStyle w:val="NormalWeb"/>
        <w:shd w:val="clear" w:color="auto" w:fill="FFFFFF"/>
        <w:jc w:val="both"/>
        <w:rPr>
          <w:b/>
          <w:bCs/>
          <w:color w:val="000000"/>
        </w:rPr>
      </w:pPr>
      <w:r w:rsidRPr="00820142">
        <w:rPr>
          <w:b/>
          <w:bCs/>
          <w:color w:val="000000"/>
        </w:rPr>
        <w:t>Evaluación cualitativa de la solubilización de fosfato</w:t>
      </w:r>
    </w:p>
    <w:p w:rsidR="005A6BC3" w:rsidRPr="002D7593" w:rsidRDefault="006A7426" w:rsidP="006C6AC5">
      <w:pPr>
        <w:pStyle w:val="NormalWeb"/>
        <w:shd w:val="clear" w:color="auto" w:fill="FFFFFF"/>
        <w:jc w:val="both"/>
      </w:pPr>
      <w:r w:rsidRPr="002D7593">
        <w:t>A los biopreparados elaborados</w:t>
      </w:r>
      <w:r w:rsidR="003C3466" w:rsidRPr="002D7593">
        <w:t xml:space="preserve"> con</w:t>
      </w:r>
      <w:r w:rsidR="002415D8" w:rsidRPr="002D7593">
        <w:t xml:space="preserve"> </w:t>
      </w:r>
      <w:r w:rsidR="004F7312" w:rsidRPr="002D7593">
        <w:t xml:space="preserve">cepas puras </w:t>
      </w:r>
      <w:r w:rsidR="003C3466" w:rsidRPr="002D7593">
        <w:t xml:space="preserve">por individual </w:t>
      </w:r>
      <w:r w:rsidR="004F7312" w:rsidRPr="002D7593">
        <w:t xml:space="preserve">y </w:t>
      </w:r>
      <w:r w:rsidRPr="002D7593">
        <w:t>en</w:t>
      </w:r>
      <w:r w:rsidR="003C3466" w:rsidRPr="002D7593">
        <w:t xml:space="preserve"> </w:t>
      </w:r>
      <w:r w:rsidR="004F7312" w:rsidRPr="002D7593">
        <w:t>consorcios</w:t>
      </w:r>
      <w:r w:rsidRPr="002D7593">
        <w:t>,</w:t>
      </w:r>
      <w:r w:rsidR="004F7312" w:rsidRPr="002D7593">
        <w:t xml:space="preserve"> se </w:t>
      </w:r>
      <w:r w:rsidR="008641F4" w:rsidRPr="002D7593">
        <w:t>le</w:t>
      </w:r>
      <w:r w:rsidR="00092BB5">
        <w:t>s</w:t>
      </w:r>
      <w:r w:rsidR="008641F4" w:rsidRPr="002D7593">
        <w:t xml:space="preserve"> </w:t>
      </w:r>
      <w:r w:rsidR="004F7312" w:rsidRPr="002D7593">
        <w:t>determinó en medio NBRIP</w:t>
      </w:r>
      <w:r w:rsidR="00AB4399" w:rsidRPr="002D7593">
        <w:t xml:space="preserve"> </w:t>
      </w:r>
      <w:r w:rsidR="002415D8" w:rsidRPr="002D7593">
        <w:t>(</w:t>
      </w:r>
      <w:proofErr w:type="spellStart"/>
      <w:r w:rsidR="002415D8" w:rsidRPr="002D7593">
        <w:rPr>
          <w:lang w:val="es-CO"/>
        </w:rPr>
        <w:t>Nautiyal</w:t>
      </w:r>
      <w:proofErr w:type="spellEnd"/>
      <w:r w:rsidR="002415D8" w:rsidRPr="002D7593">
        <w:rPr>
          <w:lang w:val="es-CO"/>
        </w:rPr>
        <w:t>, 1999</w:t>
      </w:r>
      <w:r w:rsidR="002415D8" w:rsidRPr="002D7593">
        <w:t>)</w:t>
      </w:r>
      <w:r w:rsidR="00AB4399" w:rsidRPr="002D7593">
        <w:t xml:space="preserve">, </w:t>
      </w:r>
      <w:r w:rsidR="004F7312" w:rsidRPr="002D7593">
        <w:t xml:space="preserve">la capacidad cualitativa de solubilización </w:t>
      </w:r>
      <w:r w:rsidR="003C3466" w:rsidRPr="002D7593">
        <w:t>de fosfato</w:t>
      </w:r>
      <w:r w:rsidR="009F016C" w:rsidRPr="002D7593">
        <w:t>s</w:t>
      </w:r>
      <w:r w:rsidR="003C3466" w:rsidRPr="002D7593">
        <w:t xml:space="preserve"> </w:t>
      </w:r>
      <w:r w:rsidR="004F7312" w:rsidRPr="002D7593">
        <w:t>que presentaban los microorganismos a concentraciones de 10</w:t>
      </w:r>
      <w:r w:rsidR="004F7312" w:rsidRPr="002D7593">
        <w:rPr>
          <w:vertAlign w:val="superscript"/>
        </w:rPr>
        <w:t>8</w:t>
      </w:r>
      <w:r w:rsidR="004F7312" w:rsidRPr="002D7593">
        <w:t>,10</w:t>
      </w:r>
      <w:r w:rsidR="004F7312" w:rsidRPr="002D7593">
        <w:rPr>
          <w:vertAlign w:val="superscript"/>
        </w:rPr>
        <w:t>7</w:t>
      </w:r>
      <w:r w:rsidR="004F7312" w:rsidRPr="002D7593">
        <w:t xml:space="preserve"> y 10</w:t>
      </w:r>
      <w:r w:rsidR="004F7312" w:rsidRPr="002D7593">
        <w:rPr>
          <w:vertAlign w:val="superscript"/>
        </w:rPr>
        <w:t xml:space="preserve">6 </w:t>
      </w:r>
      <w:r w:rsidR="004F7312" w:rsidRPr="002D7593">
        <w:t>UFC/</w:t>
      </w:r>
      <w:proofErr w:type="spellStart"/>
      <w:r w:rsidR="004F7312" w:rsidRPr="002D7593">
        <w:t>mL.</w:t>
      </w:r>
      <w:proofErr w:type="spellEnd"/>
      <w:r w:rsidR="004F7312" w:rsidRPr="002D7593">
        <w:t xml:space="preserve"> Las cajas de NBRIP</w:t>
      </w:r>
      <w:r w:rsidR="0058796E">
        <w:t xml:space="preserve"> </w:t>
      </w:r>
      <w:r w:rsidR="00A1108C" w:rsidRPr="002D7593">
        <w:t xml:space="preserve">luego de ser </w:t>
      </w:r>
      <w:r w:rsidR="004F7312" w:rsidRPr="002D7593">
        <w:t xml:space="preserve">inoculadas </w:t>
      </w:r>
      <w:r w:rsidR="00502491" w:rsidRPr="002D7593">
        <w:t xml:space="preserve">por la técnica de pozos, </w:t>
      </w:r>
      <w:r w:rsidR="004F7312" w:rsidRPr="002D7593">
        <w:t xml:space="preserve">con cada una de las cepas puras y con el consorcio </w:t>
      </w:r>
      <w:r w:rsidR="006A5B46" w:rsidRPr="002D7593">
        <w:t>bacteriano</w:t>
      </w:r>
      <w:r w:rsidR="0058796E">
        <w:t>,</w:t>
      </w:r>
      <w:r w:rsidR="004F7312" w:rsidRPr="002D7593">
        <w:t xml:space="preserve"> se incubaron a 28 ºC durante 14 días hasta la aparición de halos claros alrededor de las UFC </w:t>
      </w:r>
      <w:proofErr w:type="spellStart"/>
      <w:r w:rsidR="004F7312" w:rsidRPr="002D7593">
        <w:t>solubilizadoras</w:t>
      </w:r>
      <w:proofErr w:type="spellEnd"/>
      <w:r w:rsidR="004F7312" w:rsidRPr="002D7593">
        <w:t xml:space="preserve"> de fosfato. </w:t>
      </w:r>
      <w:r w:rsidR="004F7312" w:rsidRPr="002D7593">
        <w:lastRenderedPageBreak/>
        <w:t xml:space="preserve">El tamaño de los halos se calculó según el índice de solubilización: IS=A/B (A: diámetro de la colonia + diámetro del halo </w:t>
      </w:r>
      <w:r w:rsidR="008641F4" w:rsidRPr="002D7593">
        <w:t xml:space="preserve">y B: diámetro de la colonia) </w:t>
      </w:r>
      <w:r w:rsidR="00AC7EFD" w:rsidRPr="002D7593">
        <w:t>(</w:t>
      </w:r>
      <w:proofErr w:type="spellStart"/>
      <w:r w:rsidR="002415D8" w:rsidRPr="002D7593">
        <w:rPr>
          <w:shd w:val="clear" w:color="auto" w:fill="FFFFFF"/>
          <w:lang w:val="es-CO"/>
        </w:rPr>
        <w:t>Kumar</w:t>
      </w:r>
      <w:proofErr w:type="spellEnd"/>
      <w:r w:rsidR="002415D8" w:rsidRPr="002D7593">
        <w:rPr>
          <w:shd w:val="clear" w:color="auto" w:fill="FFFFFF"/>
          <w:lang w:val="es-CO"/>
        </w:rPr>
        <w:t xml:space="preserve"> y </w:t>
      </w:r>
      <w:proofErr w:type="spellStart"/>
      <w:r w:rsidR="002415D8" w:rsidRPr="002D7593">
        <w:rPr>
          <w:shd w:val="clear" w:color="auto" w:fill="FFFFFF"/>
          <w:lang w:val="es-CO"/>
        </w:rPr>
        <w:t>Narula</w:t>
      </w:r>
      <w:proofErr w:type="spellEnd"/>
      <w:r w:rsidR="00AC7EFD" w:rsidRPr="002D7593">
        <w:rPr>
          <w:shd w:val="clear" w:color="auto" w:fill="FFFFFF"/>
          <w:lang w:val="es-CO"/>
        </w:rPr>
        <w:t>, 1999)</w:t>
      </w:r>
      <w:r w:rsidR="004F7312" w:rsidRPr="002D7593">
        <w:t xml:space="preserve">  las mediciones se realizaron a los 7  y 14 días respectivamente después de la inoculación con el fin de evaluar el comportamiento de las cepas a través de</w:t>
      </w:r>
      <w:r w:rsidR="00851A10" w:rsidRPr="002D7593">
        <w:t>l tiempo</w:t>
      </w:r>
      <w:r w:rsidR="004F7312" w:rsidRPr="002D7593">
        <w:t>.</w:t>
      </w:r>
      <w:r w:rsidR="005A6BC3" w:rsidRPr="002D7593">
        <w:t xml:space="preserve"> Todos los ensayos se realizaron por triplicado.</w:t>
      </w:r>
    </w:p>
    <w:p w:rsidR="009E2409" w:rsidRPr="00820142" w:rsidRDefault="009E2409" w:rsidP="006C6AC5">
      <w:pPr>
        <w:pStyle w:val="NormalWeb"/>
        <w:shd w:val="clear" w:color="auto" w:fill="FFFFFF"/>
        <w:jc w:val="both"/>
        <w:rPr>
          <w:b/>
          <w:bCs/>
          <w:color w:val="000000"/>
        </w:rPr>
      </w:pPr>
      <w:r w:rsidRPr="00820142">
        <w:rPr>
          <w:b/>
          <w:bCs/>
          <w:color w:val="000000"/>
        </w:rPr>
        <w:t>Evaluación cuantitativa de la solubilización de fosfato</w:t>
      </w:r>
    </w:p>
    <w:p w:rsidR="005A6BC3" w:rsidRPr="003C7D9D" w:rsidRDefault="009E2409" w:rsidP="006C6AC5">
      <w:pPr>
        <w:pStyle w:val="NormalWeb"/>
        <w:shd w:val="clear" w:color="auto" w:fill="FFFFFF"/>
        <w:jc w:val="both"/>
        <w:rPr>
          <w:color w:val="000000"/>
        </w:rPr>
      </w:pPr>
      <w:r w:rsidRPr="003C7D9D">
        <w:rPr>
          <w:color w:val="000000"/>
        </w:rPr>
        <w:t>La capacidad cua</w:t>
      </w:r>
      <w:r w:rsidR="00F470D0">
        <w:rPr>
          <w:color w:val="000000"/>
        </w:rPr>
        <w:t>nt</w:t>
      </w:r>
      <w:r w:rsidRPr="003C7D9D">
        <w:rPr>
          <w:color w:val="000000"/>
        </w:rPr>
        <w:t xml:space="preserve">itativa de solubilización </w:t>
      </w:r>
      <w:r w:rsidR="00435B75">
        <w:rPr>
          <w:color w:val="000000"/>
        </w:rPr>
        <w:t xml:space="preserve">de fosfato </w:t>
      </w:r>
      <w:r w:rsidRPr="003C7D9D">
        <w:rPr>
          <w:color w:val="000000"/>
        </w:rPr>
        <w:t xml:space="preserve">se determinó en medio NBRIP (Liquido), se utilizó el </w:t>
      </w:r>
      <w:r w:rsidRPr="003C7D9D">
        <w:t xml:space="preserve"> método colorimétrico </w:t>
      </w:r>
      <w:r w:rsidR="00833F38" w:rsidRPr="003C7D9D">
        <w:t>ácido</w:t>
      </w:r>
      <w:r w:rsidR="00AC7EFD">
        <w:t xml:space="preserve"> </w:t>
      </w:r>
      <w:proofErr w:type="spellStart"/>
      <w:r w:rsidRPr="003C7D9D">
        <w:t>vanadomolibdofosforico</w:t>
      </w:r>
      <w:proofErr w:type="spellEnd"/>
      <w:r w:rsidR="008641F4" w:rsidRPr="003C7D9D">
        <w:t xml:space="preserve"> </w:t>
      </w:r>
      <w:r w:rsidR="00AC7EFD">
        <w:t>(</w:t>
      </w:r>
      <w:proofErr w:type="spellStart"/>
      <w:r w:rsidR="00AC7EFD" w:rsidRPr="00796C69">
        <w:rPr>
          <w:lang w:val="es-CO"/>
        </w:rPr>
        <w:t>Kitson</w:t>
      </w:r>
      <w:proofErr w:type="spellEnd"/>
      <w:r w:rsidR="00AC7EFD" w:rsidRPr="00796C69">
        <w:rPr>
          <w:lang w:val="es-CO"/>
        </w:rPr>
        <w:t xml:space="preserve"> y </w:t>
      </w:r>
      <w:proofErr w:type="spellStart"/>
      <w:r w:rsidR="00AC7EFD" w:rsidRPr="00796C69">
        <w:rPr>
          <w:lang w:val="es-CO"/>
        </w:rPr>
        <w:t>Mellon</w:t>
      </w:r>
      <w:proofErr w:type="spellEnd"/>
      <w:r w:rsidR="00AC7EFD" w:rsidRPr="00796C69">
        <w:rPr>
          <w:lang w:val="es-CO"/>
        </w:rPr>
        <w:t>, 1944</w:t>
      </w:r>
      <w:r w:rsidR="00AC7EFD">
        <w:t>)</w:t>
      </w:r>
      <w:r w:rsidR="00833F38" w:rsidRPr="003C7D9D">
        <w:t xml:space="preserve"> </w:t>
      </w:r>
      <w:r w:rsidRPr="003C7D9D">
        <w:t xml:space="preserve"> basado </w:t>
      </w:r>
      <w:r w:rsidRPr="003C7D9D">
        <w:rPr>
          <w:color w:val="000000"/>
          <w:shd w:val="clear" w:color="auto" w:fill="FFFFFF"/>
        </w:rPr>
        <w:t xml:space="preserve">en una solución diluida de </w:t>
      </w:r>
      <w:proofErr w:type="spellStart"/>
      <w:r w:rsidRPr="003C7D9D">
        <w:rPr>
          <w:color w:val="000000"/>
          <w:shd w:val="clear" w:color="auto" w:fill="FFFFFF"/>
        </w:rPr>
        <w:t>ortofosfato</w:t>
      </w:r>
      <w:proofErr w:type="spellEnd"/>
      <w:r w:rsidRPr="003C7D9D">
        <w:rPr>
          <w:color w:val="000000"/>
          <w:shd w:val="clear" w:color="auto" w:fill="FFFFFF"/>
        </w:rPr>
        <w:t xml:space="preserve">, el molibdato amónico reacciona en condiciones ácidas para formar un </w:t>
      </w:r>
      <w:proofErr w:type="spellStart"/>
      <w:r w:rsidRPr="003C7D9D">
        <w:rPr>
          <w:color w:val="000000"/>
          <w:shd w:val="clear" w:color="auto" w:fill="FFFFFF"/>
        </w:rPr>
        <w:t>heteropoliácido</w:t>
      </w:r>
      <w:proofErr w:type="spellEnd"/>
      <w:r w:rsidRPr="003C7D9D">
        <w:rPr>
          <w:color w:val="000000"/>
          <w:shd w:val="clear" w:color="auto" w:fill="FFFFFF"/>
        </w:rPr>
        <w:t xml:space="preserve">, ácido </w:t>
      </w:r>
      <w:proofErr w:type="spellStart"/>
      <w:r w:rsidRPr="003C7D9D">
        <w:rPr>
          <w:color w:val="000000"/>
          <w:shd w:val="clear" w:color="auto" w:fill="FFFFFF"/>
        </w:rPr>
        <w:t>molibdofosfórico</w:t>
      </w:r>
      <w:proofErr w:type="spellEnd"/>
      <w:r w:rsidRPr="003C7D9D">
        <w:rPr>
          <w:color w:val="000000"/>
          <w:shd w:val="clear" w:color="auto" w:fill="FFFFFF"/>
        </w:rPr>
        <w:t xml:space="preserve">. En presencia de vanadio forma ácido </w:t>
      </w:r>
      <w:proofErr w:type="spellStart"/>
      <w:r w:rsidRPr="003C7D9D">
        <w:rPr>
          <w:color w:val="000000"/>
          <w:shd w:val="clear" w:color="auto" w:fill="FFFFFF"/>
        </w:rPr>
        <w:t>vanadomolibdofosfórico</w:t>
      </w:r>
      <w:proofErr w:type="spellEnd"/>
      <w:r w:rsidRPr="003C7D9D">
        <w:rPr>
          <w:color w:val="000000"/>
          <w:shd w:val="clear" w:color="auto" w:fill="FFFFFF"/>
        </w:rPr>
        <w:t xml:space="preserve"> amarillo, la intensidad del color amarillo es proporcional a la concentración de fosfatos.</w:t>
      </w:r>
      <w:r w:rsidR="00141FE7" w:rsidRPr="00141FE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41FE7" w:rsidRPr="00141FE7">
        <w:rPr>
          <w:color w:val="000000"/>
          <w:shd w:val="clear" w:color="auto" w:fill="FFFFFF"/>
        </w:rPr>
        <w:t>Por éste método</w:t>
      </w:r>
      <w:r w:rsidR="00141FE7">
        <w:rPr>
          <w:rFonts w:ascii="Arial" w:hAnsi="Arial" w:cs="Arial"/>
          <w:color w:val="000000"/>
          <w:shd w:val="clear" w:color="auto" w:fill="FFFFFF"/>
        </w:rPr>
        <w:t xml:space="preserve"> s</w:t>
      </w:r>
      <w:r w:rsidR="00141FE7" w:rsidRPr="00141FE7">
        <w:rPr>
          <w:color w:val="000000"/>
          <w:shd w:val="clear" w:color="auto" w:fill="FFFFFF"/>
        </w:rPr>
        <w:t>e evalúan bacterias que poseen capacidad de solubilizar componentes fosfatados inorgánicos insolubles, como el fosfato </w:t>
      </w:r>
      <w:proofErr w:type="spellStart"/>
      <w:r w:rsidR="00141FE7" w:rsidRPr="00141FE7">
        <w:rPr>
          <w:color w:val="000000"/>
          <w:shd w:val="clear" w:color="auto" w:fill="FFFFFF"/>
        </w:rPr>
        <w:t>tricalcico</w:t>
      </w:r>
      <w:proofErr w:type="spellEnd"/>
      <w:r w:rsidR="00141FE7" w:rsidRPr="00141FE7">
        <w:rPr>
          <w:color w:val="000000"/>
          <w:shd w:val="clear" w:color="auto" w:fill="FFFFFF"/>
        </w:rPr>
        <w:t xml:space="preserve">, fosfato </w:t>
      </w:r>
      <w:proofErr w:type="spellStart"/>
      <w:r w:rsidR="00141FE7" w:rsidRPr="00141FE7">
        <w:rPr>
          <w:color w:val="000000"/>
          <w:shd w:val="clear" w:color="auto" w:fill="FFFFFF"/>
        </w:rPr>
        <w:t>dicalcico</w:t>
      </w:r>
      <w:proofErr w:type="spellEnd"/>
      <w:r w:rsidR="00141FE7" w:rsidRPr="00141FE7">
        <w:rPr>
          <w:color w:val="000000"/>
          <w:shd w:val="clear" w:color="auto" w:fill="FFFFFF"/>
        </w:rPr>
        <w:t xml:space="preserve"> y </w:t>
      </w:r>
      <w:proofErr w:type="spellStart"/>
      <w:r w:rsidR="00141FE7" w:rsidRPr="00141FE7">
        <w:rPr>
          <w:color w:val="000000"/>
          <w:shd w:val="clear" w:color="auto" w:fill="FFFFFF"/>
        </w:rPr>
        <w:t>hidroxiapatitas</w:t>
      </w:r>
      <w:proofErr w:type="spellEnd"/>
      <w:r w:rsidR="00141FE7">
        <w:rPr>
          <w:color w:val="000000"/>
          <w:shd w:val="clear" w:color="auto" w:fill="FFFFFF"/>
        </w:rPr>
        <w:t>.</w:t>
      </w:r>
      <w:r w:rsidRPr="003C7D9D">
        <w:rPr>
          <w:color w:val="000000"/>
          <w:shd w:val="clear" w:color="auto" w:fill="FFFFFF"/>
        </w:rPr>
        <w:t xml:space="preserve"> </w:t>
      </w:r>
      <w:r w:rsidR="00435B75" w:rsidRPr="00446AF5">
        <w:t xml:space="preserve">Para esta prueba se tomó 1 </w:t>
      </w:r>
      <w:proofErr w:type="spellStart"/>
      <w:r w:rsidR="00435B75" w:rsidRPr="00446AF5">
        <w:t>mL</w:t>
      </w:r>
      <w:proofErr w:type="spellEnd"/>
      <w:r w:rsidR="00435B75" w:rsidRPr="00446AF5">
        <w:t xml:space="preserve"> de </w:t>
      </w:r>
      <w:proofErr w:type="spellStart"/>
      <w:r w:rsidR="006748F9">
        <w:t>biopreparado</w:t>
      </w:r>
      <w:proofErr w:type="spellEnd"/>
      <w:r w:rsidR="00435B75" w:rsidRPr="00446AF5">
        <w:t xml:space="preserve"> y se adiciono a 9 </w:t>
      </w:r>
      <w:proofErr w:type="spellStart"/>
      <w:r w:rsidR="00435B75" w:rsidRPr="00446AF5">
        <w:t>mL</w:t>
      </w:r>
      <w:proofErr w:type="spellEnd"/>
      <w:r w:rsidR="00435B75" w:rsidRPr="00446AF5">
        <w:t xml:space="preserve"> de medio NBRIP estéril,</w:t>
      </w:r>
      <w:r w:rsidR="00435B75">
        <w:t xml:space="preserve"> se incubó por 72</w:t>
      </w:r>
      <w:r w:rsidR="00731158">
        <w:t xml:space="preserve"> </w:t>
      </w:r>
      <w:r w:rsidR="00435B75" w:rsidRPr="00446AF5">
        <w:t>h a temperatura ambiente</w:t>
      </w:r>
      <w:r w:rsidR="00435B75">
        <w:t xml:space="preserve"> </w:t>
      </w:r>
      <w:r w:rsidR="00435B75" w:rsidRPr="00C45826">
        <w:t>(28±2</w:t>
      </w:r>
      <w:r w:rsidR="00731158">
        <w:t xml:space="preserve"> </w:t>
      </w:r>
      <w:r w:rsidR="00435B75" w:rsidRPr="00C45826">
        <w:t>ºC)</w:t>
      </w:r>
      <w:r w:rsidR="00435B75" w:rsidRPr="00446AF5">
        <w:t xml:space="preserve">, en agitación constante a 150 rpm; </w:t>
      </w:r>
      <w:r w:rsidR="00435B75">
        <w:t>trascurrido este tiempo</w:t>
      </w:r>
      <w:r w:rsidR="008B582C">
        <w:t xml:space="preserve">, </w:t>
      </w:r>
      <w:r w:rsidR="00E654E5">
        <w:t>se tomó el sobrenadante</w:t>
      </w:r>
      <w:r w:rsidR="008B582C">
        <w:t>,</w:t>
      </w:r>
      <w:r w:rsidR="00E654E5">
        <w:t xml:space="preserve"> se aplicó </w:t>
      </w:r>
      <w:r w:rsidR="00435B75">
        <w:t xml:space="preserve">el </w:t>
      </w:r>
      <w:r w:rsidR="00BD3AA0">
        <w:t>re</w:t>
      </w:r>
      <w:r w:rsidR="006F11FC">
        <w:t>a</w:t>
      </w:r>
      <w:r w:rsidR="00BD3AA0">
        <w:t>ctivo</w:t>
      </w:r>
      <w:r w:rsidR="00435B75" w:rsidRPr="00446AF5">
        <w:t xml:space="preserve"> </w:t>
      </w:r>
      <w:r w:rsidR="00CA1919">
        <w:t>(</w:t>
      </w:r>
      <w:proofErr w:type="spellStart"/>
      <w:r w:rsidR="00CA1919">
        <w:t>vanadomolibdato</w:t>
      </w:r>
      <w:proofErr w:type="spellEnd"/>
      <w:r w:rsidR="00CA1919">
        <w:t xml:space="preserve">) </w:t>
      </w:r>
      <w:r w:rsidR="00435B75">
        <w:t xml:space="preserve">y </w:t>
      </w:r>
      <w:r w:rsidR="00435B75" w:rsidRPr="00446AF5">
        <w:t xml:space="preserve">se </w:t>
      </w:r>
      <w:r w:rsidR="00592FC9">
        <w:t xml:space="preserve">leyó </w:t>
      </w:r>
      <w:r w:rsidR="00435B75">
        <w:t xml:space="preserve">la </w:t>
      </w:r>
      <w:proofErr w:type="spellStart"/>
      <w:r w:rsidR="00435B75">
        <w:t>absorbancia</w:t>
      </w:r>
      <w:proofErr w:type="spellEnd"/>
      <w:r w:rsidR="00435B75">
        <w:t xml:space="preserve"> a </w:t>
      </w:r>
      <w:r w:rsidR="00592FC9">
        <w:t xml:space="preserve">la longitud de onda de </w:t>
      </w:r>
      <w:r w:rsidR="00435B75">
        <w:t>440</w:t>
      </w:r>
      <w:r w:rsidR="00435B75" w:rsidRPr="004E2808">
        <w:t>nm</w:t>
      </w:r>
      <w:r w:rsidR="00435B75">
        <w:t xml:space="preserve"> </w:t>
      </w:r>
      <w:r w:rsidR="00435B75" w:rsidRPr="004E2808">
        <w:t xml:space="preserve">utilizando un espectrofotómetro </w:t>
      </w:r>
      <w:proofErr w:type="spellStart"/>
      <w:r w:rsidR="00435B75" w:rsidRPr="004E2808">
        <w:t>Genesys</w:t>
      </w:r>
      <w:proofErr w:type="spellEnd"/>
      <w:r w:rsidR="00435B75" w:rsidRPr="004E2808">
        <w:t xml:space="preserve"> 20 Vis </w:t>
      </w:r>
      <w:r w:rsidR="00435B75">
        <w:t>(</w:t>
      </w:r>
      <w:proofErr w:type="spellStart"/>
      <w:r w:rsidR="00435B75">
        <w:t>Thermo</w:t>
      </w:r>
      <w:proofErr w:type="spellEnd"/>
      <w:r w:rsidR="00435B75">
        <w:t xml:space="preserve"> Fisher </w:t>
      </w:r>
      <w:proofErr w:type="spellStart"/>
      <w:r w:rsidR="00435B75">
        <w:t>Scientific</w:t>
      </w:r>
      <w:proofErr w:type="spellEnd"/>
      <w:r w:rsidR="00435B75">
        <w:t xml:space="preserve"> Inc.) y empleando </w:t>
      </w:r>
      <w:r w:rsidR="00435B75" w:rsidRPr="00446AF5">
        <w:t xml:space="preserve">la </w:t>
      </w:r>
      <w:r w:rsidR="008B582C">
        <w:t>curva</w:t>
      </w:r>
      <w:r w:rsidR="00435B75">
        <w:t xml:space="preserve"> de calibrado y = 0,0059x + 0,0037</w:t>
      </w:r>
      <w:r w:rsidR="00435B75" w:rsidRPr="00446AF5">
        <w:t>, R</w:t>
      </w:r>
      <w:r w:rsidR="00435B75" w:rsidRPr="00446AF5">
        <w:rPr>
          <w:vertAlign w:val="superscript"/>
        </w:rPr>
        <w:t xml:space="preserve">2 </w:t>
      </w:r>
      <w:r w:rsidR="00435B75" w:rsidRPr="00446AF5">
        <w:t>= 0,9912</w:t>
      </w:r>
      <w:r w:rsidR="00435B75">
        <w:t xml:space="preserve">, </w:t>
      </w:r>
      <w:r w:rsidR="00435B75">
        <w:rPr>
          <w:lang w:val="es-CO"/>
        </w:rPr>
        <w:t>estandarizada</w:t>
      </w:r>
      <w:r w:rsidR="00435B75" w:rsidRPr="00C45826">
        <w:rPr>
          <w:lang w:val="es-CO"/>
        </w:rPr>
        <w:t xml:space="preserve"> por el equipo de investigación del Laboratorio  GRUBIODEQ</w:t>
      </w:r>
      <w:r w:rsidR="0032447E">
        <w:rPr>
          <w:lang w:val="es-CO"/>
        </w:rPr>
        <w:t>. Se determinaron las concentraciones en ppm.</w:t>
      </w:r>
      <w:r w:rsidR="00E43285" w:rsidRPr="00E43285">
        <w:rPr>
          <w:color w:val="FF0000"/>
        </w:rPr>
        <w:t xml:space="preserve"> </w:t>
      </w:r>
      <w:r w:rsidR="00E43285" w:rsidRPr="00E43285">
        <w:rPr>
          <w:color w:val="000000" w:themeColor="text1"/>
        </w:rPr>
        <w:t xml:space="preserve">Como blanco se tomó únicamente el medio NBRIP y se realizó todo el proceso  </w:t>
      </w:r>
      <w:r w:rsidR="005A6BC3" w:rsidRPr="00E43285">
        <w:rPr>
          <w:color w:val="000000" w:themeColor="text1"/>
        </w:rPr>
        <w:t>Todos los ensayos se realizaron por triplicado</w:t>
      </w:r>
      <w:r w:rsidR="005A6BC3" w:rsidRPr="003C7D9D">
        <w:rPr>
          <w:color w:val="000000"/>
        </w:rPr>
        <w:t>.</w:t>
      </w:r>
    </w:p>
    <w:p w:rsidR="0024395E" w:rsidRPr="0024395E" w:rsidRDefault="0024395E" w:rsidP="002439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Evaluación del efecto de los </w:t>
      </w:r>
      <w:proofErr w:type="spellStart"/>
      <w:r>
        <w:rPr>
          <w:rFonts w:ascii="Times New Roman" w:hAnsi="Times New Roman"/>
          <w:b/>
          <w:sz w:val="24"/>
          <w:szCs w:val="24"/>
        </w:rPr>
        <w:t>bioinoculantes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en plantas de pasto </w:t>
      </w:r>
      <w:proofErr w:type="spellStart"/>
      <w:r>
        <w:rPr>
          <w:rFonts w:ascii="Times New Roman" w:hAnsi="Times New Roman"/>
          <w:b/>
          <w:sz w:val="24"/>
          <w:szCs w:val="24"/>
        </w:rPr>
        <w:t>Angleton</w:t>
      </w:r>
      <w:proofErr w:type="spellEnd"/>
      <w:r w:rsidRPr="00C45826">
        <w:rPr>
          <w:rFonts w:ascii="Times New Roman" w:hAnsi="Times New Roman"/>
          <w:b/>
          <w:sz w:val="24"/>
          <w:szCs w:val="24"/>
        </w:rPr>
        <w:t xml:space="preserve"> </w:t>
      </w:r>
      <w:r w:rsidRPr="0024395E">
        <w:rPr>
          <w:rFonts w:ascii="Times New Roman" w:hAnsi="Times New Roman"/>
          <w:sz w:val="24"/>
          <w:szCs w:val="24"/>
        </w:rPr>
        <w:t>(</w:t>
      </w:r>
      <w:proofErr w:type="spellStart"/>
      <w:r w:rsidRPr="0024395E">
        <w:rPr>
          <w:rFonts w:ascii="Times New Roman" w:hAnsi="Times New Roman"/>
          <w:i/>
          <w:sz w:val="24"/>
          <w:szCs w:val="24"/>
        </w:rPr>
        <w:t>Dichantium</w:t>
      </w:r>
      <w:proofErr w:type="spellEnd"/>
      <w:r w:rsidRPr="0024395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4395E">
        <w:rPr>
          <w:rFonts w:ascii="Times New Roman" w:hAnsi="Times New Roman"/>
          <w:i/>
          <w:sz w:val="24"/>
          <w:szCs w:val="24"/>
        </w:rPr>
        <w:t>aristatum</w:t>
      </w:r>
      <w:proofErr w:type="spellEnd"/>
      <w:r w:rsidRPr="0024395E">
        <w:rPr>
          <w:rFonts w:ascii="Times New Roman" w:hAnsi="Times New Roman"/>
          <w:sz w:val="24"/>
          <w:szCs w:val="24"/>
        </w:rPr>
        <w:t>)</w:t>
      </w:r>
    </w:p>
    <w:p w:rsidR="00D20F9B" w:rsidRDefault="00D20F9B" w:rsidP="00D20F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Una vez seleccionados los microorganismos o consorcios eficientes, se sembraron por la técnica de estría masiva en </w:t>
      </w:r>
      <w:proofErr w:type="spellStart"/>
      <w:r>
        <w:rPr>
          <w:rFonts w:ascii="Times New Roman" w:hAnsi="Times New Roman"/>
          <w:sz w:val="24"/>
          <w:szCs w:val="24"/>
        </w:rPr>
        <w:t>agar</w:t>
      </w:r>
      <w:proofErr w:type="spellEnd"/>
      <w:r>
        <w:rPr>
          <w:rFonts w:ascii="Times New Roman" w:hAnsi="Times New Roman"/>
          <w:sz w:val="24"/>
          <w:szCs w:val="24"/>
        </w:rPr>
        <w:t xml:space="preserve"> nutritivo y se incubaron durante 24 h a 36</w:t>
      </w:r>
      <w:r w:rsidR="007311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°C. Los </w:t>
      </w:r>
      <w:proofErr w:type="spellStart"/>
      <w:r>
        <w:rPr>
          <w:rFonts w:ascii="Times New Roman" w:hAnsi="Times New Roman"/>
          <w:sz w:val="24"/>
          <w:szCs w:val="24"/>
        </w:rPr>
        <w:t>bioinoculantes</w:t>
      </w:r>
      <w:proofErr w:type="spellEnd"/>
      <w:r>
        <w:rPr>
          <w:rFonts w:ascii="Times New Roman" w:hAnsi="Times New Roman"/>
          <w:sz w:val="24"/>
          <w:szCs w:val="24"/>
        </w:rPr>
        <w:t xml:space="preserve"> se produjeron en </w:t>
      </w:r>
      <w:proofErr w:type="spellStart"/>
      <w:r w:rsidRPr="00C45826">
        <w:rPr>
          <w:rFonts w:ascii="Times New Roman" w:hAnsi="Times New Roman"/>
          <w:sz w:val="24"/>
          <w:szCs w:val="24"/>
        </w:rPr>
        <w:t>Erlenmeyer</w:t>
      </w:r>
      <w:proofErr w:type="spellEnd"/>
      <w:r w:rsidRPr="00C45826">
        <w:rPr>
          <w:rFonts w:ascii="Times New Roman" w:hAnsi="Times New Roman"/>
          <w:sz w:val="24"/>
          <w:szCs w:val="24"/>
        </w:rPr>
        <w:t xml:space="preserve"> de 100 </w:t>
      </w:r>
      <w:proofErr w:type="spellStart"/>
      <w:r w:rsidRPr="00C45826">
        <w:rPr>
          <w:rFonts w:ascii="Times New Roman" w:hAnsi="Times New Roman"/>
          <w:sz w:val="24"/>
          <w:szCs w:val="24"/>
        </w:rPr>
        <w:t>mL</w:t>
      </w:r>
      <w:proofErr w:type="spellEnd"/>
      <w:r>
        <w:rPr>
          <w:rFonts w:ascii="Times New Roman" w:hAnsi="Times New Roman"/>
          <w:sz w:val="24"/>
          <w:szCs w:val="24"/>
        </w:rPr>
        <w:t xml:space="preserve"> con 30 </w:t>
      </w:r>
      <w:proofErr w:type="spellStart"/>
      <w:r>
        <w:rPr>
          <w:rFonts w:ascii="Times New Roman" w:hAnsi="Times New Roman"/>
          <w:sz w:val="24"/>
          <w:szCs w:val="24"/>
        </w:rPr>
        <w:t>mL</w:t>
      </w:r>
      <w:proofErr w:type="spellEnd"/>
      <w:r>
        <w:rPr>
          <w:rFonts w:ascii="Times New Roman" w:hAnsi="Times New Roman"/>
          <w:sz w:val="24"/>
          <w:szCs w:val="24"/>
        </w:rPr>
        <w:t xml:space="preserve"> de caldo nutritivo estéril, </w:t>
      </w:r>
      <w:r w:rsidRPr="004E2808">
        <w:rPr>
          <w:rFonts w:ascii="Times New Roman" w:hAnsi="Times New Roman"/>
          <w:sz w:val="24"/>
          <w:szCs w:val="24"/>
        </w:rPr>
        <w:t xml:space="preserve">cada </w:t>
      </w:r>
      <w:proofErr w:type="spellStart"/>
      <w:r w:rsidRPr="00C45826">
        <w:rPr>
          <w:rFonts w:ascii="Times New Roman" w:hAnsi="Times New Roman"/>
          <w:sz w:val="24"/>
          <w:szCs w:val="24"/>
        </w:rPr>
        <w:t>Erlenmeyer</w:t>
      </w:r>
      <w:proofErr w:type="spellEnd"/>
      <w:r w:rsidRPr="004E2808">
        <w:rPr>
          <w:rFonts w:ascii="Times New Roman" w:hAnsi="Times New Roman"/>
          <w:sz w:val="24"/>
          <w:szCs w:val="24"/>
        </w:rPr>
        <w:t xml:space="preserve"> se inoculó con </w:t>
      </w:r>
      <w:r>
        <w:rPr>
          <w:rFonts w:ascii="Times New Roman" w:hAnsi="Times New Roman"/>
          <w:sz w:val="24"/>
          <w:szCs w:val="24"/>
        </w:rPr>
        <w:t xml:space="preserve">los </w:t>
      </w:r>
      <w:proofErr w:type="spellStart"/>
      <w:r>
        <w:rPr>
          <w:rFonts w:ascii="Times New Roman" w:hAnsi="Times New Roman"/>
          <w:sz w:val="24"/>
          <w:szCs w:val="24"/>
        </w:rPr>
        <w:t>microrganismo</w:t>
      </w:r>
      <w:proofErr w:type="spellEnd"/>
      <w:r>
        <w:rPr>
          <w:rFonts w:ascii="Times New Roman" w:hAnsi="Times New Roman"/>
          <w:sz w:val="24"/>
          <w:szCs w:val="24"/>
        </w:rPr>
        <w:t xml:space="preserve"> eficientes y se incubo </w:t>
      </w:r>
      <w:r w:rsidRPr="00C45826">
        <w:rPr>
          <w:rFonts w:ascii="Times New Roman" w:hAnsi="Times New Roman"/>
          <w:sz w:val="24"/>
          <w:szCs w:val="24"/>
        </w:rPr>
        <w:t>a temperatura ambiente (28±2</w:t>
      </w:r>
      <w:r w:rsidR="00731158">
        <w:rPr>
          <w:rFonts w:ascii="Times New Roman" w:hAnsi="Times New Roman"/>
          <w:sz w:val="24"/>
          <w:szCs w:val="24"/>
        </w:rPr>
        <w:t xml:space="preserve"> </w:t>
      </w:r>
      <w:r w:rsidRPr="00C45826">
        <w:rPr>
          <w:rFonts w:ascii="Times New Roman" w:hAnsi="Times New Roman"/>
          <w:sz w:val="24"/>
          <w:szCs w:val="24"/>
        </w:rPr>
        <w:t xml:space="preserve">ºC), manteniendo una agitación constante de 150 rpm en un </w:t>
      </w:r>
      <w:proofErr w:type="spellStart"/>
      <w:r w:rsidRPr="00C45826">
        <w:rPr>
          <w:rFonts w:ascii="Times New Roman" w:hAnsi="Times New Roman"/>
          <w:sz w:val="24"/>
          <w:szCs w:val="24"/>
        </w:rPr>
        <w:t>shaker</w:t>
      </w:r>
      <w:proofErr w:type="spellEnd"/>
      <w:r w:rsidRPr="00C45826">
        <w:rPr>
          <w:rFonts w:ascii="Times New Roman" w:hAnsi="Times New Roman"/>
          <w:sz w:val="24"/>
          <w:szCs w:val="24"/>
        </w:rPr>
        <w:t xml:space="preserve"> por un período de 24 h;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5826">
        <w:rPr>
          <w:rFonts w:ascii="Times New Roman" w:hAnsi="Times New Roman"/>
          <w:sz w:val="24"/>
          <w:szCs w:val="24"/>
        </w:rPr>
        <w:t>con el fin confirmar la concent</w:t>
      </w:r>
      <w:r>
        <w:rPr>
          <w:rFonts w:ascii="Times New Roman" w:hAnsi="Times New Roman"/>
          <w:sz w:val="24"/>
          <w:szCs w:val="24"/>
        </w:rPr>
        <w:t xml:space="preserve">ración celular en cada </w:t>
      </w:r>
      <w:proofErr w:type="spellStart"/>
      <w:r>
        <w:rPr>
          <w:rFonts w:ascii="Times New Roman" w:hAnsi="Times New Roman"/>
          <w:sz w:val="24"/>
          <w:szCs w:val="24"/>
        </w:rPr>
        <w:t>bioinoculante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45826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 xml:space="preserve">evaluó </w:t>
      </w:r>
      <w:r w:rsidRPr="00C45826">
        <w:rPr>
          <w:rFonts w:ascii="Times New Roman" w:hAnsi="Times New Roman"/>
          <w:sz w:val="24"/>
          <w:szCs w:val="24"/>
        </w:rPr>
        <w:t xml:space="preserve">el crecimiento por el método de diluciones seriadas, </w:t>
      </w:r>
      <w:r>
        <w:rPr>
          <w:rFonts w:ascii="Times New Roman" w:hAnsi="Times New Roman"/>
          <w:sz w:val="24"/>
          <w:szCs w:val="24"/>
        </w:rPr>
        <w:t xml:space="preserve">al final del proceso; </w:t>
      </w:r>
      <w:r w:rsidRPr="00C45826">
        <w:rPr>
          <w:rFonts w:ascii="Times New Roman" w:hAnsi="Times New Roman"/>
          <w:sz w:val="24"/>
          <w:szCs w:val="24"/>
        </w:rPr>
        <w:t>todos los ensayos se realizaron por triplicado (</w:t>
      </w:r>
      <w:proofErr w:type="spellStart"/>
      <w:r w:rsidRPr="00C45826">
        <w:rPr>
          <w:rFonts w:ascii="Times New Roman" w:hAnsi="Times New Roman"/>
          <w:sz w:val="24"/>
          <w:szCs w:val="24"/>
        </w:rPr>
        <w:t>Seeley</w:t>
      </w:r>
      <w:proofErr w:type="spellEnd"/>
      <w:r w:rsidRPr="00C45826">
        <w:rPr>
          <w:rFonts w:ascii="Times New Roman" w:hAnsi="Times New Roman"/>
          <w:sz w:val="24"/>
          <w:szCs w:val="24"/>
        </w:rPr>
        <w:t xml:space="preserve"> </w:t>
      </w:r>
      <w:r w:rsidRPr="00C45826">
        <w:rPr>
          <w:rFonts w:ascii="Times New Roman" w:hAnsi="Times New Roman"/>
          <w:i/>
          <w:sz w:val="24"/>
          <w:szCs w:val="24"/>
        </w:rPr>
        <w:t xml:space="preserve">et al., </w:t>
      </w:r>
      <w:r w:rsidRPr="00C45826">
        <w:rPr>
          <w:rFonts w:ascii="Times New Roman" w:hAnsi="Times New Roman"/>
          <w:sz w:val="24"/>
          <w:szCs w:val="24"/>
        </w:rPr>
        <w:t xml:space="preserve">1973). De esta  forma </w:t>
      </w:r>
      <w:r>
        <w:rPr>
          <w:rFonts w:ascii="Times New Roman" w:hAnsi="Times New Roman"/>
          <w:sz w:val="24"/>
          <w:szCs w:val="24"/>
        </w:rPr>
        <w:t xml:space="preserve">se ajustaron los inoculantes a la </w:t>
      </w:r>
      <w:r w:rsidRPr="00C45826">
        <w:rPr>
          <w:rFonts w:ascii="Times New Roman" w:hAnsi="Times New Roman"/>
          <w:sz w:val="24"/>
          <w:szCs w:val="24"/>
        </w:rPr>
        <w:t>concentración que presentaron mayor rendimiento en la solubilización de fosfato.</w:t>
      </w:r>
    </w:p>
    <w:p w:rsidR="00D20F9B" w:rsidRPr="00C45826" w:rsidRDefault="00D20F9B" w:rsidP="00D20F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45826">
        <w:rPr>
          <w:rFonts w:ascii="Times New Roman" w:hAnsi="Times New Roman"/>
          <w:sz w:val="24"/>
          <w:szCs w:val="24"/>
        </w:rPr>
        <w:t>Para reali</w:t>
      </w:r>
      <w:r>
        <w:rPr>
          <w:rFonts w:ascii="Times New Roman" w:hAnsi="Times New Roman"/>
          <w:sz w:val="24"/>
          <w:szCs w:val="24"/>
        </w:rPr>
        <w:t>zar el experimento se utilizó</w:t>
      </w:r>
      <w:r w:rsidRPr="00C45826">
        <w:rPr>
          <w:rFonts w:ascii="Times New Roman" w:hAnsi="Times New Roman"/>
          <w:sz w:val="24"/>
          <w:szCs w:val="24"/>
        </w:rPr>
        <w:t xml:space="preserve"> semilla</w:t>
      </w:r>
      <w:r>
        <w:rPr>
          <w:rFonts w:ascii="Times New Roman" w:hAnsi="Times New Roman"/>
          <w:sz w:val="24"/>
          <w:szCs w:val="24"/>
        </w:rPr>
        <w:t>s</w:t>
      </w:r>
      <w:r w:rsidRPr="00C45826">
        <w:rPr>
          <w:rFonts w:ascii="Times New Roman" w:hAnsi="Times New Roman"/>
          <w:sz w:val="24"/>
          <w:szCs w:val="24"/>
        </w:rPr>
        <w:t xml:space="preserve"> de pasto </w:t>
      </w:r>
      <w:proofErr w:type="spellStart"/>
      <w:r w:rsidR="008F6D7E">
        <w:rPr>
          <w:rFonts w:ascii="Times New Roman" w:hAnsi="Times New Roman"/>
          <w:sz w:val="24"/>
          <w:szCs w:val="24"/>
        </w:rPr>
        <w:t>A</w:t>
      </w:r>
      <w:r w:rsidRPr="00C45826">
        <w:rPr>
          <w:rFonts w:ascii="Times New Roman" w:hAnsi="Times New Roman"/>
          <w:sz w:val="24"/>
          <w:szCs w:val="24"/>
        </w:rPr>
        <w:t>ngleton</w:t>
      </w:r>
      <w:proofErr w:type="spellEnd"/>
      <w:r w:rsidRPr="00C4582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45826">
        <w:rPr>
          <w:rFonts w:ascii="Times New Roman" w:hAnsi="Times New Roman"/>
          <w:i/>
          <w:sz w:val="24"/>
          <w:szCs w:val="24"/>
        </w:rPr>
        <w:t>Dichantium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5826">
        <w:rPr>
          <w:rFonts w:ascii="Times New Roman" w:hAnsi="Times New Roman"/>
          <w:i/>
          <w:sz w:val="24"/>
          <w:szCs w:val="24"/>
        </w:rPr>
        <w:t>aristatum</w:t>
      </w:r>
      <w:proofErr w:type="spellEnd"/>
      <w:r>
        <w:rPr>
          <w:rFonts w:ascii="Times New Roman" w:hAnsi="Times New Roman"/>
          <w:sz w:val="24"/>
          <w:szCs w:val="24"/>
        </w:rPr>
        <w:t xml:space="preserve">)  desinfectadas con </w:t>
      </w:r>
      <w:r w:rsidRPr="00A154C6">
        <w:rPr>
          <w:rFonts w:ascii="Times New Roman" w:hAnsi="Times New Roman"/>
          <w:sz w:val="24"/>
          <w:szCs w:val="24"/>
        </w:rPr>
        <w:t xml:space="preserve">etanol al 70% </w:t>
      </w:r>
      <w:r w:rsidR="008F6D7E">
        <w:rPr>
          <w:rFonts w:ascii="Times New Roman" w:hAnsi="Times New Roman"/>
          <w:sz w:val="24"/>
          <w:szCs w:val="24"/>
        </w:rPr>
        <w:t>durante</w:t>
      </w:r>
      <w:r w:rsidRPr="00A154C6">
        <w:rPr>
          <w:rFonts w:ascii="Times New Roman" w:hAnsi="Times New Roman"/>
          <w:sz w:val="24"/>
          <w:szCs w:val="24"/>
        </w:rPr>
        <w:t xml:space="preserve"> 5 min</w:t>
      </w:r>
      <w:r w:rsidR="00731158">
        <w:rPr>
          <w:rFonts w:ascii="Times New Roman" w:hAnsi="Times New Roman"/>
          <w:sz w:val="24"/>
          <w:szCs w:val="24"/>
        </w:rPr>
        <w:t>.</w:t>
      </w:r>
      <w:r w:rsidRPr="00A154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54C6">
        <w:rPr>
          <w:rFonts w:ascii="Times New Roman" w:hAnsi="Times New Roman"/>
          <w:sz w:val="24"/>
          <w:szCs w:val="24"/>
        </w:rPr>
        <w:t>y</w:t>
      </w:r>
      <w:proofErr w:type="gramEnd"/>
      <w:r w:rsidRPr="00A154C6">
        <w:rPr>
          <w:rFonts w:ascii="Times New Roman" w:hAnsi="Times New Roman"/>
          <w:sz w:val="24"/>
          <w:szCs w:val="24"/>
        </w:rPr>
        <w:t xml:space="preserve"> luego con solución de hipoclorito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4C6">
        <w:rPr>
          <w:rFonts w:ascii="Times New Roman" w:hAnsi="Times New Roman"/>
          <w:sz w:val="24"/>
          <w:szCs w:val="24"/>
        </w:rPr>
        <w:t xml:space="preserve">de sodio 3% </w:t>
      </w:r>
      <w:r w:rsidR="008F6D7E">
        <w:rPr>
          <w:rFonts w:ascii="Times New Roman" w:hAnsi="Times New Roman"/>
          <w:sz w:val="24"/>
          <w:szCs w:val="24"/>
        </w:rPr>
        <w:t>durante</w:t>
      </w:r>
      <w:r w:rsidRPr="00A154C6">
        <w:rPr>
          <w:rFonts w:ascii="Times New Roman" w:hAnsi="Times New Roman"/>
          <w:sz w:val="24"/>
          <w:szCs w:val="24"/>
        </w:rPr>
        <w:t xml:space="preserve"> 5 min.</w:t>
      </w:r>
      <w:r>
        <w:rPr>
          <w:rFonts w:ascii="Times New Roman" w:hAnsi="Times New Roman"/>
          <w:sz w:val="24"/>
          <w:szCs w:val="24"/>
        </w:rPr>
        <w:t>; las semillas fueron inmersas en</w:t>
      </w:r>
      <w:r w:rsidRPr="00C45826">
        <w:rPr>
          <w:rFonts w:ascii="Times New Roman" w:hAnsi="Times New Roman"/>
          <w:sz w:val="24"/>
          <w:szCs w:val="24"/>
        </w:rPr>
        <w:t xml:space="preserve"> los </w:t>
      </w:r>
      <w:proofErr w:type="spellStart"/>
      <w:r w:rsidRPr="00C45826">
        <w:rPr>
          <w:rFonts w:ascii="Times New Roman" w:hAnsi="Times New Roman"/>
          <w:sz w:val="24"/>
          <w:szCs w:val="24"/>
        </w:rPr>
        <w:t>bioinoculantes</w:t>
      </w:r>
      <w:proofErr w:type="spellEnd"/>
      <w:r w:rsidRPr="00C45826">
        <w:rPr>
          <w:rFonts w:ascii="Times New Roman" w:hAnsi="Times New Roman"/>
          <w:sz w:val="24"/>
          <w:szCs w:val="24"/>
        </w:rPr>
        <w:t xml:space="preserve"> durante 60 </w:t>
      </w:r>
      <w:r w:rsidR="00731158" w:rsidRPr="00C45826">
        <w:rPr>
          <w:rFonts w:ascii="Times New Roman" w:hAnsi="Times New Roman"/>
          <w:sz w:val="24"/>
          <w:szCs w:val="24"/>
        </w:rPr>
        <w:t>min</w:t>
      </w:r>
      <w:r w:rsidR="00731158"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y</w:t>
      </w:r>
      <w:proofErr w:type="gramEnd"/>
      <w:r>
        <w:rPr>
          <w:rFonts w:ascii="Times New Roman" w:hAnsi="Times New Roman"/>
          <w:sz w:val="24"/>
          <w:szCs w:val="24"/>
        </w:rPr>
        <w:t xml:space="preserve"> fueron evaluadas bajo condiciones controladas de vivero</w:t>
      </w:r>
      <w:r w:rsidRPr="004E2808">
        <w:rPr>
          <w:rFonts w:ascii="Times New Roman" w:hAnsi="Times New Roman"/>
          <w:sz w:val="24"/>
          <w:szCs w:val="24"/>
        </w:rPr>
        <w:t>, para esto se utilizó un</w:t>
      </w:r>
      <w:r>
        <w:rPr>
          <w:rFonts w:ascii="Times New Roman" w:hAnsi="Times New Roman"/>
          <w:sz w:val="24"/>
          <w:szCs w:val="24"/>
        </w:rPr>
        <w:t xml:space="preserve"> diseño completamente</w:t>
      </w:r>
      <w:r w:rsidRPr="004E2808">
        <w:rPr>
          <w:rFonts w:ascii="Times New Roman" w:hAnsi="Times New Roman"/>
          <w:sz w:val="24"/>
          <w:szCs w:val="24"/>
        </w:rPr>
        <w:t xml:space="preserve"> al azar</w:t>
      </w:r>
      <w:r>
        <w:rPr>
          <w:rFonts w:ascii="Times New Roman" w:hAnsi="Times New Roman"/>
          <w:sz w:val="24"/>
          <w:szCs w:val="24"/>
        </w:rPr>
        <w:t xml:space="preserve"> (DCA)</w:t>
      </w:r>
      <w:r w:rsidRPr="004E2808">
        <w:rPr>
          <w:rFonts w:ascii="Times New Roman" w:hAnsi="Times New Roman"/>
          <w:sz w:val="24"/>
          <w:szCs w:val="24"/>
        </w:rPr>
        <w:t xml:space="preserve"> con </w:t>
      </w:r>
      <w:r>
        <w:rPr>
          <w:rFonts w:ascii="Times New Roman" w:hAnsi="Times New Roman"/>
          <w:sz w:val="24"/>
          <w:szCs w:val="24"/>
        </w:rPr>
        <w:t>tres tratamientos y cinco</w:t>
      </w:r>
      <w:r w:rsidRPr="004E2808">
        <w:rPr>
          <w:rFonts w:ascii="Times New Roman" w:hAnsi="Times New Roman"/>
          <w:sz w:val="24"/>
          <w:szCs w:val="24"/>
        </w:rPr>
        <w:t xml:space="preserve"> repeticiones, que consistieron en:</w:t>
      </w:r>
    </w:p>
    <w:p w:rsidR="00D20F9B" w:rsidRPr="00C45826" w:rsidRDefault="00D20F9B" w:rsidP="00D20F9B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5826">
        <w:rPr>
          <w:rFonts w:ascii="Times New Roman" w:hAnsi="Times New Roman"/>
          <w:b/>
          <w:sz w:val="24"/>
          <w:szCs w:val="24"/>
        </w:rPr>
        <w:t>Tratamiento 1 (control):</w:t>
      </w:r>
      <w:r w:rsidRPr="00C45826">
        <w:rPr>
          <w:rFonts w:ascii="Times New Roman" w:hAnsi="Times New Roman"/>
          <w:sz w:val="24"/>
          <w:szCs w:val="24"/>
        </w:rPr>
        <w:t xml:space="preserve"> Semillas sin ningún tipo de tratamiento.</w:t>
      </w:r>
    </w:p>
    <w:p w:rsidR="00D20F9B" w:rsidRPr="00C45826" w:rsidRDefault="00D20F9B" w:rsidP="00D20F9B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5826">
        <w:rPr>
          <w:rFonts w:ascii="Times New Roman" w:hAnsi="Times New Roman"/>
          <w:b/>
          <w:sz w:val="24"/>
          <w:szCs w:val="24"/>
        </w:rPr>
        <w:lastRenderedPageBreak/>
        <w:t>Tratamiento 2:</w:t>
      </w:r>
      <w:r w:rsidRPr="00C45826">
        <w:rPr>
          <w:rFonts w:ascii="Times New Roman" w:hAnsi="Times New Roman"/>
          <w:sz w:val="24"/>
          <w:szCs w:val="24"/>
        </w:rPr>
        <w:t xml:space="preserve"> Semillas tratadas con el </w:t>
      </w:r>
      <w:proofErr w:type="spellStart"/>
      <w:r>
        <w:rPr>
          <w:rFonts w:ascii="Times New Roman" w:hAnsi="Times New Roman"/>
          <w:sz w:val="24"/>
          <w:szCs w:val="24"/>
        </w:rPr>
        <w:t>bioinoculante</w:t>
      </w:r>
      <w:proofErr w:type="spellEnd"/>
      <w:r w:rsidRPr="00C4582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C45826">
        <w:rPr>
          <w:rFonts w:ascii="Times New Roman" w:hAnsi="Times New Roman"/>
          <w:sz w:val="24"/>
          <w:szCs w:val="24"/>
        </w:rPr>
        <w:t>en la concentración más eficaz</w:t>
      </w:r>
      <w:r>
        <w:rPr>
          <w:rFonts w:ascii="Times New Roman" w:hAnsi="Times New Roman"/>
          <w:sz w:val="24"/>
          <w:szCs w:val="24"/>
        </w:rPr>
        <w:t xml:space="preserve"> y sin fertilización química</w:t>
      </w:r>
      <w:r w:rsidRPr="00C45826">
        <w:rPr>
          <w:rFonts w:ascii="Times New Roman" w:hAnsi="Times New Roman"/>
          <w:sz w:val="24"/>
          <w:szCs w:val="24"/>
        </w:rPr>
        <w:t>.</w:t>
      </w:r>
    </w:p>
    <w:p w:rsidR="00D20F9B" w:rsidRDefault="00D20F9B" w:rsidP="00D20F9B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5826">
        <w:rPr>
          <w:rFonts w:ascii="Times New Roman" w:hAnsi="Times New Roman"/>
          <w:b/>
          <w:sz w:val="24"/>
          <w:szCs w:val="24"/>
        </w:rPr>
        <w:t>Tratamiento 3:</w:t>
      </w:r>
      <w:r w:rsidRPr="00C45826">
        <w:rPr>
          <w:rFonts w:ascii="Times New Roman" w:hAnsi="Times New Roman"/>
          <w:sz w:val="24"/>
          <w:szCs w:val="24"/>
        </w:rPr>
        <w:t xml:space="preserve"> Semillas tratadas con fertilizantes </w:t>
      </w:r>
      <w:r>
        <w:rPr>
          <w:rFonts w:ascii="Times New Roman" w:hAnsi="Times New Roman"/>
          <w:sz w:val="24"/>
          <w:szCs w:val="24"/>
        </w:rPr>
        <w:t xml:space="preserve">químicos </w:t>
      </w:r>
      <w:r w:rsidRPr="00C45826">
        <w:rPr>
          <w:rFonts w:ascii="Times New Roman" w:hAnsi="Times New Roman"/>
          <w:sz w:val="24"/>
          <w:szCs w:val="24"/>
        </w:rPr>
        <w:t xml:space="preserve">comerciales Fosfato </w:t>
      </w:r>
      <w:proofErr w:type="spellStart"/>
      <w:r w:rsidRPr="00C45826">
        <w:rPr>
          <w:rFonts w:ascii="Times New Roman" w:hAnsi="Times New Roman"/>
          <w:sz w:val="24"/>
          <w:szCs w:val="24"/>
        </w:rPr>
        <w:t>diamonico</w:t>
      </w:r>
      <w:proofErr w:type="spellEnd"/>
      <w:r w:rsidRPr="00C45826">
        <w:rPr>
          <w:rFonts w:ascii="Times New Roman" w:hAnsi="Times New Roman"/>
          <w:sz w:val="24"/>
          <w:szCs w:val="24"/>
        </w:rPr>
        <w:t xml:space="preserve"> (DAP) y Urea.</w:t>
      </w:r>
    </w:p>
    <w:p w:rsidR="00BA4A45" w:rsidRDefault="00DB0130" w:rsidP="00D20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130">
        <w:rPr>
          <w:rFonts w:ascii="Times New Roman" w:hAnsi="Times New Roman"/>
          <w:sz w:val="24"/>
          <w:szCs w:val="24"/>
        </w:rPr>
        <w:t>El suelo utilizado presentó las siguientes características: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20F9B">
        <w:rPr>
          <w:rFonts w:ascii="Times New Roman" w:hAnsi="Times New Roman"/>
          <w:sz w:val="24"/>
          <w:szCs w:val="24"/>
        </w:rPr>
        <w:t>MO= 1.38%; P= 7,5</w:t>
      </w:r>
      <w:r w:rsidR="00D20F9B" w:rsidRPr="00044DFB">
        <w:rPr>
          <w:rFonts w:ascii="Times New Roman" w:hAnsi="Times New Roman"/>
          <w:sz w:val="24"/>
          <w:szCs w:val="24"/>
        </w:rPr>
        <w:t xml:space="preserve"> ppm, DA= 1.5 g/cm</w:t>
      </w:r>
      <w:r w:rsidR="00D20F9B" w:rsidRPr="00044DFB">
        <w:rPr>
          <w:rFonts w:ascii="Times New Roman" w:hAnsi="Times New Roman"/>
          <w:sz w:val="24"/>
          <w:szCs w:val="24"/>
          <w:vertAlign w:val="superscript"/>
        </w:rPr>
        <w:t>3</w:t>
      </w:r>
      <w:r w:rsidR="00D20F9B" w:rsidRPr="00044DFB">
        <w:rPr>
          <w:rFonts w:ascii="Times New Roman" w:hAnsi="Times New Roman"/>
          <w:sz w:val="24"/>
          <w:szCs w:val="24"/>
        </w:rPr>
        <w:t xml:space="preserve"> y K= 0.88 </w:t>
      </w:r>
      <w:proofErr w:type="spellStart"/>
      <w:r w:rsidR="00D20F9B" w:rsidRPr="00044DFB">
        <w:rPr>
          <w:rFonts w:ascii="Times New Roman" w:hAnsi="Times New Roman"/>
          <w:sz w:val="24"/>
          <w:szCs w:val="24"/>
        </w:rPr>
        <w:t>meq</w:t>
      </w:r>
      <w:proofErr w:type="spellEnd"/>
      <w:r w:rsidR="00D20F9B" w:rsidRPr="00044DFB">
        <w:rPr>
          <w:rFonts w:ascii="Times New Roman" w:hAnsi="Times New Roman"/>
          <w:sz w:val="24"/>
          <w:szCs w:val="24"/>
        </w:rPr>
        <w:t>/ 100g)</w:t>
      </w:r>
      <w:r>
        <w:rPr>
          <w:rFonts w:ascii="Times New Roman" w:hAnsi="Times New Roman"/>
          <w:sz w:val="24"/>
          <w:szCs w:val="24"/>
        </w:rPr>
        <w:t xml:space="preserve"> y la</w:t>
      </w:r>
      <w:r w:rsidRPr="004E2808">
        <w:rPr>
          <w:rFonts w:ascii="Times New Roman" w:hAnsi="Times New Roman"/>
          <w:sz w:val="24"/>
          <w:szCs w:val="24"/>
        </w:rPr>
        <w:t xml:space="preserve"> fertilización </w:t>
      </w:r>
      <w:r>
        <w:rPr>
          <w:rFonts w:ascii="Times New Roman" w:hAnsi="Times New Roman"/>
          <w:sz w:val="24"/>
          <w:szCs w:val="24"/>
        </w:rPr>
        <w:t xml:space="preserve">química se realizó </w:t>
      </w:r>
      <w:r w:rsidRPr="004E2808">
        <w:rPr>
          <w:rFonts w:ascii="Times New Roman" w:hAnsi="Times New Roman"/>
          <w:sz w:val="24"/>
          <w:szCs w:val="24"/>
        </w:rPr>
        <w:t>de acuerdo al aná</w:t>
      </w:r>
      <w:r>
        <w:rPr>
          <w:rFonts w:ascii="Times New Roman" w:hAnsi="Times New Roman"/>
          <w:sz w:val="24"/>
          <w:szCs w:val="24"/>
        </w:rPr>
        <w:t>lisis de suelo y</w:t>
      </w:r>
      <w:r w:rsidRPr="00DB0130">
        <w:rPr>
          <w:rFonts w:ascii="Times New Roman" w:hAnsi="Times New Roman"/>
          <w:sz w:val="24"/>
          <w:szCs w:val="24"/>
        </w:rPr>
        <w:t xml:space="preserve"> </w:t>
      </w:r>
      <w:r w:rsidRPr="001B0B50">
        <w:rPr>
          <w:rFonts w:ascii="Times New Roman" w:hAnsi="Times New Roman"/>
          <w:sz w:val="24"/>
          <w:szCs w:val="24"/>
        </w:rPr>
        <w:t>los requerimientos nutricionale</w:t>
      </w:r>
      <w:r>
        <w:rPr>
          <w:rFonts w:ascii="Times New Roman" w:hAnsi="Times New Roman"/>
          <w:sz w:val="24"/>
          <w:szCs w:val="24"/>
        </w:rPr>
        <w:t xml:space="preserve">s para el pasto </w:t>
      </w:r>
      <w:proofErr w:type="spellStart"/>
      <w:r>
        <w:rPr>
          <w:rFonts w:ascii="Times New Roman" w:hAnsi="Times New Roman"/>
          <w:sz w:val="24"/>
          <w:szCs w:val="24"/>
        </w:rPr>
        <w:t>angletón</w:t>
      </w:r>
      <w:proofErr w:type="spellEnd"/>
      <w:r>
        <w:rPr>
          <w:rFonts w:ascii="Times New Roman" w:hAnsi="Times New Roman"/>
          <w:sz w:val="24"/>
          <w:szCs w:val="24"/>
        </w:rPr>
        <w:t xml:space="preserve"> (N: 230; P: 53; K: 252</w:t>
      </w:r>
      <w:r w:rsidRPr="001B0B50">
        <w:rPr>
          <w:rFonts w:ascii="Times New Roman" w:hAnsi="Times New Roman"/>
          <w:sz w:val="24"/>
          <w:szCs w:val="24"/>
        </w:rPr>
        <w:t xml:space="preserve"> ha/año)</w:t>
      </w:r>
      <w:r>
        <w:rPr>
          <w:rFonts w:ascii="Times New Roman" w:hAnsi="Times New Roman"/>
          <w:sz w:val="24"/>
          <w:szCs w:val="24"/>
        </w:rPr>
        <w:t xml:space="preserve">.  </w:t>
      </w:r>
      <w:r w:rsidR="00D20F9B">
        <w:rPr>
          <w:rFonts w:ascii="Times New Roman" w:hAnsi="Times New Roman"/>
          <w:sz w:val="24"/>
          <w:szCs w:val="24"/>
        </w:rPr>
        <w:t>De acuerdo a lo anterior al tratamiento con fertilizante químico se le aplico 0,9 g</w:t>
      </w:r>
      <w:r w:rsidR="00D20F9B" w:rsidRPr="00537A7F">
        <w:rPr>
          <w:rFonts w:ascii="Times New Roman" w:hAnsi="Times New Roman"/>
          <w:sz w:val="24"/>
          <w:szCs w:val="24"/>
        </w:rPr>
        <w:t>/</w:t>
      </w:r>
      <w:proofErr w:type="spellStart"/>
      <w:r w:rsidR="00D20F9B" w:rsidRPr="00537A7F">
        <w:rPr>
          <w:rFonts w:ascii="Times New Roman" w:hAnsi="Times New Roman"/>
          <w:sz w:val="24"/>
          <w:szCs w:val="24"/>
        </w:rPr>
        <w:t>recp</w:t>
      </w:r>
      <w:proofErr w:type="spellEnd"/>
      <w:r w:rsidR="00D20F9B">
        <w:rPr>
          <w:rFonts w:ascii="Times New Roman" w:hAnsi="Times New Roman"/>
          <w:sz w:val="24"/>
          <w:szCs w:val="24"/>
        </w:rPr>
        <w:t xml:space="preserve"> de urea y 0,0144g</w:t>
      </w:r>
      <w:r w:rsidR="00D20F9B" w:rsidRPr="00537A7F">
        <w:rPr>
          <w:rFonts w:ascii="Times New Roman" w:hAnsi="Times New Roman"/>
          <w:sz w:val="24"/>
          <w:szCs w:val="24"/>
        </w:rPr>
        <w:t>/</w:t>
      </w:r>
      <w:proofErr w:type="spellStart"/>
      <w:r w:rsidR="00D20F9B" w:rsidRPr="00537A7F">
        <w:rPr>
          <w:rFonts w:ascii="Times New Roman" w:hAnsi="Times New Roman"/>
          <w:sz w:val="24"/>
          <w:szCs w:val="24"/>
        </w:rPr>
        <w:t>recp</w:t>
      </w:r>
      <w:proofErr w:type="spellEnd"/>
      <w:r w:rsidR="00D20F9B">
        <w:rPr>
          <w:rFonts w:ascii="Times New Roman" w:hAnsi="Times New Roman"/>
          <w:sz w:val="24"/>
          <w:szCs w:val="24"/>
        </w:rPr>
        <w:t xml:space="preserve"> de DAP</w:t>
      </w:r>
      <w:r w:rsidR="00D20F9B" w:rsidRPr="004E2808">
        <w:rPr>
          <w:rFonts w:ascii="Times New Roman" w:hAnsi="Times New Roman"/>
          <w:sz w:val="24"/>
          <w:szCs w:val="24"/>
        </w:rPr>
        <w:t xml:space="preserve"> a los 8 días después de la siembra (DDS)</w:t>
      </w:r>
      <w:r w:rsidR="00D20F9B">
        <w:rPr>
          <w:rFonts w:ascii="Times New Roman" w:hAnsi="Times New Roman"/>
          <w:sz w:val="24"/>
          <w:szCs w:val="24"/>
        </w:rPr>
        <w:t xml:space="preserve">. </w:t>
      </w:r>
      <w:r w:rsidR="007D2F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El experimento se desarrolló en macetas </w:t>
      </w:r>
      <w:r w:rsidRPr="00C45826">
        <w:rPr>
          <w:rFonts w:ascii="Times New Roman" w:hAnsi="Times New Roman"/>
          <w:sz w:val="24"/>
          <w:szCs w:val="24"/>
        </w:rPr>
        <w:t>de 0</w:t>
      </w:r>
      <w:r>
        <w:rPr>
          <w:rFonts w:ascii="Times New Roman" w:hAnsi="Times New Roman"/>
          <w:sz w:val="24"/>
          <w:szCs w:val="24"/>
        </w:rPr>
        <w:t>.045 m</w:t>
      </w:r>
      <w:r w:rsidRPr="00C45826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de área.</w:t>
      </w:r>
    </w:p>
    <w:p w:rsidR="00B8381E" w:rsidRDefault="006526F0" w:rsidP="00D20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20F9B" w:rsidRPr="00C45826" w:rsidRDefault="00D20F9B" w:rsidP="00D20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utilizaron 2</w:t>
      </w:r>
      <w:r w:rsidR="00BA4A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 de semillas para cada maceta,</w:t>
      </w:r>
      <w:r w:rsidR="006526F0">
        <w:rPr>
          <w:rFonts w:ascii="Times New Roman" w:hAnsi="Times New Roman"/>
          <w:sz w:val="24"/>
          <w:szCs w:val="24"/>
        </w:rPr>
        <w:t xml:space="preserve"> las cuales fueron</w:t>
      </w:r>
      <w:r>
        <w:rPr>
          <w:rFonts w:ascii="Times New Roman" w:hAnsi="Times New Roman"/>
          <w:sz w:val="24"/>
          <w:szCs w:val="24"/>
        </w:rPr>
        <w:t xml:space="preserve"> sembradas al voleo a 1 cm de profundidad y esparcidas</w:t>
      </w:r>
      <w:r w:rsidRPr="00C45826">
        <w:rPr>
          <w:rFonts w:ascii="Times New Roman" w:hAnsi="Times New Roman"/>
          <w:sz w:val="24"/>
          <w:szCs w:val="24"/>
        </w:rPr>
        <w:t xml:space="preserve"> aleatoriamente por toda la superficie de la maceta. </w:t>
      </w:r>
      <w:r>
        <w:rPr>
          <w:rFonts w:ascii="Times New Roman" w:hAnsi="Times New Roman"/>
          <w:sz w:val="24"/>
          <w:szCs w:val="24"/>
        </w:rPr>
        <w:t>E</w:t>
      </w:r>
      <w:r w:rsidRPr="00C45826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>ensayo se desarrolló</w:t>
      </w:r>
      <w:r w:rsidRPr="00C45826">
        <w:rPr>
          <w:rFonts w:ascii="Times New Roman" w:hAnsi="Times New Roman"/>
          <w:sz w:val="24"/>
          <w:szCs w:val="24"/>
        </w:rPr>
        <w:t xml:space="preserve"> en predios de la Universidad de Córdoba, (3 Km. </w:t>
      </w:r>
      <w:r w:rsidR="00BA4A45">
        <w:rPr>
          <w:rFonts w:ascii="Times New Roman" w:hAnsi="Times New Roman"/>
          <w:sz w:val="24"/>
          <w:szCs w:val="24"/>
        </w:rPr>
        <w:t>v</w:t>
      </w:r>
      <w:r w:rsidR="00BA4A45" w:rsidRPr="00C45826">
        <w:rPr>
          <w:rFonts w:ascii="Times New Roman" w:hAnsi="Times New Roman"/>
          <w:sz w:val="24"/>
          <w:szCs w:val="24"/>
        </w:rPr>
        <w:t xml:space="preserve">ía </w:t>
      </w:r>
      <w:r w:rsidRPr="00C45826">
        <w:rPr>
          <w:rFonts w:ascii="Times New Roman" w:hAnsi="Times New Roman"/>
          <w:sz w:val="24"/>
          <w:szCs w:val="24"/>
        </w:rPr>
        <w:t>Montería-</w:t>
      </w:r>
      <w:proofErr w:type="spellStart"/>
      <w:r w:rsidRPr="00C45826">
        <w:rPr>
          <w:rFonts w:ascii="Times New Roman" w:hAnsi="Times New Roman"/>
          <w:sz w:val="24"/>
          <w:szCs w:val="24"/>
        </w:rPr>
        <w:t>Cereté</w:t>
      </w:r>
      <w:proofErr w:type="spellEnd"/>
      <w:r w:rsidRPr="00C45826">
        <w:rPr>
          <w:rFonts w:ascii="Times New Roman" w:hAnsi="Times New Roman"/>
          <w:sz w:val="24"/>
          <w:szCs w:val="24"/>
        </w:rPr>
        <w:t>), en un vivero del departamento de Ingeniería Agronómica, con una temperatura promedio de 29</w:t>
      </w:r>
      <w:r w:rsidR="00BA4A45">
        <w:rPr>
          <w:rFonts w:ascii="Times New Roman" w:hAnsi="Times New Roman"/>
          <w:sz w:val="24"/>
          <w:szCs w:val="24"/>
        </w:rPr>
        <w:t xml:space="preserve"> </w:t>
      </w:r>
      <w:r w:rsidRPr="00C45826">
        <w:rPr>
          <w:rFonts w:ascii="Times New Roman" w:hAnsi="Times New Roman"/>
          <w:sz w:val="24"/>
          <w:szCs w:val="24"/>
        </w:rPr>
        <w:t>ºC, presión atmosférica de 756.96</w:t>
      </w:r>
      <w:r w:rsidR="00BA4A45">
        <w:rPr>
          <w:rFonts w:ascii="Times New Roman" w:hAnsi="Times New Roman"/>
          <w:sz w:val="24"/>
          <w:szCs w:val="24"/>
        </w:rPr>
        <w:t xml:space="preserve"> </w:t>
      </w:r>
      <w:r w:rsidRPr="00C45826">
        <w:rPr>
          <w:rFonts w:ascii="Times New Roman" w:hAnsi="Times New Roman"/>
          <w:sz w:val="24"/>
          <w:szCs w:val="24"/>
        </w:rPr>
        <w:t>mm y humedad relativa de 79</w:t>
      </w:r>
      <w:r w:rsidR="00BA4A45">
        <w:rPr>
          <w:rFonts w:ascii="Times New Roman" w:hAnsi="Times New Roman"/>
          <w:sz w:val="24"/>
          <w:szCs w:val="24"/>
        </w:rPr>
        <w:t xml:space="preserve"> </w:t>
      </w:r>
      <w:r w:rsidRPr="00C45826">
        <w:rPr>
          <w:rFonts w:ascii="Times New Roman" w:hAnsi="Times New Roman"/>
          <w:sz w:val="24"/>
          <w:szCs w:val="24"/>
        </w:rPr>
        <w:t>%; el suelo utilizado fue de textura arcillosa</w:t>
      </w:r>
      <w:r>
        <w:rPr>
          <w:rFonts w:ascii="Times New Roman" w:hAnsi="Times New Roman"/>
          <w:sz w:val="24"/>
          <w:szCs w:val="24"/>
        </w:rPr>
        <w:t xml:space="preserve"> tomado de zonas sin cultiva</w:t>
      </w:r>
      <w:r w:rsidR="00E252CC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de previos de la </w:t>
      </w:r>
      <w:r w:rsidR="00E252C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niversidad de Córdoba </w:t>
      </w:r>
      <w:r w:rsidRPr="00C4582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45826">
        <w:rPr>
          <w:rFonts w:ascii="Times New Roman" w:hAnsi="Times New Roman"/>
          <w:sz w:val="24"/>
          <w:szCs w:val="24"/>
          <w:shd w:val="clear" w:color="auto" w:fill="FFFFFF"/>
        </w:rPr>
        <w:t>Degiovanni</w:t>
      </w:r>
      <w:proofErr w:type="spellEnd"/>
      <w:r w:rsidRPr="00C458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45826">
        <w:rPr>
          <w:rFonts w:ascii="Times New Roman" w:hAnsi="Times New Roman"/>
          <w:i/>
          <w:sz w:val="24"/>
          <w:szCs w:val="24"/>
          <w:shd w:val="clear" w:color="auto" w:fill="FFFFFF"/>
        </w:rPr>
        <w:t>et al</w:t>
      </w:r>
      <w:r w:rsidRPr="00C45826">
        <w:rPr>
          <w:rFonts w:ascii="Times New Roman" w:hAnsi="Times New Roman"/>
          <w:sz w:val="24"/>
          <w:szCs w:val="24"/>
          <w:shd w:val="clear" w:color="auto" w:fill="FFFFFF"/>
        </w:rPr>
        <w:t>., 2004</w:t>
      </w:r>
      <w:r w:rsidRPr="00C45826">
        <w:rPr>
          <w:rFonts w:ascii="Times New Roman" w:hAnsi="Times New Roman"/>
          <w:sz w:val="24"/>
          <w:szCs w:val="24"/>
        </w:rPr>
        <w:t xml:space="preserve">). No se utilizó ningún tipo de plaguicida.  Se realizaron mediciones a los 21 y 35 días después de la germinación, en cada muestreo se recogieron 3 plantas al azar de cada repetición,  las variables a tener en cuenta </w:t>
      </w:r>
      <w:r>
        <w:rPr>
          <w:rFonts w:ascii="Times New Roman" w:hAnsi="Times New Roman"/>
          <w:sz w:val="24"/>
          <w:szCs w:val="24"/>
        </w:rPr>
        <w:t>fueron</w:t>
      </w:r>
      <w:r w:rsidRPr="00C45826">
        <w:rPr>
          <w:rFonts w:ascii="Times New Roman" w:hAnsi="Times New Roman"/>
          <w:sz w:val="24"/>
          <w:szCs w:val="24"/>
        </w:rPr>
        <w:t xml:space="preserve"> los siguientes parámetros biométricos (Hernandez, 2002 y Ramirez y Perez, 2006): a) número de hojas (No.): conteo de las hojas </w:t>
      </w:r>
      <w:proofErr w:type="spellStart"/>
      <w:r w:rsidRPr="00C45826">
        <w:rPr>
          <w:rFonts w:ascii="Times New Roman" w:hAnsi="Times New Roman"/>
          <w:sz w:val="24"/>
          <w:szCs w:val="24"/>
        </w:rPr>
        <w:t>cotiledonales</w:t>
      </w:r>
      <w:proofErr w:type="spellEnd"/>
      <w:r w:rsidRPr="00C45826">
        <w:rPr>
          <w:rFonts w:ascii="Times New Roman" w:hAnsi="Times New Roman"/>
          <w:sz w:val="24"/>
          <w:szCs w:val="24"/>
        </w:rPr>
        <w:t xml:space="preserve"> y verdaderas fotosintéticamente activas en las diferentes plantas; b) área foliar (cm</w:t>
      </w:r>
      <w:r w:rsidRPr="00C45826">
        <w:rPr>
          <w:rFonts w:ascii="Times New Roman" w:hAnsi="Times New Roman"/>
          <w:sz w:val="24"/>
          <w:szCs w:val="24"/>
          <w:vertAlign w:val="superscript"/>
        </w:rPr>
        <w:t>2</w:t>
      </w:r>
      <w:r w:rsidRPr="00C45826">
        <w:rPr>
          <w:rFonts w:ascii="Times New Roman" w:hAnsi="Times New Roman"/>
          <w:sz w:val="24"/>
          <w:szCs w:val="24"/>
        </w:rPr>
        <w:t xml:space="preserve">): se midió tomando como referencia las cuadrículas de hojas de </w:t>
      </w:r>
      <w:r w:rsidRPr="00C45826">
        <w:rPr>
          <w:rFonts w:ascii="Times New Roman" w:hAnsi="Times New Roman"/>
          <w:bCs/>
          <w:sz w:val="24"/>
          <w:szCs w:val="24"/>
        </w:rPr>
        <w:t xml:space="preserve">papel milimetrado </w:t>
      </w:r>
      <w:r w:rsidRPr="00C45826">
        <w:rPr>
          <w:rFonts w:ascii="Times New Roman" w:hAnsi="Times New Roman"/>
          <w:sz w:val="24"/>
          <w:szCs w:val="24"/>
        </w:rPr>
        <w:t xml:space="preserve">en cada una de las hojas </w:t>
      </w:r>
      <w:proofErr w:type="spellStart"/>
      <w:r w:rsidRPr="00C45826">
        <w:rPr>
          <w:rFonts w:ascii="Times New Roman" w:hAnsi="Times New Roman"/>
          <w:sz w:val="24"/>
          <w:szCs w:val="24"/>
        </w:rPr>
        <w:t>cotiledonales</w:t>
      </w:r>
      <w:proofErr w:type="spellEnd"/>
      <w:r w:rsidRPr="00C45826">
        <w:rPr>
          <w:rFonts w:ascii="Times New Roman" w:hAnsi="Times New Roman"/>
          <w:sz w:val="24"/>
          <w:szCs w:val="24"/>
        </w:rPr>
        <w:t xml:space="preserve"> de las plantas muestreadas; c) longitud de la planta (cm): se tomó en cuenta la medida desde la raíz hasta la hoja más larga de cada una de las plantas muestreadas; d) longitud de la raíz (cm): medición de la raíz principal de cada planta muestreada; e) peso seco (g): se llevaron a secado en estufa a 60 ºC hasta alcanzar peso seco constante, una vez secas se determinó su peso. Todos los ensayos se realizaron por triplicado.</w:t>
      </w:r>
    </w:p>
    <w:p w:rsidR="00D20F9B" w:rsidRPr="00C45826" w:rsidRDefault="00D20F9B" w:rsidP="00BF5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0F9B" w:rsidRPr="00B32689" w:rsidRDefault="00D20F9B" w:rsidP="00D20F9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2689">
        <w:rPr>
          <w:rFonts w:ascii="Times New Roman" w:hAnsi="Times New Roman"/>
          <w:b/>
          <w:sz w:val="24"/>
          <w:szCs w:val="24"/>
        </w:rPr>
        <w:t>Análisis estadístico</w:t>
      </w:r>
    </w:p>
    <w:p w:rsidR="00D20F9B" w:rsidRPr="00C45826" w:rsidRDefault="00D20F9B" w:rsidP="00D20F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45826">
        <w:rPr>
          <w:rFonts w:ascii="Times New Roman" w:hAnsi="Times New Roman"/>
          <w:sz w:val="24"/>
          <w:szCs w:val="24"/>
        </w:rPr>
        <w:t>Se realizó la evaluación de los datos obtenidos de los parámetros biométricos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5826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as</w:t>
      </w:r>
      <w:r w:rsidRPr="00C458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plantas </w:t>
      </w:r>
      <w:r w:rsidRPr="00C45826">
        <w:rPr>
          <w:rFonts w:ascii="Times New Roman" w:hAnsi="Times New Roman"/>
          <w:sz w:val="24"/>
          <w:szCs w:val="24"/>
        </w:rPr>
        <w:t xml:space="preserve">de pasto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C45826">
        <w:rPr>
          <w:rFonts w:ascii="Times New Roman" w:hAnsi="Times New Roman"/>
          <w:sz w:val="24"/>
          <w:szCs w:val="24"/>
        </w:rPr>
        <w:t>ngleton</w:t>
      </w:r>
      <w:proofErr w:type="spellEnd"/>
      <w:r w:rsidRPr="00C45826">
        <w:rPr>
          <w:rFonts w:ascii="Times New Roman" w:hAnsi="Times New Roman"/>
          <w:sz w:val="24"/>
          <w:szCs w:val="24"/>
        </w:rPr>
        <w:t xml:space="preserve"> en el paquete estadístico SAS 9.2 (SAS, 2010), se empleó un </w:t>
      </w:r>
      <w:r w:rsidR="00BA4A45">
        <w:rPr>
          <w:rFonts w:ascii="Times New Roman" w:hAnsi="Times New Roman"/>
          <w:sz w:val="24"/>
          <w:szCs w:val="24"/>
        </w:rPr>
        <w:t>d</w:t>
      </w:r>
      <w:r w:rsidR="00BA4A45" w:rsidRPr="00C45826">
        <w:rPr>
          <w:rFonts w:ascii="Times New Roman" w:hAnsi="Times New Roman"/>
          <w:sz w:val="24"/>
          <w:szCs w:val="24"/>
        </w:rPr>
        <w:t xml:space="preserve">iseño </w:t>
      </w:r>
      <w:r w:rsidR="00BA4A45">
        <w:rPr>
          <w:rFonts w:ascii="Times New Roman" w:hAnsi="Times New Roman"/>
          <w:sz w:val="24"/>
          <w:szCs w:val="24"/>
        </w:rPr>
        <w:t>c</w:t>
      </w:r>
      <w:r w:rsidR="00BA4A45" w:rsidRPr="00C45826">
        <w:rPr>
          <w:rFonts w:ascii="Times New Roman" w:hAnsi="Times New Roman"/>
          <w:sz w:val="24"/>
          <w:szCs w:val="24"/>
        </w:rPr>
        <w:t xml:space="preserve">ompletamente </w:t>
      </w:r>
      <w:r w:rsidRPr="00C45826">
        <w:rPr>
          <w:rFonts w:ascii="Times New Roman" w:hAnsi="Times New Roman"/>
          <w:sz w:val="24"/>
          <w:szCs w:val="24"/>
        </w:rPr>
        <w:t xml:space="preserve">al </w:t>
      </w:r>
      <w:r w:rsidR="00BA4A45">
        <w:rPr>
          <w:rFonts w:ascii="Times New Roman" w:hAnsi="Times New Roman"/>
          <w:sz w:val="24"/>
          <w:szCs w:val="24"/>
        </w:rPr>
        <w:t>a</w:t>
      </w:r>
      <w:r w:rsidR="00BA4A45" w:rsidRPr="00C45826">
        <w:rPr>
          <w:rFonts w:ascii="Times New Roman" w:hAnsi="Times New Roman"/>
          <w:sz w:val="24"/>
          <w:szCs w:val="24"/>
        </w:rPr>
        <w:t xml:space="preserve">zar </w:t>
      </w:r>
      <w:r w:rsidRPr="00C45826">
        <w:rPr>
          <w:rFonts w:ascii="Times New Roman" w:hAnsi="Times New Roman"/>
          <w:sz w:val="24"/>
          <w:szCs w:val="24"/>
        </w:rPr>
        <w:t>y las medias se compararon mediante contrastes ortogonales en el mismo software; se consideró P&lt;0.05 y P&lt;0.01 como diferencias significativa y altamente significativa, respectivamente. También se aplicó la prueba de Tukey.</w:t>
      </w:r>
    </w:p>
    <w:p w:rsidR="00D20F9B" w:rsidRDefault="00D20F9B" w:rsidP="00BF5B34">
      <w:pPr>
        <w:tabs>
          <w:tab w:val="left" w:pos="382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67A3" w:rsidRPr="003C7D9D" w:rsidRDefault="007612BB" w:rsidP="006C6AC5">
      <w:pPr>
        <w:tabs>
          <w:tab w:val="left" w:pos="3825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3C7D9D">
        <w:rPr>
          <w:rFonts w:ascii="Times New Roman" w:hAnsi="Times New Roman"/>
          <w:b/>
          <w:sz w:val="24"/>
          <w:szCs w:val="24"/>
          <w:lang w:val="es-ES"/>
        </w:rPr>
        <w:t>R</w:t>
      </w:r>
      <w:r w:rsidR="00167506">
        <w:rPr>
          <w:rFonts w:ascii="Times New Roman" w:hAnsi="Times New Roman"/>
          <w:b/>
          <w:sz w:val="24"/>
          <w:szCs w:val="24"/>
          <w:lang w:val="es-ES"/>
        </w:rPr>
        <w:t>esultados y discusión</w:t>
      </w:r>
    </w:p>
    <w:p w:rsidR="00DE67A3" w:rsidRPr="00820142" w:rsidRDefault="00DE67A3" w:rsidP="006C6AC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0142">
        <w:rPr>
          <w:rFonts w:ascii="Times New Roman" w:hAnsi="Times New Roman"/>
          <w:b/>
          <w:sz w:val="24"/>
          <w:szCs w:val="24"/>
        </w:rPr>
        <w:t>Prueba de Antagonismo</w:t>
      </w:r>
    </w:p>
    <w:p w:rsidR="00DE67A3" w:rsidRDefault="00DE67A3" w:rsidP="006C6A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D9D">
        <w:rPr>
          <w:rFonts w:ascii="Times New Roman" w:hAnsi="Times New Roman"/>
          <w:sz w:val="24"/>
          <w:szCs w:val="24"/>
        </w:rPr>
        <w:t>Al rea</w:t>
      </w:r>
      <w:r w:rsidR="00B47FAC">
        <w:rPr>
          <w:rFonts w:ascii="Times New Roman" w:hAnsi="Times New Roman"/>
          <w:sz w:val="24"/>
          <w:szCs w:val="24"/>
        </w:rPr>
        <w:t>lizar la lectura no se evidenció</w:t>
      </w:r>
      <w:r w:rsidRPr="003C7D9D">
        <w:rPr>
          <w:rFonts w:ascii="Times New Roman" w:hAnsi="Times New Roman"/>
          <w:sz w:val="24"/>
          <w:szCs w:val="24"/>
        </w:rPr>
        <w:t xml:space="preserve"> antagonismo por parte de ninguna de las cepas, ya que se desarrollaron sin in</w:t>
      </w:r>
      <w:r w:rsidR="002F57EA" w:rsidRPr="003C7D9D">
        <w:rPr>
          <w:rFonts w:ascii="Times New Roman" w:hAnsi="Times New Roman"/>
          <w:sz w:val="24"/>
          <w:szCs w:val="24"/>
        </w:rPr>
        <w:t>hibir el crecimiento entre ellas</w:t>
      </w:r>
      <w:r w:rsidRPr="003C7D9D">
        <w:rPr>
          <w:rFonts w:ascii="Times New Roman" w:hAnsi="Times New Roman"/>
          <w:sz w:val="24"/>
          <w:szCs w:val="24"/>
        </w:rPr>
        <w:t xml:space="preserve">. Lo anterior indica que no existe ningún tipo de antibiosis, competencia por espacio o por nutrientes, interacciones </w:t>
      </w:r>
      <w:r w:rsidRPr="003C7D9D">
        <w:rPr>
          <w:rFonts w:ascii="Times New Roman" w:hAnsi="Times New Roman"/>
          <w:sz w:val="24"/>
          <w:szCs w:val="24"/>
        </w:rPr>
        <w:lastRenderedPageBreak/>
        <w:t>directas con el patógeno (Lisis enzimática) que impidan el libre desarrollo de los microorganismos.</w:t>
      </w:r>
    </w:p>
    <w:p w:rsidR="00E4267A" w:rsidRPr="00820142" w:rsidRDefault="00E4267A" w:rsidP="00E4267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0142">
        <w:rPr>
          <w:rFonts w:ascii="Times New Roman" w:hAnsi="Times New Roman"/>
          <w:b/>
          <w:sz w:val="24"/>
          <w:szCs w:val="24"/>
        </w:rPr>
        <w:t xml:space="preserve">Evaluación </w:t>
      </w:r>
      <w:r w:rsidR="00F27522">
        <w:rPr>
          <w:rFonts w:ascii="Times New Roman" w:hAnsi="Times New Roman"/>
          <w:b/>
          <w:sz w:val="24"/>
          <w:szCs w:val="24"/>
        </w:rPr>
        <w:t>c</w:t>
      </w:r>
      <w:r w:rsidRPr="00820142">
        <w:rPr>
          <w:rFonts w:ascii="Times New Roman" w:hAnsi="Times New Roman"/>
          <w:b/>
          <w:sz w:val="24"/>
          <w:szCs w:val="24"/>
        </w:rPr>
        <w:t xml:space="preserve">ualitativa </w:t>
      </w:r>
      <w:r>
        <w:rPr>
          <w:rFonts w:ascii="Times New Roman" w:hAnsi="Times New Roman"/>
          <w:b/>
          <w:sz w:val="24"/>
          <w:szCs w:val="24"/>
        </w:rPr>
        <w:t>de la capacidad solubilizadora de fosfato</w:t>
      </w:r>
    </w:p>
    <w:p w:rsidR="00C54330" w:rsidRPr="007662F9" w:rsidRDefault="007E59D0" w:rsidP="007E59D0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5F07C9">
        <w:rPr>
          <w:rFonts w:ascii="Times New Roman" w:hAnsi="Times New Roman"/>
          <w:sz w:val="24"/>
          <w:szCs w:val="24"/>
        </w:rPr>
        <w:t>as me</w:t>
      </w:r>
      <w:r>
        <w:rPr>
          <w:rFonts w:ascii="Times New Roman" w:hAnsi="Times New Roman"/>
          <w:sz w:val="24"/>
          <w:szCs w:val="24"/>
        </w:rPr>
        <w:t xml:space="preserve">diciones de la capacidad cualitativa de solubilización de fosfato realizada a los </w:t>
      </w:r>
      <w:r w:rsidRPr="007662F9">
        <w:rPr>
          <w:rFonts w:ascii="Times New Roman" w:hAnsi="Times New Roman"/>
          <w:color w:val="000000" w:themeColor="text1"/>
          <w:sz w:val="24"/>
          <w:szCs w:val="24"/>
        </w:rPr>
        <w:t xml:space="preserve">7 y 14 días de forma individual y en consorcios, </w:t>
      </w:r>
      <w:r w:rsidR="00C54330" w:rsidRPr="007662F9">
        <w:rPr>
          <w:rFonts w:ascii="Times New Roman" w:hAnsi="Times New Roman"/>
          <w:color w:val="000000" w:themeColor="text1"/>
          <w:sz w:val="24"/>
          <w:szCs w:val="24"/>
        </w:rPr>
        <w:t>se muestran en la tabla 1 y tabla 2.</w:t>
      </w:r>
    </w:p>
    <w:p w:rsidR="00DC5EF4" w:rsidRDefault="00C54330" w:rsidP="00DC5EF4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los 7 días </w:t>
      </w:r>
      <w:r w:rsidR="00D973BA">
        <w:rPr>
          <w:rFonts w:ascii="Times New Roman" w:hAnsi="Times New Roman"/>
          <w:sz w:val="24"/>
          <w:szCs w:val="24"/>
        </w:rPr>
        <w:t xml:space="preserve">del ensayo </w:t>
      </w:r>
      <w:r>
        <w:rPr>
          <w:rFonts w:ascii="Times New Roman" w:hAnsi="Times New Roman"/>
          <w:sz w:val="24"/>
          <w:szCs w:val="24"/>
        </w:rPr>
        <w:t>se observaron</w:t>
      </w:r>
      <w:r w:rsidR="007E59D0">
        <w:rPr>
          <w:rFonts w:ascii="Times New Roman" w:hAnsi="Times New Roman"/>
          <w:sz w:val="24"/>
          <w:szCs w:val="24"/>
        </w:rPr>
        <w:t xml:space="preserve"> </w:t>
      </w:r>
      <w:r w:rsidR="00A917B2">
        <w:rPr>
          <w:rFonts w:ascii="Times New Roman" w:hAnsi="Times New Roman"/>
          <w:sz w:val="24"/>
          <w:szCs w:val="24"/>
        </w:rPr>
        <w:t xml:space="preserve">que los </w:t>
      </w:r>
      <w:r w:rsidR="00D973BA">
        <w:rPr>
          <w:rFonts w:ascii="Times New Roman" w:hAnsi="Times New Roman"/>
          <w:sz w:val="24"/>
          <w:szCs w:val="24"/>
        </w:rPr>
        <w:t>valores</w:t>
      </w:r>
      <w:r w:rsidR="007E59D0">
        <w:rPr>
          <w:rFonts w:ascii="Times New Roman" w:hAnsi="Times New Roman"/>
          <w:sz w:val="24"/>
          <w:szCs w:val="24"/>
        </w:rPr>
        <w:t xml:space="preserve"> promedios </w:t>
      </w:r>
      <w:r w:rsidR="00A917B2">
        <w:rPr>
          <w:rFonts w:ascii="Times New Roman" w:hAnsi="Times New Roman"/>
          <w:sz w:val="24"/>
          <w:szCs w:val="24"/>
        </w:rPr>
        <w:t>de</w:t>
      </w:r>
      <w:r w:rsidR="007E59D0">
        <w:rPr>
          <w:rFonts w:ascii="Times New Roman" w:hAnsi="Times New Roman"/>
          <w:sz w:val="24"/>
          <w:szCs w:val="24"/>
        </w:rPr>
        <w:t xml:space="preserve"> </w:t>
      </w:r>
      <w:r w:rsidR="007E59D0" w:rsidRPr="00C45826">
        <w:rPr>
          <w:rFonts w:ascii="Times New Roman" w:hAnsi="Times New Roman"/>
          <w:sz w:val="24"/>
          <w:szCs w:val="24"/>
        </w:rPr>
        <w:t>los índices de solubilización</w:t>
      </w:r>
      <w:r w:rsidR="007E59D0">
        <w:rPr>
          <w:rFonts w:ascii="Times New Roman" w:hAnsi="Times New Roman"/>
          <w:sz w:val="24"/>
          <w:szCs w:val="24"/>
        </w:rPr>
        <w:t xml:space="preserve"> </w:t>
      </w:r>
      <w:r w:rsidR="00A917B2">
        <w:rPr>
          <w:rFonts w:ascii="Times New Roman" w:hAnsi="Times New Roman"/>
          <w:sz w:val="24"/>
          <w:szCs w:val="24"/>
        </w:rPr>
        <w:t>oscila</w:t>
      </w:r>
      <w:r w:rsidR="00513F60">
        <w:rPr>
          <w:rFonts w:ascii="Times New Roman" w:hAnsi="Times New Roman"/>
          <w:sz w:val="24"/>
          <w:szCs w:val="24"/>
        </w:rPr>
        <w:t>ro</w:t>
      </w:r>
      <w:r w:rsidR="00A917B2">
        <w:rPr>
          <w:rFonts w:ascii="Times New Roman" w:hAnsi="Times New Roman"/>
          <w:sz w:val="24"/>
          <w:szCs w:val="24"/>
        </w:rPr>
        <w:t xml:space="preserve">n </w:t>
      </w:r>
      <w:r w:rsidR="007E59D0">
        <w:rPr>
          <w:rFonts w:ascii="Times New Roman" w:hAnsi="Times New Roman"/>
          <w:sz w:val="24"/>
          <w:szCs w:val="24"/>
        </w:rPr>
        <w:t xml:space="preserve">entre </w:t>
      </w:r>
      <w:r w:rsidR="007E59D0" w:rsidRPr="00D973BA">
        <w:rPr>
          <w:rFonts w:ascii="Times New Roman" w:hAnsi="Times New Roman"/>
          <w:color w:val="000000" w:themeColor="text1"/>
          <w:sz w:val="24"/>
          <w:szCs w:val="24"/>
        </w:rPr>
        <w:t>2,3 a 4,8</w:t>
      </w:r>
      <w:r w:rsidR="007E59D0" w:rsidRPr="00AB10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973BA" w:rsidRPr="00D973BA">
        <w:rPr>
          <w:rFonts w:ascii="Times New Roman" w:hAnsi="Times New Roman"/>
          <w:color w:val="000000" w:themeColor="text1"/>
          <w:sz w:val="24"/>
          <w:szCs w:val="24"/>
        </w:rPr>
        <w:t>mm</w:t>
      </w:r>
      <w:r w:rsidR="00D973B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E59D0">
        <w:rPr>
          <w:rFonts w:ascii="Times New Roman" w:hAnsi="Times New Roman"/>
          <w:sz w:val="24"/>
          <w:szCs w:val="24"/>
        </w:rPr>
        <w:t>(</w:t>
      </w:r>
      <w:r w:rsidR="00167506">
        <w:rPr>
          <w:rFonts w:ascii="Times New Roman" w:hAnsi="Times New Roman"/>
          <w:sz w:val="24"/>
          <w:szCs w:val="24"/>
        </w:rPr>
        <w:t xml:space="preserve">tabla </w:t>
      </w:r>
      <w:r w:rsidR="007E59D0">
        <w:rPr>
          <w:rFonts w:ascii="Times New Roman" w:hAnsi="Times New Roman"/>
          <w:sz w:val="24"/>
          <w:szCs w:val="24"/>
        </w:rPr>
        <w:t>1).</w:t>
      </w:r>
      <w:r w:rsidR="00DC5EF4" w:rsidRPr="00DC5EF4">
        <w:rPr>
          <w:rFonts w:ascii="Times New Roman" w:hAnsi="Times New Roman"/>
          <w:sz w:val="24"/>
          <w:szCs w:val="24"/>
        </w:rPr>
        <w:t xml:space="preserve"> </w:t>
      </w:r>
      <w:r w:rsidR="00DC5EF4">
        <w:rPr>
          <w:rFonts w:ascii="Times New Roman" w:hAnsi="Times New Roman"/>
          <w:sz w:val="24"/>
          <w:szCs w:val="24"/>
        </w:rPr>
        <w:t xml:space="preserve">En esta etapa se destacaron los consorcio </w:t>
      </w:r>
      <w:proofErr w:type="spellStart"/>
      <w:r w:rsidR="00DC5EF4">
        <w:rPr>
          <w:rFonts w:ascii="Times New Roman" w:hAnsi="Times New Roman"/>
          <w:i/>
          <w:sz w:val="24"/>
          <w:szCs w:val="24"/>
        </w:rPr>
        <w:t>Burkholderia</w:t>
      </w:r>
      <w:proofErr w:type="spellEnd"/>
      <w:r w:rsidR="00DC5EF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C5EF4">
        <w:rPr>
          <w:rFonts w:ascii="Times New Roman" w:hAnsi="Times New Roman"/>
          <w:i/>
          <w:sz w:val="24"/>
          <w:szCs w:val="24"/>
        </w:rPr>
        <w:t>cepacia</w:t>
      </w:r>
      <w:proofErr w:type="spellEnd"/>
      <w:r w:rsidR="00DC5EF4">
        <w:rPr>
          <w:rFonts w:ascii="Times New Roman" w:hAnsi="Times New Roman"/>
          <w:i/>
          <w:sz w:val="24"/>
          <w:szCs w:val="24"/>
        </w:rPr>
        <w:t xml:space="preserve"> + </w:t>
      </w:r>
      <w:proofErr w:type="spellStart"/>
      <w:r w:rsidR="00DC5EF4">
        <w:rPr>
          <w:rFonts w:ascii="Times New Roman" w:hAnsi="Times New Roman"/>
          <w:i/>
          <w:iCs/>
          <w:sz w:val="24"/>
          <w:szCs w:val="24"/>
        </w:rPr>
        <w:t>Pantoea</w:t>
      </w:r>
      <w:proofErr w:type="spellEnd"/>
      <w:r w:rsidR="00DC5EF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="00DC5EF4">
        <w:rPr>
          <w:rFonts w:ascii="Times New Roman" w:hAnsi="Times New Roman"/>
          <w:i/>
          <w:iCs/>
          <w:sz w:val="24"/>
          <w:szCs w:val="24"/>
        </w:rPr>
        <w:t xml:space="preserve"> + </w:t>
      </w:r>
      <w:proofErr w:type="spellStart"/>
      <w:r w:rsidR="00DC5EF4">
        <w:rPr>
          <w:rFonts w:ascii="Times New Roman" w:hAnsi="Times New Roman"/>
          <w:i/>
          <w:iCs/>
          <w:sz w:val="24"/>
          <w:szCs w:val="24"/>
        </w:rPr>
        <w:t>Pseudomona</w:t>
      </w:r>
      <w:proofErr w:type="spellEnd"/>
      <w:r w:rsidR="00DC5EF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="00DC5E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C5EF4">
        <w:rPr>
          <w:rFonts w:ascii="Times New Roman" w:hAnsi="Times New Roman"/>
          <w:iCs/>
          <w:sz w:val="24"/>
          <w:szCs w:val="24"/>
        </w:rPr>
        <w:t xml:space="preserve"> a la concentración </w:t>
      </w:r>
      <w:r w:rsidR="00DC5EF4" w:rsidRPr="00E52B83">
        <w:rPr>
          <w:rFonts w:ascii="Times New Roman" w:hAnsi="Times New Roman"/>
          <w:bCs/>
          <w:sz w:val="24"/>
          <w:szCs w:val="24"/>
          <w:lang w:eastAsia="es-ES"/>
        </w:rPr>
        <w:t>10</w:t>
      </w:r>
      <w:r w:rsidR="00DC5EF4" w:rsidRPr="00E52B83">
        <w:rPr>
          <w:rFonts w:ascii="Times New Roman" w:hAnsi="Times New Roman"/>
          <w:bCs/>
          <w:sz w:val="24"/>
          <w:szCs w:val="24"/>
          <w:vertAlign w:val="superscript"/>
          <w:lang w:eastAsia="es-ES"/>
        </w:rPr>
        <w:t xml:space="preserve">8 </w:t>
      </w:r>
      <w:r w:rsidR="00DC5EF4" w:rsidRPr="00E52B83">
        <w:rPr>
          <w:rFonts w:ascii="Times New Roman" w:hAnsi="Times New Roman"/>
          <w:bCs/>
          <w:sz w:val="24"/>
          <w:szCs w:val="24"/>
          <w:lang w:eastAsia="es-ES"/>
        </w:rPr>
        <w:t>UFC/</w:t>
      </w:r>
      <w:proofErr w:type="spellStart"/>
      <w:r w:rsidR="00DC5EF4" w:rsidRPr="00E52B83">
        <w:rPr>
          <w:rFonts w:ascii="Times New Roman" w:hAnsi="Times New Roman"/>
          <w:bCs/>
          <w:sz w:val="24"/>
          <w:szCs w:val="24"/>
          <w:lang w:eastAsia="es-ES"/>
        </w:rPr>
        <w:t>mL</w:t>
      </w:r>
      <w:proofErr w:type="spellEnd"/>
      <w:r w:rsidR="00DC5EF4">
        <w:rPr>
          <w:rFonts w:ascii="Times New Roman" w:hAnsi="Times New Roman"/>
          <w:bCs/>
          <w:sz w:val="24"/>
          <w:szCs w:val="24"/>
          <w:lang w:eastAsia="es-ES"/>
        </w:rPr>
        <w:t xml:space="preserve">, </w:t>
      </w:r>
      <w:proofErr w:type="spellStart"/>
      <w:r w:rsidR="00DC5EF4" w:rsidRPr="00C45826">
        <w:rPr>
          <w:rFonts w:ascii="Times New Roman" w:hAnsi="Times New Roman"/>
          <w:i/>
          <w:iCs/>
          <w:sz w:val="24"/>
          <w:szCs w:val="24"/>
        </w:rPr>
        <w:t>Pseudomona</w:t>
      </w:r>
      <w:proofErr w:type="spellEnd"/>
      <w:r w:rsidR="00DC5EF4"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C5EF4" w:rsidRPr="00C45826">
        <w:rPr>
          <w:rFonts w:ascii="Times New Roman" w:hAnsi="Times New Roman"/>
          <w:i/>
          <w:iCs/>
          <w:sz w:val="24"/>
          <w:szCs w:val="24"/>
        </w:rPr>
        <w:t>luteola</w:t>
      </w:r>
      <w:proofErr w:type="spellEnd"/>
      <w:r w:rsidR="00DC5EF4" w:rsidRPr="00C45826">
        <w:rPr>
          <w:rFonts w:ascii="Times New Roman" w:hAnsi="Times New Roman"/>
          <w:i/>
          <w:iCs/>
          <w:sz w:val="24"/>
          <w:szCs w:val="24"/>
        </w:rPr>
        <w:t xml:space="preserve"> + </w:t>
      </w:r>
      <w:proofErr w:type="spellStart"/>
      <w:r w:rsidR="00DC5EF4" w:rsidRPr="00C45826">
        <w:rPr>
          <w:rFonts w:ascii="Times New Roman" w:hAnsi="Times New Roman"/>
          <w:i/>
          <w:iCs/>
          <w:sz w:val="24"/>
          <w:szCs w:val="24"/>
        </w:rPr>
        <w:t>Pseudomona</w:t>
      </w:r>
      <w:proofErr w:type="spellEnd"/>
      <w:r w:rsidR="00DC5EF4"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C5EF4" w:rsidRPr="00C45826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="00DC5EF4">
        <w:rPr>
          <w:rFonts w:ascii="Times New Roman" w:hAnsi="Times New Roman"/>
          <w:iCs/>
          <w:sz w:val="24"/>
          <w:szCs w:val="24"/>
        </w:rPr>
        <w:t xml:space="preserve"> a la concentración </w:t>
      </w:r>
      <w:r w:rsidR="00DC5EF4" w:rsidRPr="00E52B83">
        <w:rPr>
          <w:rFonts w:ascii="Times New Roman" w:hAnsi="Times New Roman"/>
          <w:bCs/>
          <w:sz w:val="24"/>
          <w:szCs w:val="24"/>
          <w:lang w:eastAsia="es-ES"/>
        </w:rPr>
        <w:t>10</w:t>
      </w:r>
      <w:r w:rsidR="00DC5EF4">
        <w:rPr>
          <w:rFonts w:ascii="Times New Roman" w:hAnsi="Times New Roman"/>
          <w:bCs/>
          <w:sz w:val="24"/>
          <w:szCs w:val="24"/>
          <w:vertAlign w:val="superscript"/>
          <w:lang w:eastAsia="es-ES"/>
        </w:rPr>
        <w:t>7</w:t>
      </w:r>
      <w:r w:rsidR="00DC5EF4" w:rsidRPr="00E52B83">
        <w:rPr>
          <w:rFonts w:ascii="Times New Roman" w:hAnsi="Times New Roman"/>
          <w:bCs/>
          <w:sz w:val="24"/>
          <w:szCs w:val="24"/>
          <w:vertAlign w:val="superscript"/>
          <w:lang w:eastAsia="es-ES"/>
        </w:rPr>
        <w:t xml:space="preserve"> </w:t>
      </w:r>
      <w:r w:rsidR="00DC5EF4" w:rsidRPr="00E52B83">
        <w:rPr>
          <w:rFonts w:ascii="Times New Roman" w:hAnsi="Times New Roman"/>
          <w:bCs/>
          <w:sz w:val="24"/>
          <w:szCs w:val="24"/>
          <w:lang w:eastAsia="es-ES"/>
        </w:rPr>
        <w:t>UFC/</w:t>
      </w:r>
      <w:proofErr w:type="spellStart"/>
      <w:r w:rsidR="00DC5EF4" w:rsidRPr="00E52B83">
        <w:rPr>
          <w:rFonts w:ascii="Times New Roman" w:hAnsi="Times New Roman"/>
          <w:bCs/>
          <w:sz w:val="24"/>
          <w:szCs w:val="24"/>
          <w:lang w:eastAsia="es-ES"/>
        </w:rPr>
        <w:t>mL</w:t>
      </w:r>
      <w:proofErr w:type="spellEnd"/>
      <w:r w:rsidR="00DC5EF4">
        <w:rPr>
          <w:rFonts w:ascii="Times New Roman" w:hAnsi="Times New Roman"/>
          <w:bCs/>
          <w:sz w:val="24"/>
          <w:szCs w:val="24"/>
          <w:lang w:eastAsia="es-ES"/>
        </w:rPr>
        <w:t xml:space="preserve"> y </w:t>
      </w:r>
      <w:proofErr w:type="spellStart"/>
      <w:r w:rsidR="00DC5EF4">
        <w:rPr>
          <w:rFonts w:ascii="Times New Roman" w:hAnsi="Times New Roman"/>
          <w:i/>
          <w:sz w:val="24"/>
          <w:szCs w:val="24"/>
        </w:rPr>
        <w:t>Burkholderia</w:t>
      </w:r>
      <w:proofErr w:type="spellEnd"/>
      <w:r w:rsidR="00DC5EF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C5EF4">
        <w:rPr>
          <w:rFonts w:ascii="Times New Roman" w:hAnsi="Times New Roman"/>
          <w:i/>
          <w:sz w:val="24"/>
          <w:szCs w:val="24"/>
        </w:rPr>
        <w:t>cepacia</w:t>
      </w:r>
      <w:proofErr w:type="spellEnd"/>
      <w:r w:rsidR="00DC5EF4">
        <w:rPr>
          <w:rFonts w:ascii="Times New Roman" w:hAnsi="Times New Roman"/>
          <w:i/>
          <w:sz w:val="24"/>
          <w:szCs w:val="24"/>
        </w:rPr>
        <w:t xml:space="preserve"> + </w:t>
      </w:r>
      <w:proofErr w:type="spellStart"/>
      <w:r w:rsidR="00DC5EF4">
        <w:rPr>
          <w:rFonts w:ascii="Times New Roman" w:hAnsi="Times New Roman"/>
          <w:i/>
          <w:iCs/>
          <w:sz w:val="24"/>
          <w:szCs w:val="24"/>
        </w:rPr>
        <w:t>Pantoea</w:t>
      </w:r>
      <w:proofErr w:type="spellEnd"/>
      <w:r w:rsidR="00DC5EF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DC5EF4">
        <w:rPr>
          <w:rFonts w:ascii="Times New Roman" w:hAnsi="Times New Roman"/>
          <w:i/>
          <w:iCs/>
          <w:sz w:val="24"/>
          <w:szCs w:val="24"/>
        </w:rPr>
        <w:t>sp</w:t>
      </w:r>
      <w:proofErr w:type="spellEnd"/>
      <w:r w:rsidR="00DC5E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C5EF4">
        <w:rPr>
          <w:rFonts w:ascii="Times New Roman" w:hAnsi="Times New Roman"/>
          <w:iCs/>
          <w:sz w:val="24"/>
          <w:szCs w:val="24"/>
        </w:rPr>
        <w:t xml:space="preserve">a la concentración </w:t>
      </w:r>
      <w:r w:rsidR="00DC5EF4" w:rsidRPr="00E52B83">
        <w:rPr>
          <w:rFonts w:ascii="Times New Roman" w:hAnsi="Times New Roman"/>
          <w:bCs/>
          <w:sz w:val="24"/>
          <w:szCs w:val="24"/>
          <w:lang w:eastAsia="es-ES"/>
        </w:rPr>
        <w:t>10</w:t>
      </w:r>
      <w:r w:rsidR="00DC5EF4">
        <w:rPr>
          <w:rFonts w:ascii="Times New Roman" w:hAnsi="Times New Roman"/>
          <w:bCs/>
          <w:sz w:val="24"/>
          <w:szCs w:val="24"/>
          <w:vertAlign w:val="superscript"/>
          <w:lang w:eastAsia="es-ES"/>
        </w:rPr>
        <w:t>6</w:t>
      </w:r>
      <w:r w:rsidR="00DC5EF4" w:rsidRPr="00E52B83">
        <w:rPr>
          <w:rFonts w:ascii="Times New Roman" w:hAnsi="Times New Roman"/>
          <w:bCs/>
          <w:sz w:val="24"/>
          <w:szCs w:val="24"/>
          <w:vertAlign w:val="superscript"/>
          <w:lang w:eastAsia="es-ES"/>
        </w:rPr>
        <w:t xml:space="preserve"> </w:t>
      </w:r>
      <w:r w:rsidR="00DC5EF4" w:rsidRPr="00E52B83">
        <w:rPr>
          <w:rFonts w:ascii="Times New Roman" w:hAnsi="Times New Roman"/>
          <w:bCs/>
          <w:sz w:val="24"/>
          <w:szCs w:val="24"/>
          <w:lang w:eastAsia="es-ES"/>
        </w:rPr>
        <w:t>UFC/</w:t>
      </w:r>
      <w:proofErr w:type="spellStart"/>
      <w:r w:rsidR="00DC5EF4" w:rsidRPr="00E52B83">
        <w:rPr>
          <w:rFonts w:ascii="Times New Roman" w:hAnsi="Times New Roman"/>
          <w:bCs/>
          <w:sz w:val="24"/>
          <w:szCs w:val="24"/>
          <w:lang w:eastAsia="es-ES"/>
        </w:rPr>
        <w:t>mL</w:t>
      </w:r>
      <w:proofErr w:type="spellEnd"/>
      <w:r w:rsidR="00DC5EF4">
        <w:rPr>
          <w:rFonts w:ascii="Times New Roman" w:hAnsi="Times New Roman"/>
          <w:bCs/>
          <w:sz w:val="24"/>
          <w:szCs w:val="24"/>
          <w:lang w:eastAsia="es-ES"/>
        </w:rPr>
        <w:t xml:space="preserve">; lo anterior demuestra que la formación de consorcio representa una mayor solubilización que de forma individual,  superando a lo encontrado por </w:t>
      </w:r>
      <w:r w:rsidR="00DC5EF4" w:rsidRPr="00C45826">
        <w:rPr>
          <w:rFonts w:ascii="Times New Roman" w:hAnsi="Times New Roman"/>
          <w:iCs/>
          <w:sz w:val="24"/>
          <w:szCs w:val="24"/>
        </w:rPr>
        <w:t xml:space="preserve">Lara </w:t>
      </w:r>
      <w:r w:rsidR="00DC5EF4" w:rsidRPr="00C45826">
        <w:rPr>
          <w:rFonts w:ascii="Times New Roman" w:hAnsi="Times New Roman"/>
          <w:i/>
          <w:iCs/>
          <w:sz w:val="24"/>
          <w:szCs w:val="24"/>
        </w:rPr>
        <w:t>et al</w:t>
      </w:r>
      <w:r w:rsidR="00B41B1D">
        <w:rPr>
          <w:rFonts w:ascii="Times New Roman" w:hAnsi="Times New Roman"/>
          <w:i/>
          <w:iCs/>
          <w:sz w:val="24"/>
          <w:szCs w:val="24"/>
        </w:rPr>
        <w:t>.</w:t>
      </w:r>
      <w:r w:rsidR="00DC5EF4">
        <w:rPr>
          <w:rFonts w:ascii="Times New Roman" w:hAnsi="Times New Roman"/>
          <w:iCs/>
          <w:sz w:val="24"/>
          <w:szCs w:val="24"/>
        </w:rPr>
        <w:t xml:space="preserve"> (2011a) con IS de 4,0 mm y similares a los encontrados por Bobadilla y Rincón (2008) con IS entre 3,3 – 5 mm.</w:t>
      </w:r>
    </w:p>
    <w:p w:rsidR="007E59D0" w:rsidRDefault="007E59D0" w:rsidP="007E59D0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Tabla 1</w:t>
      </w:r>
      <w:r w:rsidRPr="00C45826">
        <w:rPr>
          <w:rFonts w:ascii="Times New Roman" w:hAnsi="Times New Roman"/>
          <w:b/>
          <w:iCs/>
          <w:sz w:val="24"/>
          <w:szCs w:val="24"/>
        </w:rPr>
        <w:t>.</w:t>
      </w:r>
      <w:r w:rsidRPr="00C45826">
        <w:rPr>
          <w:rFonts w:ascii="Times New Roman" w:hAnsi="Times New Roman"/>
          <w:iCs/>
          <w:sz w:val="24"/>
          <w:szCs w:val="24"/>
        </w:rPr>
        <w:t xml:space="preserve"> Promedio de índices de solubilización a los 7 días.</w:t>
      </w:r>
    </w:p>
    <w:tbl>
      <w:tblPr>
        <w:tblW w:w="8504" w:type="dxa"/>
        <w:tblBorders>
          <w:top w:val="single" w:sz="4" w:space="0" w:color="7F7F7F"/>
          <w:bottom w:val="single" w:sz="4" w:space="0" w:color="7F7F7F"/>
        </w:tblBorders>
        <w:tblLook w:val="04A0"/>
      </w:tblPr>
      <w:tblGrid>
        <w:gridCol w:w="1295"/>
        <w:gridCol w:w="389"/>
        <w:gridCol w:w="1083"/>
        <w:gridCol w:w="1164"/>
        <w:gridCol w:w="1024"/>
        <w:gridCol w:w="1257"/>
        <w:gridCol w:w="1000"/>
        <w:gridCol w:w="1292"/>
      </w:tblGrid>
      <w:tr w:rsidR="00C76BBB" w:rsidRPr="000F5CD1" w:rsidTr="00A41521">
        <w:trPr>
          <w:trHeight w:val="552"/>
        </w:trPr>
        <w:tc>
          <w:tcPr>
            <w:tcW w:w="8504" w:type="dxa"/>
            <w:gridSpan w:val="8"/>
            <w:vMerge w:val="restart"/>
            <w:tcBorders>
              <w:bottom w:val="single" w:sz="4" w:space="0" w:color="7F7F7F"/>
            </w:tcBorders>
            <w:noWrap/>
            <w:hideMark/>
          </w:tcPr>
          <w:p w:rsidR="00C76BBB" w:rsidRPr="000F5CD1" w:rsidRDefault="00C76BBB" w:rsidP="00B82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b/>
                <w:lang w:eastAsia="es-ES"/>
              </w:rPr>
              <w:t xml:space="preserve">PROMEDIOS DE  ÍNDICES DE SOLUBILIZACIÓN (IS) </w:t>
            </w:r>
          </w:p>
        </w:tc>
      </w:tr>
      <w:tr w:rsidR="00C76BBB" w:rsidRPr="000F5CD1" w:rsidTr="00A41521">
        <w:trPr>
          <w:trHeight w:val="414"/>
        </w:trPr>
        <w:tc>
          <w:tcPr>
            <w:tcW w:w="8504" w:type="dxa"/>
            <w:gridSpan w:val="8"/>
            <w:vMerge/>
            <w:tcBorders>
              <w:top w:val="single" w:sz="4" w:space="0" w:color="7F7F7F"/>
              <w:bottom w:val="single" w:sz="4" w:space="0" w:color="7F7F7F"/>
            </w:tcBorders>
            <w:hideMark/>
          </w:tcPr>
          <w:p w:rsidR="00C76BBB" w:rsidRPr="000F5CD1" w:rsidRDefault="00C76BBB" w:rsidP="00A41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s-ES"/>
              </w:rPr>
            </w:pPr>
          </w:p>
        </w:tc>
      </w:tr>
      <w:tr w:rsidR="00C76BBB" w:rsidRPr="000F5CD1" w:rsidTr="00A41521">
        <w:trPr>
          <w:gridAfter w:val="1"/>
          <w:wAfter w:w="1292" w:type="dxa"/>
          <w:trHeight w:val="346"/>
        </w:trPr>
        <w:tc>
          <w:tcPr>
            <w:tcW w:w="1295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s-ES"/>
              </w:rPr>
            </w:pPr>
          </w:p>
        </w:tc>
        <w:tc>
          <w:tcPr>
            <w:tcW w:w="5917" w:type="dxa"/>
            <w:gridSpan w:val="6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bCs/>
                <w:lang w:eastAsia="es-ES"/>
              </w:rPr>
              <w:t>Día 7</w:t>
            </w:r>
          </w:p>
        </w:tc>
      </w:tr>
      <w:tr w:rsidR="00C76BBB" w:rsidRPr="000F5CD1" w:rsidTr="00A41521">
        <w:trPr>
          <w:trHeight w:val="346"/>
        </w:trPr>
        <w:tc>
          <w:tcPr>
            <w:tcW w:w="1684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lang w:eastAsia="es-ES"/>
              </w:rPr>
              <w:t>Combinaciones</w:t>
            </w:r>
          </w:p>
        </w:tc>
        <w:tc>
          <w:tcPr>
            <w:tcW w:w="2247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bCs/>
                <w:lang w:eastAsia="es-ES"/>
              </w:rPr>
              <w:t>Concentración    10</w:t>
            </w:r>
            <w:r w:rsidRPr="000F5CD1">
              <w:rPr>
                <w:rFonts w:ascii="Times New Roman" w:hAnsi="Times New Roman"/>
                <w:b/>
                <w:bCs/>
                <w:vertAlign w:val="superscript"/>
                <w:lang w:eastAsia="es-ES"/>
              </w:rPr>
              <w:t xml:space="preserve">8 </w:t>
            </w:r>
            <w:r w:rsidRPr="000F5CD1">
              <w:rPr>
                <w:rFonts w:ascii="Times New Roman" w:hAnsi="Times New Roman"/>
                <w:b/>
                <w:bCs/>
                <w:lang w:eastAsia="es-ES"/>
              </w:rPr>
              <w:t>UFC/</w:t>
            </w:r>
            <w:proofErr w:type="spellStart"/>
            <w:r w:rsidRPr="000F5CD1">
              <w:rPr>
                <w:rFonts w:ascii="Times New Roman" w:hAnsi="Times New Roman"/>
                <w:b/>
                <w:bCs/>
                <w:lang w:eastAsia="es-ES"/>
              </w:rPr>
              <w:t>mL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bCs/>
                <w:lang w:eastAsia="es-ES"/>
              </w:rPr>
              <w:t>Concentración   10</w:t>
            </w:r>
            <w:r w:rsidRPr="000F5CD1">
              <w:rPr>
                <w:rFonts w:ascii="Times New Roman" w:hAnsi="Times New Roman"/>
                <w:b/>
                <w:bCs/>
                <w:vertAlign w:val="superscript"/>
                <w:lang w:eastAsia="es-ES"/>
              </w:rPr>
              <w:t>7</w:t>
            </w:r>
            <w:r w:rsidRPr="000F5CD1">
              <w:rPr>
                <w:rFonts w:ascii="Times New Roman" w:hAnsi="Times New Roman"/>
                <w:b/>
                <w:bCs/>
                <w:lang w:eastAsia="es-ES"/>
              </w:rPr>
              <w:t xml:space="preserve"> UFC/</w:t>
            </w:r>
            <w:proofErr w:type="spellStart"/>
            <w:r w:rsidRPr="000F5CD1">
              <w:rPr>
                <w:rFonts w:ascii="Times New Roman" w:hAnsi="Times New Roman"/>
                <w:b/>
                <w:bCs/>
                <w:lang w:eastAsia="es-ES"/>
              </w:rPr>
              <w:t>mL</w:t>
            </w:r>
            <w:proofErr w:type="spellEnd"/>
          </w:p>
        </w:tc>
        <w:tc>
          <w:tcPr>
            <w:tcW w:w="2292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bCs/>
                <w:lang w:eastAsia="es-ES"/>
              </w:rPr>
              <w:t>Concentración   10</w:t>
            </w:r>
            <w:r w:rsidRPr="000F5CD1">
              <w:rPr>
                <w:rFonts w:ascii="Times New Roman" w:hAnsi="Times New Roman"/>
                <w:b/>
                <w:bCs/>
                <w:vertAlign w:val="superscript"/>
                <w:lang w:eastAsia="es-ES"/>
              </w:rPr>
              <w:t>6</w:t>
            </w:r>
            <w:r w:rsidRPr="000F5CD1">
              <w:rPr>
                <w:rFonts w:ascii="Times New Roman" w:hAnsi="Times New Roman"/>
                <w:b/>
                <w:bCs/>
                <w:lang w:eastAsia="es-ES"/>
              </w:rPr>
              <w:t xml:space="preserve"> UFC/Ml</w:t>
            </w:r>
          </w:p>
        </w:tc>
      </w:tr>
      <w:tr w:rsidR="00C76BBB" w:rsidRPr="000F5CD1" w:rsidTr="00A41521">
        <w:trPr>
          <w:trHeight w:val="346"/>
        </w:trPr>
        <w:tc>
          <w:tcPr>
            <w:tcW w:w="1684" w:type="dxa"/>
            <w:gridSpan w:val="2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</w:p>
        </w:tc>
        <w:tc>
          <w:tcPr>
            <w:tcW w:w="1083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DT(mm)</w:t>
            </w:r>
          </w:p>
        </w:tc>
        <w:tc>
          <w:tcPr>
            <w:tcW w:w="1164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IS(mm)</w:t>
            </w:r>
          </w:p>
        </w:tc>
        <w:tc>
          <w:tcPr>
            <w:tcW w:w="1024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DT(mm)</w:t>
            </w:r>
          </w:p>
        </w:tc>
        <w:tc>
          <w:tcPr>
            <w:tcW w:w="1257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IS(mm)</w:t>
            </w:r>
          </w:p>
        </w:tc>
        <w:tc>
          <w:tcPr>
            <w:tcW w:w="1000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DT(mm)</w:t>
            </w:r>
          </w:p>
        </w:tc>
        <w:tc>
          <w:tcPr>
            <w:tcW w:w="1292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IS(mm)</w:t>
            </w:r>
          </w:p>
        </w:tc>
      </w:tr>
      <w:tr w:rsidR="00C76BBB" w:rsidRPr="000F5CD1" w:rsidTr="00A41521">
        <w:trPr>
          <w:trHeight w:val="346"/>
        </w:trPr>
        <w:tc>
          <w:tcPr>
            <w:tcW w:w="1684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bCs/>
                <w:lang w:eastAsia="es-ES"/>
              </w:rPr>
              <w:t>1+2</w:t>
            </w:r>
          </w:p>
        </w:tc>
        <w:tc>
          <w:tcPr>
            <w:tcW w:w="108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17</w:t>
            </w:r>
            <w:r w:rsidRPr="000F5CD1">
              <w:rPr>
                <w:rFonts w:ascii="Times New Roman" w:hAnsi="Times New Roman"/>
                <w:color w:val="000000"/>
              </w:rPr>
              <w:t>±0,1</w:t>
            </w:r>
          </w:p>
        </w:tc>
        <w:tc>
          <w:tcPr>
            <w:tcW w:w="116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2,9±0,1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FE</w:t>
            </w:r>
          </w:p>
        </w:tc>
        <w:tc>
          <w:tcPr>
            <w:tcW w:w="1024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16</w:t>
            </w:r>
            <w:r w:rsidRPr="000F5CD1">
              <w:rPr>
                <w:rFonts w:ascii="Times New Roman" w:hAnsi="Times New Roman"/>
                <w:color w:val="000000"/>
              </w:rPr>
              <w:t>±0,1</w:t>
            </w:r>
          </w:p>
        </w:tc>
        <w:tc>
          <w:tcPr>
            <w:tcW w:w="1257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3,7±0,1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DCE</w:t>
            </w:r>
          </w:p>
        </w:tc>
        <w:tc>
          <w:tcPr>
            <w:tcW w:w="100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15</w:t>
            </w:r>
            <w:r w:rsidRPr="000F5CD1">
              <w:rPr>
                <w:rFonts w:ascii="Times New Roman" w:hAnsi="Times New Roman"/>
                <w:color w:val="000000"/>
              </w:rPr>
              <w:t>±0,1</w:t>
            </w:r>
          </w:p>
        </w:tc>
        <w:tc>
          <w:tcPr>
            <w:tcW w:w="129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4,8±0,1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</w:tr>
      <w:tr w:rsidR="00C76BBB" w:rsidRPr="000F5CD1" w:rsidTr="00A41521">
        <w:trPr>
          <w:trHeight w:val="346"/>
        </w:trPr>
        <w:tc>
          <w:tcPr>
            <w:tcW w:w="1684" w:type="dxa"/>
            <w:gridSpan w:val="2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bCs/>
                <w:lang w:eastAsia="es-ES"/>
              </w:rPr>
              <w:t>1+3</w:t>
            </w:r>
          </w:p>
        </w:tc>
        <w:tc>
          <w:tcPr>
            <w:tcW w:w="1083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18</w:t>
            </w:r>
            <w:r w:rsidRPr="000F5CD1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164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2,5±0,3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G</w:t>
            </w:r>
          </w:p>
        </w:tc>
        <w:tc>
          <w:tcPr>
            <w:tcW w:w="1024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14</w:t>
            </w:r>
            <w:r w:rsidRPr="000F5CD1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257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3,0±0,3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DFE</w:t>
            </w:r>
          </w:p>
        </w:tc>
        <w:tc>
          <w:tcPr>
            <w:tcW w:w="1000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21</w:t>
            </w:r>
            <w:r w:rsidRPr="000F5CD1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292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3,1±0,2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DCE</w:t>
            </w:r>
          </w:p>
        </w:tc>
      </w:tr>
      <w:tr w:rsidR="00C76BBB" w:rsidRPr="000F5CD1" w:rsidTr="00A41521">
        <w:trPr>
          <w:trHeight w:val="346"/>
        </w:trPr>
        <w:tc>
          <w:tcPr>
            <w:tcW w:w="1684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bCs/>
                <w:lang w:eastAsia="es-ES"/>
              </w:rPr>
              <w:t>1+4</w:t>
            </w:r>
          </w:p>
        </w:tc>
        <w:tc>
          <w:tcPr>
            <w:tcW w:w="108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18</w:t>
            </w:r>
            <w:r w:rsidRPr="000F5CD1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6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3,0±0,2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FE</w:t>
            </w:r>
          </w:p>
        </w:tc>
        <w:tc>
          <w:tcPr>
            <w:tcW w:w="1024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14</w:t>
            </w:r>
            <w:r w:rsidRPr="000F5CD1">
              <w:rPr>
                <w:rFonts w:ascii="Times New Roman" w:hAnsi="Times New Roman"/>
                <w:color w:val="000000"/>
              </w:rPr>
              <w:t>±0,1</w:t>
            </w:r>
          </w:p>
        </w:tc>
        <w:tc>
          <w:tcPr>
            <w:tcW w:w="1257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2,6±0,1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GF</w:t>
            </w:r>
          </w:p>
        </w:tc>
        <w:tc>
          <w:tcPr>
            <w:tcW w:w="100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22</w:t>
            </w:r>
            <w:r w:rsidRPr="000F5CD1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29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3,0±0,3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DE</w:t>
            </w:r>
          </w:p>
        </w:tc>
      </w:tr>
      <w:tr w:rsidR="00C76BBB" w:rsidRPr="000F5CD1" w:rsidTr="00A41521">
        <w:trPr>
          <w:trHeight w:val="346"/>
        </w:trPr>
        <w:tc>
          <w:tcPr>
            <w:tcW w:w="1684" w:type="dxa"/>
            <w:gridSpan w:val="2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bCs/>
                <w:lang w:eastAsia="es-ES"/>
              </w:rPr>
              <w:t>2+3</w:t>
            </w:r>
          </w:p>
        </w:tc>
        <w:tc>
          <w:tcPr>
            <w:tcW w:w="1083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8,0</w:t>
            </w:r>
            <w:r w:rsidRPr="000F5CD1">
              <w:rPr>
                <w:rFonts w:ascii="Times New Roman" w:hAnsi="Times New Roman"/>
                <w:color w:val="000000"/>
              </w:rPr>
              <w:t>±0,1</w:t>
            </w:r>
          </w:p>
        </w:tc>
        <w:tc>
          <w:tcPr>
            <w:tcW w:w="1164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3,7±0,1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DC</w:t>
            </w:r>
          </w:p>
        </w:tc>
        <w:tc>
          <w:tcPr>
            <w:tcW w:w="1024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17</w:t>
            </w:r>
            <w:r w:rsidRPr="000F5CD1">
              <w:rPr>
                <w:rFonts w:ascii="Times New Roman" w:hAnsi="Times New Roman"/>
                <w:color w:val="000000"/>
              </w:rPr>
              <w:t>±0,4</w:t>
            </w:r>
          </w:p>
        </w:tc>
        <w:tc>
          <w:tcPr>
            <w:tcW w:w="1257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4,4±0,4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AB</w:t>
            </w:r>
          </w:p>
        </w:tc>
        <w:tc>
          <w:tcPr>
            <w:tcW w:w="1000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20</w:t>
            </w:r>
            <w:r w:rsidRPr="000F5CD1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292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2,8±0,3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DE</w:t>
            </w:r>
          </w:p>
        </w:tc>
      </w:tr>
      <w:tr w:rsidR="00C76BBB" w:rsidRPr="000F5CD1" w:rsidTr="00A41521">
        <w:trPr>
          <w:trHeight w:val="346"/>
        </w:trPr>
        <w:tc>
          <w:tcPr>
            <w:tcW w:w="1684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bCs/>
                <w:lang w:eastAsia="es-ES"/>
              </w:rPr>
              <w:t>2+4</w:t>
            </w:r>
          </w:p>
        </w:tc>
        <w:tc>
          <w:tcPr>
            <w:tcW w:w="108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20</w:t>
            </w:r>
            <w:r w:rsidRPr="000F5CD1">
              <w:rPr>
                <w:rFonts w:ascii="Times New Roman" w:hAnsi="Times New Roman"/>
                <w:color w:val="000000"/>
              </w:rPr>
              <w:t>±0,1</w:t>
            </w:r>
          </w:p>
        </w:tc>
        <w:tc>
          <w:tcPr>
            <w:tcW w:w="116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4,3±0,1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AB</w:t>
            </w:r>
          </w:p>
        </w:tc>
        <w:tc>
          <w:tcPr>
            <w:tcW w:w="1024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20</w:t>
            </w:r>
            <w:r w:rsidRPr="000F5CD1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257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3,9±0,2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BC</w:t>
            </w:r>
          </w:p>
        </w:tc>
        <w:tc>
          <w:tcPr>
            <w:tcW w:w="100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19</w:t>
            </w:r>
            <w:r w:rsidRPr="000F5CD1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29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3,7±0,3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BC</w:t>
            </w:r>
          </w:p>
        </w:tc>
      </w:tr>
      <w:tr w:rsidR="00C76BBB" w:rsidRPr="000F5CD1" w:rsidTr="00A41521">
        <w:trPr>
          <w:trHeight w:val="346"/>
        </w:trPr>
        <w:tc>
          <w:tcPr>
            <w:tcW w:w="1684" w:type="dxa"/>
            <w:gridSpan w:val="2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bCs/>
                <w:lang w:eastAsia="es-ES"/>
              </w:rPr>
              <w:t>3+4</w:t>
            </w:r>
          </w:p>
        </w:tc>
        <w:tc>
          <w:tcPr>
            <w:tcW w:w="1083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10</w:t>
            </w:r>
            <w:r w:rsidRPr="000F5CD1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64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2,7±0,3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FG</w:t>
            </w:r>
          </w:p>
        </w:tc>
        <w:tc>
          <w:tcPr>
            <w:tcW w:w="1024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19</w:t>
            </w:r>
            <w:r w:rsidRPr="000F5CD1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257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4,8±0,4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1000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16</w:t>
            </w:r>
            <w:r w:rsidRPr="000F5CD1">
              <w:rPr>
                <w:rFonts w:ascii="Times New Roman" w:hAnsi="Times New Roman"/>
                <w:color w:val="000000"/>
              </w:rPr>
              <w:t>±0,1</w:t>
            </w:r>
          </w:p>
        </w:tc>
        <w:tc>
          <w:tcPr>
            <w:tcW w:w="1292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3,3±0,1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DC</w:t>
            </w:r>
          </w:p>
        </w:tc>
      </w:tr>
      <w:tr w:rsidR="00C76BBB" w:rsidRPr="000F5CD1" w:rsidTr="00A41521">
        <w:trPr>
          <w:trHeight w:val="346"/>
        </w:trPr>
        <w:tc>
          <w:tcPr>
            <w:tcW w:w="1684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bCs/>
                <w:lang w:eastAsia="es-ES"/>
              </w:rPr>
              <w:t>1+2+3</w:t>
            </w:r>
          </w:p>
        </w:tc>
        <w:tc>
          <w:tcPr>
            <w:tcW w:w="108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19</w:t>
            </w:r>
            <w:r w:rsidRPr="000F5CD1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6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4,2±0,2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BC</w:t>
            </w:r>
          </w:p>
        </w:tc>
        <w:tc>
          <w:tcPr>
            <w:tcW w:w="1024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17</w:t>
            </w:r>
            <w:r w:rsidRPr="000F5CD1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257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3,8±0,2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DC</w:t>
            </w:r>
          </w:p>
        </w:tc>
        <w:tc>
          <w:tcPr>
            <w:tcW w:w="100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16</w:t>
            </w:r>
            <w:r w:rsidRPr="000F5CD1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29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3,0±0,2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DCE</w:t>
            </w:r>
          </w:p>
        </w:tc>
      </w:tr>
      <w:tr w:rsidR="00C76BBB" w:rsidRPr="000F5CD1" w:rsidTr="00A41521">
        <w:trPr>
          <w:trHeight w:val="346"/>
        </w:trPr>
        <w:tc>
          <w:tcPr>
            <w:tcW w:w="1684" w:type="dxa"/>
            <w:gridSpan w:val="2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bCs/>
                <w:lang w:eastAsia="es-ES"/>
              </w:rPr>
              <w:t>1+2+4</w:t>
            </w:r>
          </w:p>
        </w:tc>
        <w:tc>
          <w:tcPr>
            <w:tcW w:w="1083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19</w:t>
            </w:r>
            <w:r w:rsidRPr="000F5CD1">
              <w:rPr>
                <w:rFonts w:ascii="Times New Roman" w:hAnsi="Times New Roman"/>
                <w:color w:val="000000"/>
              </w:rPr>
              <w:t>±0,1</w:t>
            </w:r>
          </w:p>
        </w:tc>
        <w:tc>
          <w:tcPr>
            <w:tcW w:w="1164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4,8±0,1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1024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18</w:t>
            </w:r>
            <w:r w:rsidRPr="000F5CD1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257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4,0±0,2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BC</w:t>
            </w:r>
          </w:p>
        </w:tc>
        <w:tc>
          <w:tcPr>
            <w:tcW w:w="1000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15</w:t>
            </w:r>
            <w:r w:rsidRPr="000F5CD1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292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2,9±0,3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DE</w:t>
            </w:r>
          </w:p>
        </w:tc>
      </w:tr>
      <w:tr w:rsidR="00C76BBB" w:rsidRPr="000F5CD1" w:rsidTr="00A41521">
        <w:trPr>
          <w:trHeight w:val="346"/>
        </w:trPr>
        <w:tc>
          <w:tcPr>
            <w:tcW w:w="1684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bCs/>
                <w:lang w:eastAsia="es-ES"/>
              </w:rPr>
              <w:t>2+3+4</w:t>
            </w:r>
          </w:p>
        </w:tc>
        <w:tc>
          <w:tcPr>
            <w:tcW w:w="108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18</w:t>
            </w:r>
            <w:r w:rsidRPr="000F5CD1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16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4,6±0,4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17</w:t>
            </w:r>
            <w:r w:rsidRPr="000F5CD1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257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4,4±0,2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AB</w:t>
            </w:r>
          </w:p>
        </w:tc>
        <w:tc>
          <w:tcPr>
            <w:tcW w:w="100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17</w:t>
            </w:r>
            <w:r w:rsidRPr="000F5CD1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29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4,4±0,2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BA</w:t>
            </w:r>
          </w:p>
        </w:tc>
      </w:tr>
      <w:tr w:rsidR="00C76BBB" w:rsidRPr="000F5CD1" w:rsidTr="00A41521">
        <w:trPr>
          <w:trHeight w:val="346"/>
        </w:trPr>
        <w:tc>
          <w:tcPr>
            <w:tcW w:w="1684" w:type="dxa"/>
            <w:gridSpan w:val="2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bCs/>
                <w:lang w:eastAsia="es-ES"/>
              </w:rPr>
              <w:t>3+4+1</w:t>
            </w:r>
          </w:p>
        </w:tc>
        <w:tc>
          <w:tcPr>
            <w:tcW w:w="1083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16</w:t>
            </w:r>
            <w:r w:rsidRPr="000F5CD1">
              <w:rPr>
                <w:rFonts w:ascii="Times New Roman" w:hAnsi="Times New Roman"/>
                <w:color w:val="000000"/>
              </w:rPr>
              <w:t>±0,1</w:t>
            </w:r>
          </w:p>
        </w:tc>
        <w:tc>
          <w:tcPr>
            <w:tcW w:w="1164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2,8±0,1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FG</w:t>
            </w:r>
          </w:p>
        </w:tc>
        <w:tc>
          <w:tcPr>
            <w:tcW w:w="1024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9,0</w:t>
            </w:r>
            <w:r w:rsidRPr="000F5CD1">
              <w:rPr>
                <w:rFonts w:ascii="Times New Roman" w:hAnsi="Times New Roman"/>
                <w:color w:val="000000"/>
              </w:rPr>
              <w:t>±0,1</w:t>
            </w:r>
          </w:p>
        </w:tc>
        <w:tc>
          <w:tcPr>
            <w:tcW w:w="1257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2,3±0,1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G</w:t>
            </w:r>
          </w:p>
        </w:tc>
        <w:tc>
          <w:tcPr>
            <w:tcW w:w="1000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13</w:t>
            </w:r>
            <w:r w:rsidRPr="000F5CD1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292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2,4±0,3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</w:tr>
      <w:tr w:rsidR="00C76BBB" w:rsidRPr="000F5CD1" w:rsidTr="00A41521">
        <w:trPr>
          <w:trHeight w:val="346"/>
        </w:trPr>
        <w:tc>
          <w:tcPr>
            <w:tcW w:w="1684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bCs/>
                <w:lang w:eastAsia="es-ES"/>
              </w:rPr>
              <w:t>1</w:t>
            </w:r>
          </w:p>
        </w:tc>
        <w:tc>
          <w:tcPr>
            <w:tcW w:w="108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19</w:t>
            </w:r>
            <w:r w:rsidRPr="000F5CD1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16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3,4±0,3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FE</w:t>
            </w:r>
          </w:p>
        </w:tc>
        <w:tc>
          <w:tcPr>
            <w:tcW w:w="1024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8,0</w:t>
            </w:r>
            <w:r w:rsidRPr="000F5CD1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257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2,3±0,3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G</w:t>
            </w:r>
          </w:p>
        </w:tc>
        <w:tc>
          <w:tcPr>
            <w:tcW w:w="100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17</w:t>
            </w:r>
            <w:r w:rsidRPr="000F5CD1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29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2,7±0,3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</w:tr>
      <w:tr w:rsidR="00C76BBB" w:rsidRPr="000F5CD1" w:rsidTr="00A41521">
        <w:trPr>
          <w:trHeight w:val="346"/>
        </w:trPr>
        <w:tc>
          <w:tcPr>
            <w:tcW w:w="1684" w:type="dxa"/>
            <w:gridSpan w:val="2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bCs/>
                <w:lang w:eastAsia="es-ES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18</w:t>
            </w:r>
            <w:r w:rsidRPr="000F5CD1">
              <w:rPr>
                <w:rFonts w:ascii="Times New Roman" w:hAnsi="Times New Roman"/>
                <w:color w:val="000000"/>
              </w:rPr>
              <w:t>±0,1</w:t>
            </w:r>
          </w:p>
        </w:tc>
        <w:tc>
          <w:tcPr>
            <w:tcW w:w="1164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4,6±0,1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AB</w:t>
            </w:r>
          </w:p>
        </w:tc>
        <w:tc>
          <w:tcPr>
            <w:tcW w:w="1024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9,0</w:t>
            </w:r>
            <w:r w:rsidRPr="000F5CD1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257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2,8±0,2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GF</w:t>
            </w:r>
          </w:p>
        </w:tc>
        <w:tc>
          <w:tcPr>
            <w:tcW w:w="1000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20</w:t>
            </w:r>
            <w:r w:rsidRPr="000F5CD1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292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3,0±0,3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DCE</w:t>
            </w:r>
          </w:p>
        </w:tc>
      </w:tr>
      <w:tr w:rsidR="00C76BBB" w:rsidRPr="000F5CD1" w:rsidTr="00A41521">
        <w:trPr>
          <w:trHeight w:val="346"/>
        </w:trPr>
        <w:tc>
          <w:tcPr>
            <w:tcW w:w="1684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bCs/>
                <w:lang w:eastAsia="es-ES"/>
              </w:rPr>
              <w:t>3</w:t>
            </w:r>
          </w:p>
        </w:tc>
        <w:tc>
          <w:tcPr>
            <w:tcW w:w="108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8,0</w:t>
            </w:r>
            <w:r w:rsidRPr="000F5CD1">
              <w:rPr>
                <w:rFonts w:ascii="Times New Roman" w:hAnsi="Times New Roman"/>
                <w:color w:val="000000"/>
              </w:rPr>
              <w:t>±0,1</w:t>
            </w:r>
          </w:p>
        </w:tc>
        <w:tc>
          <w:tcPr>
            <w:tcW w:w="116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2,6±0,1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FG</w:t>
            </w:r>
          </w:p>
        </w:tc>
        <w:tc>
          <w:tcPr>
            <w:tcW w:w="1024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7,0</w:t>
            </w:r>
            <w:r w:rsidRPr="000F5CD1">
              <w:rPr>
                <w:rFonts w:ascii="Times New Roman" w:hAnsi="Times New Roman"/>
                <w:color w:val="000000"/>
              </w:rPr>
              <w:t>±0,1</w:t>
            </w:r>
          </w:p>
        </w:tc>
        <w:tc>
          <w:tcPr>
            <w:tcW w:w="1257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2,4±0,2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GF</w:t>
            </w:r>
          </w:p>
        </w:tc>
        <w:tc>
          <w:tcPr>
            <w:tcW w:w="100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21</w:t>
            </w:r>
            <w:r w:rsidRPr="000F5CD1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29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3,1±0,3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DCE</w:t>
            </w:r>
          </w:p>
        </w:tc>
      </w:tr>
      <w:tr w:rsidR="00C76BBB" w:rsidRPr="000F5CD1" w:rsidTr="00A41521">
        <w:trPr>
          <w:trHeight w:val="346"/>
        </w:trPr>
        <w:tc>
          <w:tcPr>
            <w:tcW w:w="1684" w:type="dxa"/>
            <w:gridSpan w:val="2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s-ES"/>
              </w:rPr>
            </w:pPr>
            <w:r w:rsidRPr="000F5CD1">
              <w:rPr>
                <w:rFonts w:ascii="Times New Roman" w:hAnsi="Times New Roman"/>
                <w:b/>
                <w:bCs/>
                <w:lang w:eastAsia="es-ES"/>
              </w:rPr>
              <w:t>4</w:t>
            </w:r>
          </w:p>
        </w:tc>
        <w:tc>
          <w:tcPr>
            <w:tcW w:w="1083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12</w:t>
            </w:r>
            <w:r w:rsidRPr="000F5CD1">
              <w:rPr>
                <w:rFonts w:ascii="Times New Roman" w:hAnsi="Times New Roman"/>
                <w:color w:val="000000"/>
              </w:rPr>
              <w:t>±0,1</w:t>
            </w:r>
          </w:p>
        </w:tc>
        <w:tc>
          <w:tcPr>
            <w:tcW w:w="1164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3,4±0,1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DE</w:t>
            </w:r>
          </w:p>
        </w:tc>
        <w:tc>
          <w:tcPr>
            <w:tcW w:w="1024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10</w:t>
            </w:r>
            <w:r w:rsidRPr="000F5CD1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257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3,0±0,2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GFE</w:t>
            </w:r>
          </w:p>
        </w:tc>
        <w:tc>
          <w:tcPr>
            <w:tcW w:w="1000" w:type="dxa"/>
            <w:noWrap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0F5CD1">
              <w:rPr>
                <w:rFonts w:ascii="Times New Roman" w:hAnsi="Times New Roman"/>
                <w:lang w:eastAsia="es-ES"/>
              </w:rPr>
              <w:t>17</w:t>
            </w:r>
            <w:r w:rsidRPr="000F5CD1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292" w:type="dxa"/>
            <w:noWrap/>
            <w:vAlign w:val="center"/>
            <w:hideMark/>
          </w:tcPr>
          <w:p w:rsidR="00C76BBB" w:rsidRPr="000F5CD1" w:rsidRDefault="00C76BBB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0F5CD1">
              <w:rPr>
                <w:rFonts w:ascii="Times New Roman" w:hAnsi="Times New Roman"/>
                <w:color w:val="000000"/>
              </w:rPr>
              <w:t>2,9±0,2</w:t>
            </w:r>
            <w:r w:rsidRPr="000F5CD1">
              <w:rPr>
                <w:rFonts w:ascii="Times New Roman" w:hAnsi="Times New Roman"/>
                <w:color w:val="000000"/>
                <w:vertAlign w:val="superscript"/>
              </w:rPr>
              <w:t>DCE</w:t>
            </w:r>
          </w:p>
        </w:tc>
      </w:tr>
    </w:tbl>
    <w:p w:rsidR="00C76BBB" w:rsidRPr="00C76BBB" w:rsidRDefault="00C76BBB" w:rsidP="00C76BBB">
      <w:pPr>
        <w:spacing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i/>
          <w:iCs/>
          <w:sz w:val="20"/>
          <w:szCs w:val="20"/>
        </w:rPr>
        <w:t>1.</w:t>
      </w:r>
      <w:r w:rsidRPr="00C76BBB">
        <w:rPr>
          <w:rFonts w:ascii="Times New Roman" w:hAnsi="Times New Roman"/>
          <w:i/>
          <w:iCs/>
          <w:sz w:val="20"/>
          <w:szCs w:val="20"/>
        </w:rPr>
        <w:t>Burkholderia</w:t>
      </w:r>
      <w:proofErr w:type="gramEnd"/>
      <w:r w:rsidRPr="00C76BB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C76BBB">
        <w:rPr>
          <w:rFonts w:ascii="Times New Roman" w:hAnsi="Times New Roman"/>
          <w:i/>
          <w:iCs/>
          <w:sz w:val="20"/>
          <w:szCs w:val="20"/>
        </w:rPr>
        <w:t>cepacia</w:t>
      </w:r>
      <w:proofErr w:type="spellEnd"/>
      <w:r w:rsidRPr="00C76BBB">
        <w:rPr>
          <w:rFonts w:ascii="Times New Roman" w:hAnsi="Times New Roman"/>
          <w:i/>
          <w:iCs/>
          <w:sz w:val="20"/>
          <w:szCs w:val="20"/>
        </w:rPr>
        <w:t xml:space="preserve">, 2. </w:t>
      </w:r>
      <w:proofErr w:type="spellStart"/>
      <w:r w:rsidRPr="00C76BBB">
        <w:rPr>
          <w:rFonts w:ascii="Times New Roman" w:hAnsi="Times New Roman"/>
          <w:i/>
          <w:iCs/>
          <w:sz w:val="20"/>
          <w:szCs w:val="20"/>
        </w:rPr>
        <w:t>Pantoea</w:t>
      </w:r>
      <w:proofErr w:type="spellEnd"/>
      <w:r w:rsidRPr="00C76BB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0"/>
          <w:szCs w:val="20"/>
        </w:rPr>
        <w:t>sp</w:t>
      </w:r>
      <w:proofErr w:type="spellEnd"/>
      <w:r w:rsidRPr="00C76BBB">
        <w:rPr>
          <w:rFonts w:ascii="Times New Roman" w:hAnsi="Times New Roman"/>
          <w:i/>
          <w:iCs/>
          <w:sz w:val="20"/>
          <w:szCs w:val="20"/>
        </w:rPr>
        <w:t xml:space="preserve">, 3.Pseudomona </w:t>
      </w:r>
      <w:proofErr w:type="spellStart"/>
      <w:r w:rsidRPr="00C76BBB">
        <w:rPr>
          <w:rFonts w:ascii="Times New Roman" w:hAnsi="Times New Roman"/>
          <w:i/>
          <w:iCs/>
          <w:sz w:val="20"/>
          <w:szCs w:val="20"/>
        </w:rPr>
        <w:t>luteola</w:t>
      </w:r>
      <w:proofErr w:type="spellEnd"/>
      <w:r w:rsidRPr="00C76BBB">
        <w:rPr>
          <w:rFonts w:ascii="Times New Roman" w:hAnsi="Times New Roman"/>
          <w:i/>
          <w:iCs/>
          <w:sz w:val="20"/>
          <w:szCs w:val="20"/>
        </w:rPr>
        <w:t xml:space="preserve">, 4. </w:t>
      </w:r>
      <w:proofErr w:type="spellStart"/>
      <w:r w:rsidRPr="00C76BBB">
        <w:rPr>
          <w:rFonts w:ascii="Times New Roman" w:hAnsi="Times New Roman"/>
          <w:i/>
          <w:iCs/>
          <w:sz w:val="20"/>
          <w:szCs w:val="20"/>
        </w:rPr>
        <w:t>Pseudomona</w:t>
      </w:r>
      <w:proofErr w:type="spellEnd"/>
      <w:r w:rsidRPr="00C76BB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0"/>
          <w:szCs w:val="20"/>
        </w:rPr>
        <w:t>sp</w:t>
      </w:r>
      <w:proofErr w:type="spellEnd"/>
      <w:r w:rsidRPr="00C76BBB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Pr="00C76BBB">
        <w:rPr>
          <w:rFonts w:ascii="Times New Roman" w:hAnsi="Times New Roman"/>
          <w:iCs/>
          <w:sz w:val="20"/>
          <w:szCs w:val="20"/>
        </w:rPr>
        <w:t xml:space="preserve">Índices de solubilización (IS), Diámetros totales promedios de las colonias (DT), a. </w:t>
      </w:r>
      <w:r w:rsidRPr="00C76BBB">
        <w:rPr>
          <w:rFonts w:ascii="Times New Roman" w:eastAsia="Arial Unicode MS" w:hAnsi="Times New Roman"/>
          <w:sz w:val="20"/>
          <w:szCs w:val="20"/>
          <w:shd w:val="clear" w:color="auto" w:fill="FFFFFF"/>
        </w:rPr>
        <w:t>Medias aritméticas ± desviación estándar de experimentos por triplicado. Los valores seguidos con letras superíndices distintas indican diferencias significativas (</w:t>
      </w:r>
      <w:r w:rsidRPr="00C76BBB">
        <w:rPr>
          <w:rStyle w:val="nfasis"/>
          <w:rFonts w:ascii="Times New Roman" w:eastAsia="Arial Unicode MS" w:hAnsi="Times New Roman"/>
          <w:sz w:val="20"/>
          <w:szCs w:val="20"/>
          <w:bdr w:val="none" w:sz="0" w:space="0" w:color="auto" w:frame="1"/>
          <w:shd w:val="clear" w:color="auto" w:fill="FFFFFF"/>
        </w:rPr>
        <w:t>p</w:t>
      </w:r>
      <w:r w:rsidRPr="00C76BBB">
        <w:rPr>
          <w:rStyle w:val="apple-converted-space"/>
          <w:rFonts w:ascii="Times New Roman" w:eastAsia="Arial Unicode MS" w:hAnsi="Times New Roman"/>
          <w:sz w:val="20"/>
          <w:szCs w:val="20"/>
          <w:shd w:val="clear" w:color="auto" w:fill="FFFFFF"/>
        </w:rPr>
        <w:t> </w:t>
      </w:r>
      <w:r w:rsidRPr="00C76BBB">
        <w:rPr>
          <w:rFonts w:ascii="Times New Roman" w:eastAsia="Arial Unicode MS" w:hAnsi="Times New Roman"/>
          <w:sz w:val="20"/>
          <w:szCs w:val="20"/>
          <w:shd w:val="clear" w:color="auto" w:fill="FFFFFF"/>
        </w:rPr>
        <w:t xml:space="preserve">&lt; 0,05) según </w:t>
      </w:r>
      <w:proofErr w:type="spellStart"/>
      <w:r w:rsidRPr="00C76BBB">
        <w:rPr>
          <w:rFonts w:ascii="Times New Roman" w:eastAsia="Arial Unicode MS" w:hAnsi="Times New Roman"/>
          <w:sz w:val="20"/>
          <w:szCs w:val="20"/>
          <w:shd w:val="clear" w:color="auto" w:fill="FFFFFF"/>
        </w:rPr>
        <w:t>tukey</w:t>
      </w:r>
      <w:proofErr w:type="spellEnd"/>
      <w:r w:rsidRPr="00C76BBB">
        <w:rPr>
          <w:rFonts w:ascii="Times New Roman" w:eastAsia="Arial Unicode MS" w:hAnsi="Times New Roman"/>
          <w:sz w:val="20"/>
          <w:szCs w:val="20"/>
          <w:shd w:val="clear" w:color="auto" w:fill="FFFFFF"/>
        </w:rPr>
        <w:t>.</w:t>
      </w:r>
    </w:p>
    <w:p w:rsidR="00CA4206" w:rsidRDefault="00CA4206" w:rsidP="00DF60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942A9" w:rsidRDefault="000942A9" w:rsidP="00DF60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la tabla 2 se </w:t>
      </w:r>
      <w:r w:rsidR="005C2E3E">
        <w:rPr>
          <w:rFonts w:ascii="Times New Roman" w:hAnsi="Times New Roman"/>
          <w:sz w:val="24"/>
          <w:szCs w:val="24"/>
        </w:rPr>
        <w:t>resumen</w:t>
      </w:r>
      <w:r>
        <w:rPr>
          <w:rFonts w:ascii="Times New Roman" w:hAnsi="Times New Roman"/>
          <w:sz w:val="24"/>
          <w:szCs w:val="24"/>
        </w:rPr>
        <w:t xml:space="preserve"> los valores promedio </w:t>
      </w:r>
      <w:r w:rsidRPr="00C45826">
        <w:rPr>
          <w:rFonts w:ascii="Times New Roman" w:hAnsi="Times New Roman"/>
          <w:sz w:val="24"/>
          <w:szCs w:val="24"/>
        </w:rPr>
        <w:t>de los índices de solubilización</w:t>
      </w:r>
      <w:r>
        <w:rPr>
          <w:rFonts w:ascii="Times New Roman" w:hAnsi="Times New Roman"/>
          <w:sz w:val="24"/>
          <w:szCs w:val="24"/>
        </w:rPr>
        <w:t xml:space="preserve"> de las cepas individual y en consorcio a los </w:t>
      </w:r>
      <w:r w:rsidRPr="00C45826">
        <w:rPr>
          <w:rFonts w:ascii="Times New Roman" w:hAnsi="Times New Roman"/>
          <w:sz w:val="24"/>
          <w:szCs w:val="24"/>
        </w:rPr>
        <w:t xml:space="preserve">14 días </w:t>
      </w:r>
      <w:r>
        <w:rPr>
          <w:rFonts w:ascii="Times New Roman" w:hAnsi="Times New Roman"/>
          <w:sz w:val="24"/>
          <w:szCs w:val="24"/>
        </w:rPr>
        <w:t xml:space="preserve">de ensayo; los valores oscilaron entre </w:t>
      </w:r>
      <w:r w:rsidRPr="00C45826">
        <w:rPr>
          <w:rFonts w:ascii="Times New Roman" w:hAnsi="Times New Roman"/>
          <w:sz w:val="24"/>
          <w:szCs w:val="24"/>
        </w:rPr>
        <w:t xml:space="preserve">5,6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45826">
        <w:rPr>
          <w:rFonts w:ascii="Times New Roman" w:hAnsi="Times New Roman"/>
          <w:sz w:val="24"/>
          <w:szCs w:val="24"/>
        </w:rPr>
        <w:t>2,1</w:t>
      </w:r>
      <w:r>
        <w:rPr>
          <w:rFonts w:ascii="Times New Roman" w:hAnsi="Times New Roman"/>
          <w:sz w:val="24"/>
          <w:szCs w:val="24"/>
        </w:rPr>
        <w:t xml:space="preserve"> mm</w:t>
      </w:r>
      <w:r w:rsidR="005C2E3E">
        <w:rPr>
          <w:rFonts w:ascii="Times New Roman" w:hAnsi="Times New Roman"/>
          <w:sz w:val="24"/>
          <w:szCs w:val="24"/>
        </w:rPr>
        <w:t>.</w:t>
      </w:r>
    </w:p>
    <w:p w:rsidR="005C2E3E" w:rsidRDefault="005C2E3E" w:rsidP="005C2E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los 14 días se observó un</w:t>
      </w:r>
      <w:r w:rsidR="00E6026E">
        <w:rPr>
          <w:rFonts w:ascii="Times New Roman" w:hAnsi="Times New Roman"/>
          <w:sz w:val="24"/>
          <w:szCs w:val="24"/>
        </w:rPr>
        <w:t>a tendencia</w:t>
      </w:r>
      <w:r>
        <w:rPr>
          <w:rFonts w:ascii="Times New Roman" w:hAnsi="Times New Roman"/>
          <w:sz w:val="24"/>
          <w:szCs w:val="24"/>
        </w:rPr>
        <w:t xml:space="preserve"> similar </w:t>
      </w:r>
      <w:r w:rsidR="00527E51">
        <w:rPr>
          <w:rFonts w:ascii="Times New Roman" w:hAnsi="Times New Roman"/>
          <w:sz w:val="24"/>
          <w:szCs w:val="24"/>
        </w:rPr>
        <w:t xml:space="preserve">de las cepas individuales y en combinación, </w:t>
      </w:r>
      <w:r>
        <w:rPr>
          <w:rFonts w:ascii="Times New Roman" w:hAnsi="Times New Roman"/>
          <w:sz w:val="24"/>
          <w:szCs w:val="24"/>
        </w:rPr>
        <w:t>al obtenido durante los 7 días; se destacaron</w:t>
      </w:r>
      <w:r w:rsidRPr="00C45826">
        <w:rPr>
          <w:rFonts w:ascii="Times New Roman" w:hAnsi="Times New Roman"/>
          <w:sz w:val="24"/>
          <w:szCs w:val="24"/>
        </w:rPr>
        <w:t xml:space="preserve"> </w:t>
      </w:r>
      <w:r w:rsidR="00C2598E">
        <w:rPr>
          <w:rFonts w:ascii="Times New Roman" w:hAnsi="Times New Roman"/>
          <w:sz w:val="24"/>
          <w:szCs w:val="24"/>
        </w:rPr>
        <w:t xml:space="preserve">nuevamente </w:t>
      </w:r>
      <w:r w:rsidRPr="00C45826">
        <w:rPr>
          <w:rFonts w:ascii="Times New Roman" w:hAnsi="Times New Roman"/>
          <w:sz w:val="24"/>
          <w:szCs w:val="24"/>
        </w:rPr>
        <w:t xml:space="preserve">los consorcios </w:t>
      </w:r>
      <w:r w:rsidR="00FC76C5">
        <w:rPr>
          <w:rFonts w:ascii="Times New Roman" w:hAnsi="Times New Roman"/>
          <w:sz w:val="24"/>
          <w:szCs w:val="24"/>
        </w:rPr>
        <w:t xml:space="preserve"> y</w:t>
      </w:r>
      <w:r w:rsidR="00C61462">
        <w:rPr>
          <w:rFonts w:ascii="Times New Roman" w:hAnsi="Times New Roman"/>
          <w:sz w:val="24"/>
          <w:szCs w:val="24"/>
        </w:rPr>
        <w:t>,</w:t>
      </w:r>
      <w:r w:rsidR="00FC76C5">
        <w:rPr>
          <w:rFonts w:ascii="Times New Roman" w:hAnsi="Times New Roman"/>
          <w:sz w:val="24"/>
          <w:szCs w:val="24"/>
        </w:rPr>
        <w:t xml:space="preserve"> entre ellos,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Pantoea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4"/>
          <w:szCs w:val="24"/>
        </w:rPr>
        <w:t>sp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Pseudomona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luteola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C45826">
        <w:rPr>
          <w:rFonts w:ascii="Times New Roman" w:hAnsi="Times New Roman"/>
          <w:i/>
          <w:iCs/>
          <w:sz w:val="24"/>
          <w:szCs w:val="24"/>
        </w:rPr>
        <w:t>Pantoea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+ </w:t>
      </w:r>
      <w:proofErr w:type="spellStart"/>
      <w:r w:rsidRPr="00C45826">
        <w:rPr>
          <w:rFonts w:ascii="Times New Roman" w:hAnsi="Times New Roman"/>
          <w:i/>
          <w:iCs/>
          <w:sz w:val="24"/>
          <w:szCs w:val="24"/>
        </w:rPr>
        <w:t>Pseudomona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y </w:t>
      </w:r>
      <w:proofErr w:type="spellStart"/>
      <w:r w:rsidRPr="00C45826">
        <w:rPr>
          <w:rFonts w:ascii="Times New Roman" w:hAnsi="Times New Roman"/>
          <w:i/>
          <w:iCs/>
          <w:sz w:val="24"/>
          <w:szCs w:val="24"/>
        </w:rPr>
        <w:t>Pantoea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+ </w:t>
      </w:r>
      <w:proofErr w:type="spellStart"/>
      <w:r w:rsidRPr="00C45826">
        <w:rPr>
          <w:rFonts w:ascii="Times New Roman" w:hAnsi="Times New Roman"/>
          <w:i/>
          <w:iCs/>
          <w:sz w:val="24"/>
          <w:szCs w:val="24"/>
        </w:rPr>
        <w:t>Pseudomona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5826">
        <w:rPr>
          <w:rFonts w:ascii="Times New Roman" w:hAnsi="Times New Roman"/>
          <w:i/>
          <w:iCs/>
          <w:sz w:val="24"/>
          <w:szCs w:val="24"/>
        </w:rPr>
        <w:t>luteola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+ </w:t>
      </w:r>
      <w:proofErr w:type="spellStart"/>
      <w:r w:rsidRPr="00C45826">
        <w:rPr>
          <w:rFonts w:ascii="Times New Roman" w:hAnsi="Times New Roman"/>
          <w:i/>
          <w:iCs/>
          <w:sz w:val="24"/>
          <w:szCs w:val="24"/>
        </w:rPr>
        <w:t>Pseudomona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Pr="00C45826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este último presentó los valores más altos en los índices de solubilización con 5,6 mm, resultados que superan a los encontrados por Guzmán (2012) en donde el mayor índice de solubilización a los 14 días fue de 5,05. </w:t>
      </w:r>
    </w:p>
    <w:p w:rsidR="006A78D1" w:rsidRPr="006A78D1" w:rsidRDefault="00603260" w:rsidP="006A78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78D1">
        <w:rPr>
          <w:rFonts w:ascii="Times New Roman" w:hAnsi="Times New Roman"/>
          <w:sz w:val="24"/>
          <w:szCs w:val="24"/>
        </w:rPr>
        <w:t>Los resultados de la prueba dem</w:t>
      </w:r>
      <w:r>
        <w:rPr>
          <w:rFonts w:ascii="Times New Roman" w:hAnsi="Times New Roman"/>
          <w:sz w:val="24"/>
          <w:szCs w:val="24"/>
        </w:rPr>
        <w:t>ostraron</w:t>
      </w:r>
      <w:r w:rsidRPr="006A78D1">
        <w:rPr>
          <w:rFonts w:ascii="Times New Roman" w:hAnsi="Times New Roman"/>
          <w:sz w:val="24"/>
          <w:szCs w:val="24"/>
        </w:rPr>
        <w:t xml:space="preserve"> que </w:t>
      </w:r>
      <w:r w:rsidR="00766690">
        <w:rPr>
          <w:rFonts w:ascii="Times New Roman" w:hAnsi="Times New Roman"/>
          <w:sz w:val="24"/>
          <w:szCs w:val="24"/>
        </w:rPr>
        <w:t xml:space="preserve">los índices de solubilización de fosfato </w:t>
      </w:r>
      <w:r>
        <w:rPr>
          <w:rFonts w:ascii="Times New Roman" w:hAnsi="Times New Roman"/>
          <w:sz w:val="24"/>
          <w:szCs w:val="24"/>
        </w:rPr>
        <w:t>de algunos</w:t>
      </w:r>
      <w:r w:rsidRPr="006A78D1">
        <w:rPr>
          <w:rFonts w:ascii="Times New Roman" w:hAnsi="Times New Roman"/>
          <w:sz w:val="24"/>
          <w:szCs w:val="24"/>
        </w:rPr>
        <w:t xml:space="preserve"> consorcios</w:t>
      </w:r>
      <w:r>
        <w:rPr>
          <w:rFonts w:ascii="Times New Roman" w:hAnsi="Times New Roman"/>
          <w:sz w:val="24"/>
          <w:szCs w:val="24"/>
        </w:rPr>
        <w:t xml:space="preserve"> </w:t>
      </w:r>
      <w:r w:rsidR="00766690">
        <w:rPr>
          <w:rFonts w:ascii="Times New Roman" w:hAnsi="Times New Roman"/>
          <w:sz w:val="24"/>
          <w:szCs w:val="24"/>
        </w:rPr>
        <w:t>fu</w:t>
      </w:r>
      <w:r w:rsidR="008025B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mayor en comparación con </w:t>
      </w:r>
      <w:r w:rsidR="00766690">
        <w:rPr>
          <w:rFonts w:ascii="Times New Roman" w:hAnsi="Times New Roman"/>
          <w:sz w:val="24"/>
          <w:szCs w:val="24"/>
        </w:rPr>
        <w:t xml:space="preserve">los IS de </w:t>
      </w:r>
      <w:r>
        <w:rPr>
          <w:rFonts w:ascii="Times New Roman" w:hAnsi="Times New Roman"/>
          <w:sz w:val="24"/>
          <w:szCs w:val="24"/>
        </w:rPr>
        <w:t>las cepas individuales,</w:t>
      </w:r>
      <w:r w:rsidRPr="006A78D1">
        <w:rPr>
          <w:rFonts w:ascii="Times New Roman" w:hAnsi="Times New Roman"/>
          <w:sz w:val="24"/>
          <w:szCs w:val="24"/>
        </w:rPr>
        <w:t xml:space="preserve">  demostrándose un efecto sinérgico</w:t>
      </w:r>
      <w:r>
        <w:rPr>
          <w:rFonts w:ascii="Times New Roman" w:hAnsi="Times New Roman"/>
          <w:sz w:val="24"/>
          <w:szCs w:val="24"/>
        </w:rPr>
        <w:t xml:space="preserve"> favorable. </w:t>
      </w:r>
    </w:p>
    <w:p w:rsidR="005C2E3E" w:rsidRDefault="005C2E3E" w:rsidP="002771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60A6" w:rsidRDefault="00DF60A6" w:rsidP="00DF60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Tabla 2</w:t>
      </w:r>
      <w:r w:rsidRPr="00C45826">
        <w:rPr>
          <w:rFonts w:ascii="Times New Roman" w:hAnsi="Times New Roman"/>
          <w:b/>
          <w:sz w:val="24"/>
          <w:szCs w:val="24"/>
        </w:rPr>
        <w:t>.</w:t>
      </w:r>
      <w:r w:rsidRPr="00C45826">
        <w:rPr>
          <w:rFonts w:ascii="Times New Roman" w:hAnsi="Times New Roman"/>
          <w:sz w:val="24"/>
          <w:szCs w:val="24"/>
        </w:rPr>
        <w:t xml:space="preserve"> </w:t>
      </w:r>
      <w:r w:rsidR="007C5F1F">
        <w:rPr>
          <w:rFonts w:ascii="Times New Roman" w:hAnsi="Times New Roman"/>
          <w:sz w:val="24"/>
          <w:szCs w:val="24"/>
        </w:rPr>
        <w:t xml:space="preserve">Valores </w:t>
      </w:r>
      <w:r w:rsidR="007C5F1F">
        <w:rPr>
          <w:rFonts w:ascii="Times New Roman" w:hAnsi="Times New Roman"/>
          <w:iCs/>
          <w:sz w:val="24"/>
          <w:szCs w:val="24"/>
        </w:rPr>
        <w:t>p</w:t>
      </w:r>
      <w:r w:rsidR="00D042B5" w:rsidRPr="00C45826">
        <w:rPr>
          <w:rFonts w:ascii="Times New Roman" w:hAnsi="Times New Roman"/>
          <w:iCs/>
          <w:sz w:val="24"/>
          <w:szCs w:val="24"/>
        </w:rPr>
        <w:t xml:space="preserve">romedio de índices de solubilización a los </w:t>
      </w:r>
      <w:r w:rsidR="00D042B5">
        <w:rPr>
          <w:rFonts w:ascii="Times New Roman" w:hAnsi="Times New Roman"/>
          <w:iCs/>
          <w:sz w:val="24"/>
          <w:szCs w:val="24"/>
        </w:rPr>
        <w:t>14</w:t>
      </w:r>
      <w:r w:rsidR="00D042B5" w:rsidRPr="00C45826">
        <w:rPr>
          <w:rFonts w:ascii="Times New Roman" w:hAnsi="Times New Roman"/>
          <w:iCs/>
          <w:sz w:val="24"/>
          <w:szCs w:val="24"/>
        </w:rPr>
        <w:t xml:space="preserve"> días</w:t>
      </w:r>
      <w:r w:rsidRPr="00C45826">
        <w:rPr>
          <w:rFonts w:ascii="Times New Roman" w:hAnsi="Times New Roman"/>
          <w:sz w:val="24"/>
          <w:szCs w:val="24"/>
        </w:rPr>
        <w:t>.</w:t>
      </w:r>
    </w:p>
    <w:tbl>
      <w:tblPr>
        <w:tblW w:w="7937" w:type="dxa"/>
        <w:jc w:val="center"/>
        <w:tblBorders>
          <w:top w:val="single" w:sz="4" w:space="0" w:color="7F7F7F"/>
          <w:bottom w:val="single" w:sz="4" w:space="0" w:color="7F7F7F"/>
        </w:tblBorders>
        <w:tblLook w:val="04A0"/>
      </w:tblPr>
      <w:tblGrid>
        <w:gridCol w:w="1809"/>
        <w:gridCol w:w="1131"/>
        <w:gridCol w:w="1106"/>
        <w:gridCol w:w="61"/>
        <w:gridCol w:w="870"/>
        <w:gridCol w:w="176"/>
        <w:gridCol w:w="906"/>
        <w:gridCol w:w="952"/>
        <w:gridCol w:w="128"/>
        <w:gridCol w:w="1117"/>
      </w:tblGrid>
      <w:tr w:rsidR="002771A9" w:rsidRPr="00C45826" w:rsidTr="00A41521">
        <w:trPr>
          <w:trHeight w:val="552"/>
          <w:jc w:val="center"/>
        </w:trPr>
        <w:tc>
          <w:tcPr>
            <w:tcW w:w="7937" w:type="dxa"/>
            <w:gridSpan w:val="10"/>
            <w:vMerge w:val="restart"/>
            <w:tcBorders>
              <w:bottom w:val="single" w:sz="4" w:space="0" w:color="7F7F7F"/>
            </w:tcBorders>
            <w:noWrap/>
            <w:hideMark/>
          </w:tcPr>
          <w:p w:rsidR="002771A9" w:rsidRPr="0040724F" w:rsidRDefault="002771A9" w:rsidP="002771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b/>
                <w:sz w:val="24"/>
                <w:szCs w:val="24"/>
                <w:lang w:eastAsia="es-ES"/>
              </w:rPr>
              <w:t>PROMEDIOS DE  ÍNDICES DE SOLUBILIZACIÓN (IS)</w:t>
            </w:r>
          </w:p>
        </w:tc>
      </w:tr>
      <w:tr w:rsidR="002771A9" w:rsidRPr="00C45826" w:rsidTr="00A41521">
        <w:trPr>
          <w:trHeight w:val="414"/>
          <w:jc w:val="center"/>
        </w:trPr>
        <w:tc>
          <w:tcPr>
            <w:tcW w:w="7937" w:type="dxa"/>
            <w:gridSpan w:val="10"/>
            <w:vMerge/>
            <w:tcBorders>
              <w:top w:val="single" w:sz="4" w:space="0" w:color="7F7F7F"/>
              <w:bottom w:val="single" w:sz="4" w:space="0" w:color="7F7F7F"/>
            </w:tcBorders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2771A9" w:rsidRPr="00C45826" w:rsidTr="00A41521">
        <w:trPr>
          <w:trHeight w:val="300"/>
          <w:jc w:val="center"/>
        </w:trPr>
        <w:tc>
          <w:tcPr>
            <w:tcW w:w="1809" w:type="dxa"/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6128" w:type="dxa"/>
            <w:gridSpan w:val="9"/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Día 14</w:t>
            </w:r>
          </w:p>
        </w:tc>
      </w:tr>
      <w:tr w:rsidR="002771A9" w:rsidRPr="00C45826" w:rsidTr="00A41521">
        <w:trPr>
          <w:trHeight w:val="300"/>
          <w:jc w:val="center"/>
        </w:trPr>
        <w:tc>
          <w:tcPr>
            <w:tcW w:w="1809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sz w:val="24"/>
                <w:szCs w:val="24"/>
                <w:lang w:eastAsia="es-ES"/>
              </w:rPr>
              <w:t>Combinaciones</w:t>
            </w:r>
          </w:p>
        </w:tc>
        <w:tc>
          <w:tcPr>
            <w:tcW w:w="2274" w:type="dxa"/>
            <w:gridSpan w:val="3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 xml:space="preserve">Concentración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 xml:space="preserve">   </w:t>
            </w:r>
          </w:p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10</w:t>
            </w:r>
            <w:r w:rsidRPr="00E52B8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es-ES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es-E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UFC/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mL</w:t>
            </w:r>
            <w:proofErr w:type="spellEnd"/>
          </w:p>
        </w:tc>
        <w:tc>
          <w:tcPr>
            <w:tcW w:w="1752" w:type="dxa"/>
            <w:gridSpan w:val="3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 xml:space="preserve">Concentración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 xml:space="preserve">       </w:t>
            </w:r>
          </w:p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10</w:t>
            </w:r>
            <w:r w:rsidRPr="00E52B8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es-ES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 xml:space="preserve"> UFC/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mL</w:t>
            </w:r>
            <w:proofErr w:type="spellEnd"/>
          </w:p>
        </w:tc>
        <w:tc>
          <w:tcPr>
            <w:tcW w:w="2102" w:type="dxa"/>
            <w:gridSpan w:val="3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 xml:space="preserve">Concentración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 xml:space="preserve">  </w:t>
            </w:r>
          </w:p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10</w:t>
            </w:r>
            <w:r w:rsidRPr="00E52B8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es-ES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 xml:space="preserve"> UFC/Ml</w:t>
            </w:r>
          </w:p>
        </w:tc>
      </w:tr>
      <w:tr w:rsidR="002771A9" w:rsidRPr="00C45826" w:rsidTr="00A41521">
        <w:trPr>
          <w:trHeight w:val="300"/>
          <w:jc w:val="center"/>
        </w:trPr>
        <w:tc>
          <w:tcPr>
            <w:tcW w:w="1809" w:type="dxa"/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131" w:type="dxa"/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DT(mm)</w:t>
            </w:r>
          </w:p>
        </w:tc>
        <w:tc>
          <w:tcPr>
            <w:tcW w:w="1083" w:type="dxa"/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IS(mm)</w:t>
            </w:r>
          </w:p>
        </w:tc>
        <w:tc>
          <w:tcPr>
            <w:tcW w:w="1074" w:type="dxa"/>
            <w:gridSpan w:val="3"/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DT(mm)</w:t>
            </w:r>
          </w:p>
        </w:tc>
        <w:tc>
          <w:tcPr>
            <w:tcW w:w="738" w:type="dxa"/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1070" w:type="dxa"/>
            <w:gridSpan w:val="2"/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DT(mm)</w:t>
            </w:r>
          </w:p>
        </w:tc>
        <w:tc>
          <w:tcPr>
            <w:tcW w:w="1032" w:type="dxa"/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IS(mm)</w:t>
            </w:r>
          </w:p>
        </w:tc>
      </w:tr>
      <w:tr w:rsidR="002771A9" w:rsidRPr="00C45826" w:rsidTr="00A41521">
        <w:trPr>
          <w:trHeight w:val="300"/>
          <w:jc w:val="center"/>
        </w:trPr>
        <w:tc>
          <w:tcPr>
            <w:tcW w:w="1809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1+2</w:t>
            </w:r>
          </w:p>
        </w:tc>
        <w:tc>
          <w:tcPr>
            <w:tcW w:w="1131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21</w:t>
            </w:r>
            <w:r w:rsidRPr="00D52FC5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143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846D0D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3,1±0,2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DE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23</w:t>
            </w:r>
            <w:r w:rsidRPr="00D52FC5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882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4,3±0,3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25</w:t>
            </w:r>
            <w:r w:rsidRPr="00D52FC5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150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5,2±0,3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</w:tr>
      <w:tr w:rsidR="002771A9" w:rsidRPr="00C45826" w:rsidTr="00A41521">
        <w:trPr>
          <w:trHeight w:val="300"/>
          <w:jc w:val="center"/>
        </w:trPr>
        <w:tc>
          <w:tcPr>
            <w:tcW w:w="1809" w:type="dxa"/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1+3</w:t>
            </w:r>
          </w:p>
        </w:tc>
        <w:tc>
          <w:tcPr>
            <w:tcW w:w="1131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28</w:t>
            </w:r>
            <w:r w:rsidRPr="00D52FC5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143" w:type="dxa"/>
            <w:gridSpan w:val="2"/>
            <w:noWrap/>
            <w:vAlign w:val="center"/>
            <w:hideMark/>
          </w:tcPr>
          <w:p w:rsidR="002771A9" w:rsidRPr="00846D0D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2,9±0,3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FE</w:t>
            </w:r>
          </w:p>
        </w:tc>
        <w:tc>
          <w:tcPr>
            <w:tcW w:w="870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25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882" w:type="dxa"/>
            <w:gridSpan w:val="2"/>
            <w:noWrap/>
            <w:vAlign w:val="center"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3,3±0,3</w:t>
            </w:r>
            <w:r w:rsidRPr="005B0F4C">
              <w:rPr>
                <w:rFonts w:ascii="Times New Roman" w:hAnsi="Times New Roman"/>
                <w:color w:val="000000"/>
                <w:vertAlign w:val="superscript"/>
              </w:rPr>
              <w:t>ED</w:t>
            </w:r>
          </w:p>
        </w:tc>
        <w:tc>
          <w:tcPr>
            <w:tcW w:w="952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31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50" w:type="dxa"/>
            <w:gridSpan w:val="2"/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3,4±0,2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DFCE</w:t>
            </w:r>
          </w:p>
        </w:tc>
      </w:tr>
      <w:tr w:rsidR="002771A9" w:rsidRPr="00C45826" w:rsidTr="00A41521">
        <w:trPr>
          <w:trHeight w:val="300"/>
          <w:jc w:val="center"/>
        </w:trPr>
        <w:tc>
          <w:tcPr>
            <w:tcW w:w="1809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1+4</w:t>
            </w:r>
          </w:p>
        </w:tc>
        <w:tc>
          <w:tcPr>
            <w:tcW w:w="1131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27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43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846D0D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3,7±0,1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CD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24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882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3,2±0,1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ED</w:t>
            </w:r>
          </w:p>
        </w:tc>
        <w:tc>
          <w:tcPr>
            <w:tcW w:w="952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30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50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3,1±0,2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FE</w:t>
            </w:r>
          </w:p>
        </w:tc>
      </w:tr>
      <w:tr w:rsidR="002771A9" w:rsidRPr="00C45826" w:rsidTr="00A41521">
        <w:trPr>
          <w:trHeight w:val="300"/>
          <w:jc w:val="center"/>
        </w:trPr>
        <w:tc>
          <w:tcPr>
            <w:tcW w:w="1809" w:type="dxa"/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2+3</w:t>
            </w:r>
          </w:p>
        </w:tc>
        <w:tc>
          <w:tcPr>
            <w:tcW w:w="1131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18</w:t>
            </w:r>
            <w:r w:rsidRPr="00D52FC5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143" w:type="dxa"/>
            <w:gridSpan w:val="2"/>
            <w:noWrap/>
            <w:vAlign w:val="center"/>
            <w:hideMark/>
          </w:tcPr>
          <w:p w:rsidR="002771A9" w:rsidRPr="00846D0D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>
              <w:rPr>
                <w:rFonts w:ascii="Times New Roman" w:hAnsi="Times New Roman"/>
                <w:color w:val="000000"/>
              </w:rPr>
              <w:t>5,5±0,3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870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23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882" w:type="dxa"/>
            <w:gridSpan w:val="2"/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4,8±0,2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952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28</w:t>
            </w:r>
            <w:r w:rsidRPr="00D52FC5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150" w:type="dxa"/>
            <w:gridSpan w:val="2"/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3,3±0,3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DFE</w:t>
            </w:r>
          </w:p>
        </w:tc>
      </w:tr>
      <w:tr w:rsidR="002771A9" w:rsidRPr="00C45826" w:rsidTr="00A41521">
        <w:trPr>
          <w:trHeight w:val="300"/>
          <w:jc w:val="center"/>
        </w:trPr>
        <w:tc>
          <w:tcPr>
            <w:tcW w:w="1809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2+4</w:t>
            </w:r>
          </w:p>
        </w:tc>
        <w:tc>
          <w:tcPr>
            <w:tcW w:w="1131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30</w:t>
            </w:r>
            <w:r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143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846D0D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>
              <w:rPr>
                <w:rFonts w:ascii="Times New Roman" w:hAnsi="Times New Roman"/>
                <w:color w:val="000000"/>
              </w:rPr>
              <w:t>5,3±0,3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28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882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4,5±0,3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952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25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50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4,6±0,2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AB</w:t>
            </w:r>
          </w:p>
        </w:tc>
      </w:tr>
      <w:tr w:rsidR="002771A9" w:rsidRPr="00C45826" w:rsidTr="00A41521">
        <w:trPr>
          <w:trHeight w:val="300"/>
          <w:jc w:val="center"/>
        </w:trPr>
        <w:tc>
          <w:tcPr>
            <w:tcW w:w="1809" w:type="dxa"/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3+4</w:t>
            </w:r>
          </w:p>
        </w:tc>
        <w:tc>
          <w:tcPr>
            <w:tcW w:w="1131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22</w:t>
            </w:r>
            <w:r w:rsidRPr="00D52FC5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143" w:type="dxa"/>
            <w:gridSpan w:val="2"/>
            <w:noWrap/>
            <w:vAlign w:val="center"/>
            <w:hideMark/>
          </w:tcPr>
          <w:p w:rsidR="002771A9" w:rsidRPr="00846D0D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3,0±0,2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FDE</w:t>
            </w:r>
          </w:p>
        </w:tc>
        <w:tc>
          <w:tcPr>
            <w:tcW w:w="870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25</w:t>
            </w:r>
            <w:r w:rsidRPr="00D52FC5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882" w:type="dxa"/>
            <w:gridSpan w:val="2"/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4,1±0,3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CB</w:t>
            </w:r>
          </w:p>
        </w:tc>
        <w:tc>
          <w:tcPr>
            <w:tcW w:w="952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27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50" w:type="dxa"/>
            <w:gridSpan w:val="2"/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4,0±0,3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BC</w:t>
            </w:r>
          </w:p>
        </w:tc>
      </w:tr>
      <w:tr w:rsidR="002771A9" w:rsidRPr="00C45826" w:rsidTr="00A41521">
        <w:trPr>
          <w:trHeight w:val="300"/>
          <w:jc w:val="center"/>
        </w:trPr>
        <w:tc>
          <w:tcPr>
            <w:tcW w:w="1809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1+2+3</w:t>
            </w:r>
          </w:p>
        </w:tc>
        <w:tc>
          <w:tcPr>
            <w:tcW w:w="1131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26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43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846D0D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4,3±0,2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24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882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3,7±0,2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CD</w:t>
            </w:r>
          </w:p>
        </w:tc>
        <w:tc>
          <w:tcPr>
            <w:tcW w:w="952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27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50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3,7±0,1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DC</w:t>
            </w:r>
          </w:p>
        </w:tc>
      </w:tr>
      <w:tr w:rsidR="002771A9" w:rsidRPr="00C45826" w:rsidTr="00A41521">
        <w:trPr>
          <w:trHeight w:val="300"/>
          <w:jc w:val="center"/>
        </w:trPr>
        <w:tc>
          <w:tcPr>
            <w:tcW w:w="1809" w:type="dxa"/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1+2+4</w:t>
            </w:r>
          </w:p>
        </w:tc>
        <w:tc>
          <w:tcPr>
            <w:tcW w:w="1131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25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43" w:type="dxa"/>
            <w:gridSpan w:val="2"/>
            <w:noWrap/>
            <w:vAlign w:val="center"/>
            <w:hideMark/>
          </w:tcPr>
          <w:p w:rsidR="002771A9" w:rsidRPr="00846D0D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5,2±0,2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870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25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882" w:type="dxa"/>
            <w:gridSpan w:val="2"/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4,1±0,2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CB</w:t>
            </w:r>
          </w:p>
        </w:tc>
        <w:tc>
          <w:tcPr>
            <w:tcW w:w="952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28</w:t>
            </w:r>
            <w:r w:rsidRPr="00D52FC5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150" w:type="dxa"/>
            <w:gridSpan w:val="2"/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3,2±0,3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DFE</w:t>
            </w:r>
          </w:p>
        </w:tc>
      </w:tr>
      <w:tr w:rsidR="002771A9" w:rsidRPr="00C45826" w:rsidTr="00A41521">
        <w:trPr>
          <w:trHeight w:val="300"/>
          <w:jc w:val="center"/>
        </w:trPr>
        <w:tc>
          <w:tcPr>
            <w:tcW w:w="1809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2+3+4</w:t>
            </w:r>
          </w:p>
        </w:tc>
        <w:tc>
          <w:tcPr>
            <w:tcW w:w="1131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24</w:t>
            </w:r>
            <w:r w:rsidRPr="00D52FC5">
              <w:rPr>
                <w:rFonts w:ascii="Times New Roman" w:hAnsi="Times New Roman"/>
                <w:color w:val="000000"/>
              </w:rPr>
              <w:t>±0,4</w:t>
            </w:r>
          </w:p>
        </w:tc>
        <w:tc>
          <w:tcPr>
            <w:tcW w:w="1143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846D0D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4,4±0,3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23</w:t>
            </w:r>
            <w:r w:rsidRPr="00D52FC5">
              <w:rPr>
                <w:rFonts w:ascii="Times New Roman" w:hAnsi="Times New Roman"/>
                <w:color w:val="000000"/>
              </w:rPr>
              <w:t>±0,4</w:t>
            </w:r>
          </w:p>
        </w:tc>
        <w:tc>
          <w:tcPr>
            <w:tcW w:w="882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5,6±0,4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952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28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50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3,8±0,2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DC</w:t>
            </w:r>
          </w:p>
        </w:tc>
      </w:tr>
      <w:tr w:rsidR="002771A9" w:rsidRPr="00C45826" w:rsidTr="00A41521">
        <w:trPr>
          <w:trHeight w:val="300"/>
          <w:jc w:val="center"/>
        </w:trPr>
        <w:tc>
          <w:tcPr>
            <w:tcW w:w="1809" w:type="dxa"/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3+4+1</w:t>
            </w:r>
          </w:p>
        </w:tc>
        <w:tc>
          <w:tcPr>
            <w:tcW w:w="1131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28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43" w:type="dxa"/>
            <w:gridSpan w:val="2"/>
            <w:noWrap/>
            <w:vAlign w:val="center"/>
            <w:hideMark/>
          </w:tcPr>
          <w:p w:rsidR="002771A9" w:rsidRPr="00846D0D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3,5±0,3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CDE</w:t>
            </w:r>
          </w:p>
        </w:tc>
        <w:tc>
          <w:tcPr>
            <w:tcW w:w="870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14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882" w:type="dxa"/>
            <w:gridSpan w:val="2"/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2,2±0,2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GF</w:t>
            </w:r>
          </w:p>
        </w:tc>
        <w:tc>
          <w:tcPr>
            <w:tcW w:w="952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28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50" w:type="dxa"/>
            <w:gridSpan w:val="2"/>
            <w:noWrap/>
            <w:vAlign w:val="center"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3,2±0,2</w:t>
            </w:r>
            <w:r w:rsidRPr="005B0F4C">
              <w:rPr>
                <w:rFonts w:ascii="Times New Roman" w:hAnsi="Times New Roman"/>
                <w:color w:val="000000"/>
                <w:vertAlign w:val="superscript"/>
              </w:rPr>
              <w:t>DFE</w:t>
            </w:r>
          </w:p>
        </w:tc>
      </w:tr>
      <w:tr w:rsidR="002771A9" w:rsidRPr="00C45826" w:rsidTr="00A41521">
        <w:trPr>
          <w:trHeight w:val="300"/>
          <w:jc w:val="center"/>
        </w:trPr>
        <w:tc>
          <w:tcPr>
            <w:tcW w:w="1809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131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27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43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846D0D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4,0±0,2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CB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11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882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2,1±0,3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G</w:t>
            </w:r>
          </w:p>
        </w:tc>
        <w:tc>
          <w:tcPr>
            <w:tcW w:w="952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30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50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3,7±0,2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DCE</w:t>
            </w:r>
          </w:p>
        </w:tc>
      </w:tr>
      <w:tr w:rsidR="002771A9" w:rsidRPr="00C45826" w:rsidTr="00A41521">
        <w:trPr>
          <w:trHeight w:val="300"/>
          <w:jc w:val="center"/>
        </w:trPr>
        <w:tc>
          <w:tcPr>
            <w:tcW w:w="1809" w:type="dxa"/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131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25</w:t>
            </w:r>
            <w:r w:rsidRPr="00D52FC5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143" w:type="dxa"/>
            <w:gridSpan w:val="2"/>
            <w:noWrap/>
            <w:vAlign w:val="center"/>
            <w:hideMark/>
          </w:tcPr>
          <w:p w:rsidR="002771A9" w:rsidRPr="00846D0D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5,2±0,3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870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14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882" w:type="dxa"/>
            <w:gridSpan w:val="2"/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3,0±0,2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ED</w:t>
            </w:r>
          </w:p>
        </w:tc>
        <w:tc>
          <w:tcPr>
            <w:tcW w:w="952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30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50" w:type="dxa"/>
            <w:gridSpan w:val="2"/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3,3±0,3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DFCE</w:t>
            </w:r>
          </w:p>
        </w:tc>
      </w:tr>
      <w:tr w:rsidR="002771A9" w:rsidRPr="00C45826" w:rsidTr="00A41521">
        <w:trPr>
          <w:trHeight w:val="300"/>
          <w:jc w:val="center"/>
        </w:trPr>
        <w:tc>
          <w:tcPr>
            <w:tcW w:w="1809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131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10</w:t>
            </w:r>
            <w:r w:rsidRPr="00D52FC5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143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846D0D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2,7±0,3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F</w:t>
            </w:r>
          </w:p>
        </w:tc>
        <w:tc>
          <w:tcPr>
            <w:tcW w:w="87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11</w:t>
            </w:r>
            <w:r w:rsidRPr="00D52FC5">
              <w:rPr>
                <w:rFonts w:ascii="Times New Roman" w:hAnsi="Times New Roman"/>
                <w:color w:val="000000"/>
              </w:rPr>
              <w:t>±0,4</w:t>
            </w:r>
          </w:p>
        </w:tc>
        <w:tc>
          <w:tcPr>
            <w:tcW w:w="882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2,8±0,3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EF</w:t>
            </w:r>
          </w:p>
        </w:tc>
        <w:tc>
          <w:tcPr>
            <w:tcW w:w="952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28</w:t>
            </w:r>
            <w:r w:rsidRPr="00D52FC5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1150" w:type="dxa"/>
            <w:gridSpan w:val="2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3,3±0,4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DFE</w:t>
            </w:r>
          </w:p>
        </w:tc>
      </w:tr>
      <w:tr w:rsidR="002771A9" w:rsidRPr="00C45826" w:rsidTr="00A41521">
        <w:trPr>
          <w:trHeight w:val="300"/>
          <w:jc w:val="center"/>
        </w:trPr>
        <w:tc>
          <w:tcPr>
            <w:tcW w:w="1809" w:type="dxa"/>
            <w:noWrap/>
            <w:hideMark/>
          </w:tcPr>
          <w:p w:rsidR="002771A9" w:rsidRPr="00C45826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131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21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43" w:type="dxa"/>
            <w:gridSpan w:val="2"/>
            <w:noWrap/>
            <w:vAlign w:val="center"/>
            <w:hideMark/>
          </w:tcPr>
          <w:p w:rsidR="002771A9" w:rsidRPr="00846D0D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4,0±0,2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CB</w:t>
            </w:r>
          </w:p>
        </w:tc>
        <w:tc>
          <w:tcPr>
            <w:tcW w:w="870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17</w:t>
            </w:r>
            <w:r w:rsidRPr="00D52FC5">
              <w:rPr>
                <w:rFonts w:ascii="Times New Roman" w:hAnsi="Times New Roman"/>
                <w:color w:val="000000"/>
              </w:rPr>
              <w:t>±0,3</w:t>
            </w:r>
          </w:p>
        </w:tc>
        <w:tc>
          <w:tcPr>
            <w:tcW w:w="882" w:type="dxa"/>
            <w:gridSpan w:val="2"/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3,1±0,3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ED</w:t>
            </w:r>
          </w:p>
        </w:tc>
        <w:tc>
          <w:tcPr>
            <w:tcW w:w="952" w:type="dxa"/>
            <w:noWrap/>
            <w:hideMark/>
          </w:tcPr>
          <w:p w:rsidR="002771A9" w:rsidRPr="00D52FC5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lang w:eastAsia="es-ES"/>
              </w:rPr>
            </w:pPr>
            <w:r w:rsidRPr="00D52FC5">
              <w:rPr>
                <w:rFonts w:ascii="Times New Roman" w:hAnsi="Times New Roman"/>
                <w:lang w:eastAsia="es-ES"/>
              </w:rPr>
              <w:t>30</w:t>
            </w:r>
            <w:r w:rsidRPr="00D52FC5">
              <w:rPr>
                <w:rFonts w:ascii="Times New Roman" w:hAnsi="Times New Roman"/>
                <w:color w:val="000000"/>
              </w:rPr>
              <w:t>±0,2</w:t>
            </w:r>
          </w:p>
        </w:tc>
        <w:tc>
          <w:tcPr>
            <w:tcW w:w="1150" w:type="dxa"/>
            <w:gridSpan w:val="2"/>
            <w:noWrap/>
            <w:vAlign w:val="center"/>
            <w:hideMark/>
          </w:tcPr>
          <w:p w:rsidR="002771A9" w:rsidRPr="005B0F4C" w:rsidRDefault="002771A9" w:rsidP="00A41521">
            <w:pPr>
              <w:spacing w:after="0" w:line="240" w:lineRule="auto"/>
              <w:jc w:val="both"/>
              <w:rPr>
                <w:rFonts w:ascii="Times New Roman" w:hAnsi="Times New Roman"/>
                <w:vertAlign w:val="superscript"/>
                <w:lang w:eastAsia="es-ES"/>
              </w:rPr>
            </w:pPr>
            <w:r w:rsidRPr="00D52FC5">
              <w:rPr>
                <w:rFonts w:ascii="Times New Roman" w:hAnsi="Times New Roman"/>
                <w:color w:val="000000"/>
              </w:rPr>
              <w:t>2,9±0,3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F</w:t>
            </w:r>
          </w:p>
        </w:tc>
      </w:tr>
    </w:tbl>
    <w:p w:rsidR="002771A9" w:rsidRPr="000F5CD1" w:rsidRDefault="002771A9" w:rsidP="002771A9">
      <w:pPr>
        <w:pStyle w:val="Prrafodelista"/>
        <w:spacing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i/>
          <w:iCs/>
          <w:sz w:val="20"/>
          <w:szCs w:val="20"/>
        </w:rPr>
        <w:t>1.</w:t>
      </w:r>
      <w:r w:rsidRPr="000F5CD1">
        <w:rPr>
          <w:rFonts w:ascii="Times New Roman" w:hAnsi="Times New Roman"/>
          <w:i/>
          <w:iCs/>
          <w:sz w:val="20"/>
          <w:szCs w:val="20"/>
        </w:rPr>
        <w:t>Burkholderia</w:t>
      </w:r>
      <w:proofErr w:type="gramEnd"/>
      <w:r w:rsidRPr="000F5CD1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0F5CD1">
        <w:rPr>
          <w:rFonts w:ascii="Times New Roman" w:hAnsi="Times New Roman"/>
          <w:i/>
          <w:iCs/>
          <w:sz w:val="20"/>
          <w:szCs w:val="20"/>
        </w:rPr>
        <w:t>cepacia</w:t>
      </w:r>
      <w:proofErr w:type="spellEnd"/>
      <w:r w:rsidRPr="000F5CD1">
        <w:rPr>
          <w:rFonts w:ascii="Times New Roman" w:hAnsi="Times New Roman"/>
          <w:i/>
          <w:iCs/>
          <w:sz w:val="20"/>
          <w:szCs w:val="20"/>
        </w:rPr>
        <w:t xml:space="preserve">, 2. </w:t>
      </w:r>
      <w:proofErr w:type="spellStart"/>
      <w:r w:rsidRPr="000F5CD1">
        <w:rPr>
          <w:rFonts w:ascii="Times New Roman" w:hAnsi="Times New Roman"/>
          <w:i/>
          <w:iCs/>
          <w:sz w:val="20"/>
          <w:szCs w:val="20"/>
        </w:rPr>
        <w:t>Pantoea</w:t>
      </w:r>
      <w:proofErr w:type="spellEnd"/>
      <w:r w:rsidRPr="000F5CD1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0"/>
          <w:szCs w:val="20"/>
        </w:rPr>
        <w:t>sp</w:t>
      </w:r>
      <w:proofErr w:type="spellEnd"/>
      <w:r w:rsidRPr="000F5CD1">
        <w:rPr>
          <w:rFonts w:ascii="Times New Roman" w:hAnsi="Times New Roman"/>
          <w:i/>
          <w:iCs/>
          <w:sz w:val="20"/>
          <w:szCs w:val="20"/>
        </w:rPr>
        <w:t xml:space="preserve">, 3.Pseudomona </w:t>
      </w:r>
      <w:proofErr w:type="spellStart"/>
      <w:r w:rsidRPr="000F5CD1">
        <w:rPr>
          <w:rFonts w:ascii="Times New Roman" w:hAnsi="Times New Roman"/>
          <w:i/>
          <w:iCs/>
          <w:sz w:val="20"/>
          <w:szCs w:val="20"/>
        </w:rPr>
        <w:t>luteola</w:t>
      </w:r>
      <w:proofErr w:type="spellEnd"/>
      <w:r w:rsidRPr="000F5CD1">
        <w:rPr>
          <w:rFonts w:ascii="Times New Roman" w:hAnsi="Times New Roman"/>
          <w:i/>
          <w:iCs/>
          <w:sz w:val="20"/>
          <w:szCs w:val="20"/>
        </w:rPr>
        <w:t xml:space="preserve">, 4. </w:t>
      </w:r>
      <w:proofErr w:type="spellStart"/>
      <w:r w:rsidRPr="000F5CD1">
        <w:rPr>
          <w:rFonts w:ascii="Times New Roman" w:hAnsi="Times New Roman"/>
          <w:i/>
          <w:iCs/>
          <w:sz w:val="20"/>
          <w:szCs w:val="20"/>
        </w:rPr>
        <w:t>Pseudomona</w:t>
      </w:r>
      <w:proofErr w:type="spellEnd"/>
      <w:r w:rsidRPr="000F5CD1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0"/>
          <w:szCs w:val="20"/>
        </w:rPr>
        <w:t>sp</w:t>
      </w:r>
      <w:proofErr w:type="spellEnd"/>
      <w:r w:rsidRPr="000F5CD1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Pr="000F5CD1">
        <w:rPr>
          <w:rFonts w:ascii="Times New Roman" w:hAnsi="Times New Roman"/>
          <w:iCs/>
          <w:sz w:val="20"/>
          <w:szCs w:val="20"/>
        </w:rPr>
        <w:t xml:space="preserve">Índices de solubilización (IS), Diámetros totales promedios de las colonias (DT), a. </w:t>
      </w:r>
      <w:r w:rsidRPr="000F5CD1">
        <w:rPr>
          <w:rFonts w:ascii="Times New Roman" w:eastAsia="Arial Unicode MS" w:hAnsi="Times New Roman"/>
          <w:sz w:val="20"/>
          <w:szCs w:val="20"/>
          <w:shd w:val="clear" w:color="auto" w:fill="FFFFFF"/>
        </w:rPr>
        <w:t>Medias aritméticas ± desviación estándar de experimentos por triplicado. Los valores seguidos con letras superíndices distintas indican diferencias significativas (</w:t>
      </w:r>
      <w:r w:rsidRPr="000F5CD1">
        <w:rPr>
          <w:rStyle w:val="nfasis"/>
          <w:rFonts w:ascii="Times New Roman" w:eastAsia="Arial Unicode MS" w:hAnsi="Times New Roman"/>
          <w:sz w:val="20"/>
          <w:szCs w:val="20"/>
          <w:bdr w:val="none" w:sz="0" w:space="0" w:color="auto" w:frame="1"/>
          <w:shd w:val="clear" w:color="auto" w:fill="FFFFFF"/>
        </w:rPr>
        <w:t>p</w:t>
      </w:r>
      <w:r w:rsidRPr="000F5CD1">
        <w:rPr>
          <w:rStyle w:val="apple-converted-space"/>
          <w:rFonts w:ascii="Times New Roman" w:eastAsia="Arial Unicode MS" w:hAnsi="Times New Roman"/>
          <w:sz w:val="20"/>
          <w:szCs w:val="20"/>
          <w:shd w:val="clear" w:color="auto" w:fill="FFFFFF"/>
        </w:rPr>
        <w:t> </w:t>
      </w:r>
      <w:r w:rsidRPr="000F5CD1">
        <w:rPr>
          <w:rFonts w:ascii="Times New Roman" w:eastAsia="Arial Unicode MS" w:hAnsi="Times New Roman"/>
          <w:sz w:val="20"/>
          <w:szCs w:val="20"/>
          <w:shd w:val="clear" w:color="auto" w:fill="FFFFFF"/>
        </w:rPr>
        <w:t xml:space="preserve">&lt; 0,05) según </w:t>
      </w:r>
      <w:proofErr w:type="spellStart"/>
      <w:r w:rsidRPr="000F5CD1">
        <w:rPr>
          <w:rFonts w:ascii="Times New Roman" w:eastAsia="Arial Unicode MS" w:hAnsi="Times New Roman"/>
          <w:sz w:val="20"/>
          <w:szCs w:val="20"/>
          <w:shd w:val="clear" w:color="auto" w:fill="FFFFFF"/>
        </w:rPr>
        <w:t>tukey</w:t>
      </w:r>
      <w:proofErr w:type="spellEnd"/>
      <w:r w:rsidRPr="000F5CD1">
        <w:rPr>
          <w:rFonts w:ascii="Times New Roman" w:eastAsia="Arial Unicode MS" w:hAnsi="Times New Roman"/>
          <w:sz w:val="20"/>
          <w:szCs w:val="20"/>
          <w:shd w:val="clear" w:color="auto" w:fill="FFFFFF"/>
        </w:rPr>
        <w:t>.</w:t>
      </w:r>
    </w:p>
    <w:p w:rsidR="00DF60A6" w:rsidRPr="00C45826" w:rsidRDefault="00DF60A6" w:rsidP="00DF60A6">
      <w:pPr>
        <w:pStyle w:val="Prrafodelista"/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DE67A3" w:rsidRPr="00820142" w:rsidRDefault="00DE67A3" w:rsidP="006C6AC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0142">
        <w:rPr>
          <w:rFonts w:ascii="Times New Roman" w:hAnsi="Times New Roman"/>
          <w:b/>
          <w:sz w:val="24"/>
          <w:szCs w:val="24"/>
        </w:rPr>
        <w:lastRenderedPageBreak/>
        <w:t xml:space="preserve">Evaluación cuantitativa </w:t>
      </w:r>
      <w:r w:rsidR="00E4267A">
        <w:rPr>
          <w:rFonts w:ascii="Times New Roman" w:hAnsi="Times New Roman"/>
          <w:b/>
          <w:sz w:val="24"/>
          <w:szCs w:val="24"/>
        </w:rPr>
        <w:t>de la capacidad solubilizadora de fosfato</w:t>
      </w:r>
    </w:p>
    <w:p w:rsidR="001D752A" w:rsidRDefault="001D752A" w:rsidP="001D752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Los datos obtenidos de la evaluación cuantitativa </w:t>
      </w:r>
      <w:r w:rsidRPr="001D752A">
        <w:rPr>
          <w:rFonts w:ascii="Times New Roman" w:hAnsi="Times New Roman"/>
          <w:sz w:val="24"/>
          <w:szCs w:val="24"/>
        </w:rPr>
        <w:t>de la capacidad solubilizadora de fosfato</w:t>
      </w:r>
      <w:r w:rsidRPr="00C45826">
        <w:rPr>
          <w:rFonts w:ascii="Times New Roman" w:hAnsi="Times New Roman"/>
          <w:sz w:val="24"/>
          <w:szCs w:val="24"/>
        </w:rPr>
        <w:t xml:space="preserve"> </w:t>
      </w:r>
      <w:r w:rsidR="00374036">
        <w:rPr>
          <w:rFonts w:ascii="Times New Roman" w:hAnsi="Times New Roman"/>
          <w:sz w:val="24"/>
          <w:szCs w:val="24"/>
        </w:rPr>
        <w:t xml:space="preserve">de las cepas nativas, </w:t>
      </w:r>
      <w:r>
        <w:rPr>
          <w:rFonts w:ascii="Times New Roman" w:hAnsi="Times New Roman"/>
          <w:sz w:val="24"/>
          <w:szCs w:val="24"/>
        </w:rPr>
        <w:t>utilizando</w:t>
      </w:r>
      <w:r w:rsidRPr="00C45826">
        <w:rPr>
          <w:rFonts w:ascii="Times New Roman" w:hAnsi="Times New Roman"/>
          <w:sz w:val="24"/>
          <w:szCs w:val="24"/>
        </w:rPr>
        <w:t xml:space="preserve"> el método colorimétrico </w:t>
      </w:r>
      <w:proofErr w:type="spellStart"/>
      <w:r w:rsidRPr="00C45826">
        <w:rPr>
          <w:rFonts w:ascii="Times New Roman" w:hAnsi="Times New Roman"/>
          <w:sz w:val="24"/>
          <w:szCs w:val="24"/>
        </w:rPr>
        <w:t>vanadomolibdofosforico</w:t>
      </w:r>
      <w:proofErr w:type="spellEnd"/>
      <w:r w:rsidRPr="00C45826">
        <w:rPr>
          <w:rFonts w:ascii="Times New Roman" w:hAnsi="Times New Roman"/>
          <w:sz w:val="24"/>
          <w:szCs w:val="24"/>
        </w:rPr>
        <w:t xml:space="preserve"> </w:t>
      </w:r>
      <w:r w:rsidR="00F60E50">
        <w:rPr>
          <w:rFonts w:ascii="Times New Roman" w:hAnsi="Times New Roman"/>
          <w:sz w:val="24"/>
          <w:szCs w:val="24"/>
        </w:rPr>
        <w:t xml:space="preserve">se resumen en la tabla 3; se observan valores </w:t>
      </w:r>
      <w:r w:rsidRPr="00C45826">
        <w:rPr>
          <w:rFonts w:ascii="Times New Roman" w:hAnsi="Times New Roman"/>
          <w:sz w:val="24"/>
          <w:szCs w:val="24"/>
        </w:rPr>
        <w:t>entre 117  y  842</w:t>
      </w:r>
      <w:r>
        <w:rPr>
          <w:rFonts w:ascii="Times New Roman" w:hAnsi="Times New Roman"/>
          <w:sz w:val="24"/>
          <w:szCs w:val="24"/>
        </w:rPr>
        <w:t xml:space="preserve"> ppm</w:t>
      </w:r>
      <w:r w:rsidRPr="00C45826">
        <w:rPr>
          <w:rFonts w:ascii="Times New Roman" w:hAnsi="Times New Roman"/>
          <w:sz w:val="24"/>
          <w:szCs w:val="24"/>
        </w:rPr>
        <w:t xml:space="preserve">. </w:t>
      </w:r>
    </w:p>
    <w:p w:rsidR="00BF5B34" w:rsidRDefault="00BF5B34" w:rsidP="00BF5B34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45826">
        <w:rPr>
          <w:rFonts w:ascii="Times New Roman" w:hAnsi="Times New Roman"/>
          <w:sz w:val="24"/>
          <w:szCs w:val="24"/>
        </w:rPr>
        <w:t>Los microorga</w:t>
      </w:r>
      <w:r>
        <w:rPr>
          <w:rFonts w:ascii="Times New Roman" w:hAnsi="Times New Roman"/>
          <w:sz w:val="24"/>
          <w:szCs w:val="24"/>
        </w:rPr>
        <w:t xml:space="preserve">nismos </w:t>
      </w:r>
      <w:r w:rsidRPr="00C45826">
        <w:rPr>
          <w:rFonts w:ascii="Times New Roman" w:hAnsi="Times New Roman"/>
          <w:sz w:val="24"/>
          <w:szCs w:val="24"/>
        </w:rPr>
        <w:t>en consorcio</w:t>
      </w:r>
      <w:r>
        <w:rPr>
          <w:rFonts w:ascii="Times New Roman" w:hAnsi="Times New Roman"/>
          <w:sz w:val="24"/>
          <w:szCs w:val="24"/>
        </w:rPr>
        <w:t>s</w:t>
      </w:r>
      <w:r w:rsidRPr="00C45826">
        <w:rPr>
          <w:rFonts w:ascii="Times New Roman" w:hAnsi="Times New Roman"/>
          <w:sz w:val="24"/>
          <w:szCs w:val="24"/>
        </w:rPr>
        <w:t xml:space="preserve"> presentaron mayor solubilización de fosfato que </w:t>
      </w:r>
      <w:r>
        <w:rPr>
          <w:rFonts w:ascii="Times New Roman" w:hAnsi="Times New Roman"/>
          <w:sz w:val="24"/>
          <w:szCs w:val="24"/>
        </w:rPr>
        <w:t xml:space="preserve">aquellos que se encontraban </w:t>
      </w:r>
      <w:r w:rsidRPr="00C45826">
        <w:rPr>
          <w:rFonts w:ascii="Times New Roman" w:hAnsi="Times New Roman"/>
          <w:sz w:val="24"/>
          <w:szCs w:val="24"/>
        </w:rPr>
        <w:t xml:space="preserve">por individual </w:t>
      </w:r>
      <w:r w:rsidRPr="004E2808">
        <w:rPr>
          <w:rFonts w:ascii="Times New Roman" w:hAnsi="Times New Roman"/>
          <w:sz w:val="24"/>
          <w:szCs w:val="24"/>
        </w:rPr>
        <w:t xml:space="preserve">debido a que los consorcios microbianos en muchos casos interactúan de manera sinérgica estimulando algunas actividades físicas o bioquímicas de las bacterias involucradas en las mezclas; la concentración </w:t>
      </w:r>
      <w:r w:rsidRPr="004E2808">
        <w:rPr>
          <w:rFonts w:ascii="Times New Roman" w:hAnsi="Times New Roman"/>
          <w:iCs/>
          <w:sz w:val="24"/>
          <w:szCs w:val="24"/>
        </w:rPr>
        <w:t>a la cual presentaron mayor eficiencia fue a 10</w:t>
      </w:r>
      <w:r>
        <w:rPr>
          <w:rFonts w:ascii="Times New Roman" w:hAnsi="Times New Roman"/>
          <w:iCs/>
          <w:sz w:val="24"/>
          <w:szCs w:val="24"/>
          <w:vertAlign w:val="superscript"/>
        </w:rPr>
        <w:t>8</w:t>
      </w:r>
      <w:r w:rsidRPr="004E2808">
        <w:rPr>
          <w:rFonts w:ascii="Times New Roman" w:hAnsi="Times New Roman"/>
          <w:b/>
          <w:sz w:val="24"/>
          <w:szCs w:val="24"/>
        </w:rPr>
        <w:t xml:space="preserve"> </w:t>
      </w:r>
      <w:r w:rsidRPr="004E2808">
        <w:rPr>
          <w:rFonts w:ascii="Times New Roman" w:hAnsi="Times New Roman"/>
          <w:sz w:val="24"/>
          <w:szCs w:val="24"/>
        </w:rPr>
        <w:t>UFC/ml</w:t>
      </w:r>
      <w:r>
        <w:rPr>
          <w:rFonts w:ascii="Times New Roman" w:hAnsi="Times New Roman"/>
          <w:sz w:val="24"/>
          <w:szCs w:val="24"/>
        </w:rPr>
        <w:t xml:space="preserve">, destacándose el consorcio conformado por </w:t>
      </w:r>
      <w:proofErr w:type="spellStart"/>
      <w:r w:rsidRPr="00C45826">
        <w:rPr>
          <w:rFonts w:ascii="Times New Roman" w:hAnsi="Times New Roman"/>
          <w:i/>
          <w:iCs/>
          <w:sz w:val="24"/>
          <w:szCs w:val="24"/>
        </w:rPr>
        <w:t>Pantoea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+ </w:t>
      </w:r>
      <w:proofErr w:type="spellStart"/>
      <w:r w:rsidRPr="00C45826">
        <w:rPr>
          <w:rFonts w:ascii="Times New Roman" w:hAnsi="Times New Roman"/>
          <w:i/>
          <w:iCs/>
          <w:sz w:val="24"/>
          <w:szCs w:val="24"/>
        </w:rPr>
        <w:t>Pseudomona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4"/>
          <w:szCs w:val="24"/>
        </w:rPr>
        <w:t>sp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además este mismo mostró buenos resultados en las concentraciones de </w:t>
      </w:r>
      <w:r w:rsidRPr="004E2808">
        <w:rPr>
          <w:rFonts w:ascii="Times New Roman" w:hAnsi="Times New Roman"/>
          <w:iCs/>
          <w:sz w:val="24"/>
          <w:szCs w:val="24"/>
        </w:rPr>
        <w:t>10</w:t>
      </w:r>
      <w:r>
        <w:rPr>
          <w:rFonts w:ascii="Times New Roman" w:hAnsi="Times New Roman"/>
          <w:iCs/>
          <w:sz w:val="24"/>
          <w:szCs w:val="24"/>
          <w:vertAlign w:val="superscript"/>
        </w:rPr>
        <w:t>7</w:t>
      </w:r>
      <w:r w:rsidRPr="004E280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 10</w:t>
      </w:r>
      <w:r>
        <w:rPr>
          <w:rFonts w:ascii="Times New Roman" w:hAnsi="Times New Roman"/>
          <w:sz w:val="24"/>
          <w:szCs w:val="24"/>
          <w:vertAlign w:val="superscript"/>
        </w:rPr>
        <w:t xml:space="preserve">6 </w:t>
      </w:r>
      <w:r w:rsidRPr="004E2808">
        <w:rPr>
          <w:rFonts w:ascii="Times New Roman" w:hAnsi="Times New Roman"/>
          <w:sz w:val="24"/>
          <w:szCs w:val="24"/>
        </w:rPr>
        <w:t>UFC/ml</w:t>
      </w:r>
      <w:r>
        <w:rPr>
          <w:rFonts w:ascii="Times New Roman" w:hAnsi="Times New Roman"/>
          <w:sz w:val="24"/>
          <w:szCs w:val="24"/>
        </w:rPr>
        <w:t xml:space="preserve">; también en esta etapa se destacó el consorcio formado por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Burkholderia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cepacia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+</w:t>
      </w:r>
      <w:r w:rsidRPr="00BC473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C4732">
        <w:rPr>
          <w:rFonts w:ascii="Times New Roman" w:hAnsi="Times New Roman"/>
          <w:i/>
          <w:iCs/>
          <w:sz w:val="24"/>
          <w:szCs w:val="24"/>
        </w:rPr>
        <w:t>Pantoea</w:t>
      </w:r>
      <w:proofErr w:type="spellEnd"/>
      <w:r w:rsidRPr="00BC473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Pr="00E302C8">
        <w:rPr>
          <w:rFonts w:ascii="Times New Roman" w:hAnsi="Times New Roman"/>
          <w:iCs/>
          <w:sz w:val="24"/>
          <w:szCs w:val="24"/>
        </w:rPr>
        <w:t xml:space="preserve"> </w:t>
      </w:r>
      <w:r w:rsidRPr="004E2808">
        <w:rPr>
          <w:rFonts w:ascii="Times New Roman" w:hAnsi="Times New Roman"/>
          <w:iCs/>
          <w:sz w:val="24"/>
          <w:szCs w:val="24"/>
        </w:rPr>
        <w:t>a la concentración de 10</w:t>
      </w:r>
      <w:r>
        <w:rPr>
          <w:rFonts w:ascii="Times New Roman" w:hAnsi="Times New Roman"/>
          <w:iCs/>
          <w:sz w:val="24"/>
          <w:szCs w:val="24"/>
          <w:vertAlign w:val="superscript"/>
        </w:rPr>
        <w:t>7</w:t>
      </w:r>
      <w:r w:rsidRPr="004E2808">
        <w:rPr>
          <w:rFonts w:ascii="Times New Roman" w:hAnsi="Times New Roman"/>
          <w:b/>
          <w:sz w:val="24"/>
          <w:szCs w:val="24"/>
        </w:rPr>
        <w:t xml:space="preserve"> </w:t>
      </w:r>
      <w:r w:rsidRPr="004E2808">
        <w:rPr>
          <w:rFonts w:ascii="Times New Roman" w:hAnsi="Times New Roman"/>
          <w:sz w:val="24"/>
          <w:szCs w:val="24"/>
        </w:rPr>
        <w:t>UFC/ml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BF5B34" w:rsidRPr="00406016" w:rsidRDefault="00BF5B34" w:rsidP="00BF5B34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F5B34">
        <w:rPr>
          <w:rFonts w:ascii="Times New Roman" w:hAnsi="Times New Roman"/>
          <w:iCs/>
          <w:sz w:val="24"/>
          <w:szCs w:val="24"/>
        </w:rPr>
        <w:t>Los</w:t>
      </w:r>
      <w:r>
        <w:rPr>
          <w:rFonts w:ascii="Times New Roman" w:hAnsi="Times New Roman"/>
          <w:iCs/>
          <w:sz w:val="24"/>
          <w:szCs w:val="24"/>
        </w:rPr>
        <w:t xml:space="preserve"> anteriores resultados superan a los </w:t>
      </w:r>
      <w:r w:rsidRPr="004E2808">
        <w:rPr>
          <w:rFonts w:ascii="Times New Roman" w:hAnsi="Times New Roman"/>
          <w:iCs/>
          <w:sz w:val="24"/>
          <w:szCs w:val="24"/>
        </w:rPr>
        <w:t>encontrados por</w:t>
      </w:r>
      <w:r w:rsidRPr="004E2808">
        <w:rPr>
          <w:rFonts w:ascii="Times New Roman" w:hAnsi="Times New Roman"/>
          <w:sz w:val="24"/>
          <w:szCs w:val="24"/>
        </w:rPr>
        <w:t xml:space="preserve"> </w:t>
      </w:r>
      <w:r w:rsidR="00167506" w:rsidRPr="00167506">
        <w:rPr>
          <w:rFonts w:ascii="Times New Roman" w:hAnsi="Times New Roman"/>
          <w:sz w:val="24"/>
          <w:szCs w:val="24"/>
        </w:rPr>
        <w:t xml:space="preserve">Cordero </w:t>
      </w:r>
      <w:r w:rsidR="009833CB" w:rsidRPr="009833CB">
        <w:rPr>
          <w:rFonts w:ascii="Times New Roman" w:hAnsi="Times New Roman"/>
          <w:i/>
          <w:sz w:val="24"/>
          <w:szCs w:val="24"/>
        </w:rPr>
        <w:t>et al</w:t>
      </w:r>
      <w:r w:rsidR="00167506" w:rsidRPr="00167506">
        <w:rPr>
          <w:rFonts w:ascii="Times New Roman" w:hAnsi="Times New Roman"/>
          <w:sz w:val="24"/>
          <w:szCs w:val="24"/>
        </w:rPr>
        <w:t>., (2008)</w:t>
      </w:r>
      <w:r w:rsidR="00167506">
        <w:rPr>
          <w:rFonts w:ascii="Times New Roman" w:hAnsi="Times New Roman"/>
          <w:sz w:val="24"/>
          <w:szCs w:val="24"/>
        </w:rPr>
        <w:t xml:space="preserve"> </w:t>
      </w:r>
      <w:r w:rsidRPr="004E2808">
        <w:rPr>
          <w:rFonts w:ascii="Times New Roman" w:hAnsi="Times New Roman"/>
          <w:sz w:val="24"/>
          <w:szCs w:val="24"/>
        </w:rPr>
        <w:t xml:space="preserve">en la </w:t>
      </w:r>
      <w:r>
        <w:rPr>
          <w:rFonts w:ascii="Times New Roman" w:hAnsi="Times New Roman"/>
          <w:sz w:val="24"/>
          <w:szCs w:val="24"/>
        </w:rPr>
        <w:t>e</w:t>
      </w:r>
      <w:r w:rsidRPr="004E2808">
        <w:rPr>
          <w:rFonts w:ascii="Times New Roman" w:hAnsi="Times New Roman"/>
          <w:sz w:val="24"/>
          <w:szCs w:val="24"/>
        </w:rPr>
        <w:t xml:space="preserve">valuación de una cepa de </w:t>
      </w:r>
      <w:proofErr w:type="spellStart"/>
      <w:r w:rsidRPr="003C278D">
        <w:rPr>
          <w:rFonts w:ascii="Times New Roman" w:hAnsi="Times New Roman"/>
          <w:i/>
          <w:sz w:val="24"/>
          <w:szCs w:val="24"/>
        </w:rPr>
        <w:t>Pantoea</w:t>
      </w:r>
      <w:proofErr w:type="spellEnd"/>
      <w:r w:rsidRPr="003C278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833CB" w:rsidRPr="009833CB"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z w:val="24"/>
          <w:szCs w:val="24"/>
        </w:rPr>
        <w:t>.</w:t>
      </w:r>
      <w:proofErr w:type="spellEnd"/>
      <w:r>
        <w:rPr>
          <w:rFonts w:ascii="Times New Roman" w:hAnsi="Times New Roman"/>
          <w:sz w:val="24"/>
          <w:szCs w:val="24"/>
        </w:rPr>
        <w:t xml:space="preserve"> (9C) </w:t>
      </w:r>
      <w:r w:rsidRPr="00B97E4E">
        <w:rPr>
          <w:rFonts w:ascii="Times New Roman" w:hAnsi="Times New Roman"/>
          <w:sz w:val="24"/>
          <w:szCs w:val="24"/>
        </w:rPr>
        <w:t xml:space="preserve">la cual presentó solubilización de aproximadamente 400  </w:t>
      </w:r>
      <w:proofErr w:type="spellStart"/>
      <w:r w:rsidRPr="00B97E4E">
        <w:rPr>
          <w:rFonts w:ascii="Times New Roman" w:hAnsi="Times New Roman"/>
          <w:sz w:val="24"/>
          <w:szCs w:val="24"/>
        </w:rPr>
        <w:t>μg</w:t>
      </w:r>
      <w:proofErr w:type="spellEnd"/>
      <w:r w:rsidRPr="00B97E4E">
        <w:rPr>
          <w:rFonts w:ascii="Times New Roman" w:hAnsi="Times New Roman"/>
          <w:sz w:val="24"/>
          <w:szCs w:val="24"/>
        </w:rPr>
        <w:t xml:space="preserve"> P mL-1 entre las 40 – 60 horas.</w:t>
      </w:r>
      <w:r>
        <w:rPr>
          <w:rFonts w:ascii="Times New Roman" w:hAnsi="Times New Roman"/>
          <w:sz w:val="24"/>
          <w:szCs w:val="24"/>
        </w:rPr>
        <w:t xml:space="preserve"> Igualmente superaron a estudios realizados por Osorio y </w:t>
      </w:r>
      <w:r w:rsidRPr="004E2808">
        <w:rPr>
          <w:rFonts w:ascii="Times New Roman" w:hAnsi="Times New Roman"/>
          <w:iCs/>
          <w:sz w:val="24"/>
          <w:szCs w:val="24"/>
        </w:rPr>
        <w:t xml:space="preserve">Lara </w:t>
      </w:r>
      <w:r>
        <w:rPr>
          <w:rFonts w:ascii="Times New Roman" w:hAnsi="Times New Roman"/>
          <w:iCs/>
          <w:sz w:val="24"/>
          <w:szCs w:val="24"/>
        </w:rPr>
        <w:t xml:space="preserve">(2013) que evaluaron consorcios formados por </w:t>
      </w:r>
      <w:r>
        <w:rPr>
          <w:rFonts w:ascii="Times New Roman" w:hAnsi="Times New Roman"/>
          <w:iCs/>
          <w:sz w:val="24"/>
          <w:szCs w:val="24"/>
          <w:vertAlign w:val="subscript"/>
        </w:rPr>
        <w:t xml:space="preserve"> </w:t>
      </w:r>
      <w:proofErr w:type="spellStart"/>
      <w:r w:rsidRPr="00BC4732">
        <w:rPr>
          <w:rFonts w:ascii="Times New Roman" w:hAnsi="Times New Roman"/>
          <w:i/>
          <w:iCs/>
          <w:sz w:val="24"/>
          <w:szCs w:val="24"/>
        </w:rPr>
        <w:t>Pantoea</w:t>
      </w:r>
      <w:proofErr w:type="spellEnd"/>
      <w:r w:rsidRPr="00BC473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4"/>
          <w:szCs w:val="24"/>
        </w:rPr>
        <w:t>sp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 xml:space="preserve">y </w:t>
      </w:r>
      <w:proofErr w:type="spellStart"/>
      <w:r w:rsidRPr="003C278D">
        <w:rPr>
          <w:rFonts w:ascii="Times New Roman" w:hAnsi="Times New Roman"/>
          <w:i/>
          <w:sz w:val="24"/>
          <w:szCs w:val="24"/>
          <w:lang w:val="es-ES_tradnl"/>
        </w:rPr>
        <w:t>Azotobacter</w:t>
      </w:r>
      <w:proofErr w:type="spellEnd"/>
      <w:r>
        <w:rPr>
          <w:rFonts w:ascii="Times New Roman" w:hAnsi="Times New Roman"/>
          <w:i/>
          <w:sz w:val="24"/>
          <w:szCs w:val="24"/>
          <w:lang w:val="es-ES_tradnl"/>
        </w:rPr>
        <w:t xml:space="preserve"> </w:t>
      </w:r>
      <w:proofErr w:type="spellStart"/>
      <w:r w:rsidR="009833CB" w:rsidRPr="009833CB">
        <w:rPr>
          <w:rFonts w:ascii="Times New Roman" w:hAnsi="Times New Roman"/>
          <w:sz w:val="24"/>
          <w:szCs w:val="24"/>
          <w:lang w:val="es-ES_tradnl"/>
        </w:rPr>
        <w:t>sp</w:t>
      </w:r>
      <w:proofErr w:type="spellEnd"/>
      <w:r>
        <w:rPr>
          <w:rFonts w:ascii="Times New Roman" w:hAnsi="Times New Roman"/>
          <w:i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 obteniendo resultados </w:t>
      </w:r>
      <w:r w:rsidRPr="00406016">
        <w:rPr>
          <w:rFonts w:ascii="Times New Roman" w:hAnsi="Times New Roman"/>
          <w:sz w:val="24"/>
          <w:szCs w:val="24"/>
        </w:rPr>
        <w:t>602.60</w:t>
      </w:r>
      <w:r>
        <w:rPr>
          <w:rFonts w:ascii="Times New Roman" w:hAnsi="Times New Roman"/>
          <w:sz w:val="24"/>
          <w:szCs w:val="24"/>
        </w:rPr>
        <w:t xml:space="preserve"> ppm a la concentración de </w:t>
      </w:r>
      <w:r w:rsidRPr="004E2808">
        <w:rPr>
          <w:rFonts w:ascii="Times New Roman" w:hAnsi="Times New Roman"/>
          <w:iCs/>
          <w:sz w:val="24"/>
          <w:szCs w:val="24"/>
        </w:rPr>
        <w:t>10</w:t>
      </w:r>
      <w:r>
        <w:rPr>
          <w:rFonts w:ascii="Times New Roman" w:hAnsi="Times New Roman"/>
          <w:iCs/>
          <w:sz w:val="24"/>
          <w:szCs w:val="24"/>
          <w:vertAlign w:val="superscript"/>
        </w:rPr>
        <w:t>6</w:t>
      </w:r>
      <w:r w:rsidRPr="004E2808">
        <w:rPr>
          <w:rFonts w:ascii="Times New Roman" w:hAnsi="Times New Roman"/>
          <w:b/>
          <w:sz w:val="24"/>
          <w:szCs w:val="24"/>
        </w:rPr>
        <w:t xml:space="preserve"> </w:t>
      </w:r>
      <w:r w:rsidRPr="004E2808">
        <w:rPr>
          <w:rFonts w:ascii="Times New Roman" w:hAnsi="Times New Roman"/>
          <w:sz w:val="24"/>
          <w:szCs w:val="24"/>
        </w:rPr>
        <w:t>UFC/ml</w:t>
      </w:r>
      <w:r>
        <w:rPr>
          <w:rFonts w:ascii="Times New Roman" w:hAnsi="Times New Roman"/>
          <w:sz w:val="24"/>
          <w:szCs w:val="24"/>
        </w:rPr>
        <w:t>.</w:t>
      </w:r>
    </w:p>
    <w:p w:rsidR="00956A16" w:rsidRDefault="00956A16" w:rsidP="00956A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45826">
        <w:rPr>
          <w:rFonts w:ascii="Times New Roman" w:hAnsi="Times New Roman"/>
          <w:b/>
          <w:sz w:val="24"/>
          <w:szCs w:val="24"/>
        </w:rPr>
        <w:t>Tabl</w:t>
      </w:r>
      <w:r>
        <w:rPr>
          <w:rFonts w:ascii="Times New Roman" w:hAnsi="Times New Roman"/>
          <w:b/>
          <w:sz w:val="24"/>
          <w:szCs w:val="24"/>
        </w:rPr>
        <w:t>a 3</w:t>
      </w:r>
      <w:r w:rsidRPr="00C45826">
        <w:rPr>
          <w:rFonts w:ascii="Times New Roman" w:hAnsi="Times New Roman"/>
          <w:b/>
          <w:sz w:val="24"/>
          <w:szCs w:val="24"/>
        </w:rPr>
        <w:t>.</w:t>
      </w:r>
      <w:r w:rsidRPr="00C45826">
        <w:rPr>
          <w:rFonts w:ascii="Times New Roman" w:hAnsi="Times New Roman"/>
          <w:sz w:val="24"/>
          <w:szCs w:val="24"/>
        </w:rPr>
        <w:t xml:space="preserve"> Promedios de concentraciones en partes por millón (ppm) de solubilización de fosfato.</w:t>
      </w:r>
    </w:p>
    <w:tbl>
      <w:tblPr>
        <w:tblW w:w="8726" w:type="dxa"/>
        <w:jc w:val="center"/>
        <w:tblBorders>
          <w:top w:val="single" w:sz="4" w:space="0" w:color="7F7F7F"/>
          <w:bottom w:val="single" w:sz="4" w:space="0" w:color="7F7F7F"/>
        </w:tblBorders>
        <w:tblLook w:val="04A0"/>
      </w:tblPr>
      <w:tblGrid>
        <w:gridCol w:w="1910"/>
        <w:gridCol w:w="2093"/>
        <w:gridCol w:w="2333"/>
        <w:gridCol w:w="2390"/>
      </w:tblGrid>
      <w:tr w:rsidR="003E6909" w:rsidRPr="00C45826" w:rsidTr="00A41521">
        <w:trPr>
          <w:trHeight w:val="552"/>
          <w:jc w:val="center"/>
        </w:trPr>
        <w:tc>
          <w:tcPr>
            <w:tcW w:w="8726" w:type="dxa"/>
            <w:gridSpan w:val="4"/>
            <w:vMerge w:val="restart"/>
            <w:tcBorders>
              <w:bottom w:val="single" w:sz="4" w:space="0" w:color="7F7F7F"/>
            </w:tcBorders>
            <w:noWrap/>
            <w:hideMark/>
          </w:tcPr>
          <w:p w:rsidR="003E6909" w:rsidRPr="007F2386" w:rsidRDefault="003E6909" w:rsidP="003E69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b/>
                <w:sz w:val="24"/>
                <w:szCs w:val="24"/>
                <w:lang w:eastAsia="es-ES"/>
              </w:rPr>
              <w:t>SOLUBILIZACIÓN DE FOSFATO</w:t>
            </w:r>
            <w:r>
              <w:rPr>
                <w:rFonts w:ascii="Times New Roman" w:hAnsi="Times New Roman"/>
                <w:b/>
                <w:sz w:val="24"/>
                <w:szCs w:val="24"/>
                <w:lang w:eastAsia="es-ES"/>
              </w:rPr>
              <w:t xml:space="preserve"> (ppm)</w:t>
            </w:r>
          </w:p>
        </w:tc>
      </w:tr>
      <w:tr w:rsidR="003E6909" w:rsidRPr="00C45826" w:rsidTr="00A41521">
        <w:trPr>
          <w:trHeight w:val="276"/>
          <w:jc w:val="center"/>
        </w:trPr>
        <w:tc>
          <w:tcPr>
            <w:tcW w:w="8726" w:type="dxa"/>
            <w:gridSpan w:val="4"/>
            <w:vMerge/>
            <w:tcBorders>
              <w:top w:val="single" w:sz="4" w:space="0" w:color="7F7F7F"/>
              <w:bottom w:val="single" w:sz="4" w:space="0" w:color="7F7F7F"/>
            </w:tcBorders>
            <w:hideMark/>
          </w:tcPr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3E6909" w:rsidRPr="00C45826" w:rsidTr="00A41521">
        <w:trPr>
          <w:trHeight w:val="169"/>
          <w:jc w:val="center"/>
        </w:trPr>
        <w:tc>
          <w:tcPr>
            <w:tcW w:w="191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sz w:val="24"/>
                <w:szCs w:val="24"/>
                <w:lang w:eastAsia="es-ES"/>
              </w:rPr>
              <w:t>Combinaciones</w:t>
            </w:r>
          </w:p>
        </w:tc>
        <w:tc>
          <w:tcPr>
            <w:tcW w:w="209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 xml:space="preserve">Concentración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 xml:space="preserve">   </w:t>
            </w:r>
          </w:p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10</w:t>
            </w:r>
            <w:r w:rsidRPr="00E52B8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es-ES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es-E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UFC/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mL</w:t>
            </w:r>
            <w:proofErr w:type="spellEnd"/>
          </w:p>
        </w:tc>
        <w:tc>
          <w:tcPr>
            <w:tcW w:w="233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 xml:space="preserve">Concentración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 xml:space="preserve">       </w:t>
            </w:r>
          </w:p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10</w:t>
            </w:r>
            <w:r w:rsidRPr="00E52B8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es-ES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 xml:space="preserve"> UFC/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mL</w:t>
            </w:r>
            <w:proofErr w:type="spellEnd"/>
          </w:p>
        </w:tc>
        <w:tc>
          <w:tcPr>
            <w:tcW w:w="239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 xml:space="preserve">Concentración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 xml:space="preserve">  </w:t>
            </w:r>
          </w:p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10</w:t>
            </w:r>
            <w:r w:rsidRPr="00E52B8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es-ES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 xml:space="preserve"> UFC/Ml</w:t>
            </w:r>
          </w:p>
        </w:tc>
      </w:tr>
      <w:tr w:rsidR="003E6909" w:rsidRPr="00C45826" w:rsidTr="00A41521">
        <w:trPr>
          <w:trHeight w:val="177"/>
          <w:jc w:val="center"/>
        </w:trPr>
        <w:tc>
          <w:tcPr>
            <w:tcW w:w="1910" w:type="dxa"/>
            <w:noWrap/>
            <w:hideMark/>
          </w:tcPr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1+2</w:t>
            </w:r>
          </w:p>
        </w:tc>
        <w:tc>
          <w:tcPr>
            <w:tcW w:w="2093" w:type="dxa"/>
            <w:noWrap/>
            <w:hideMark/>
          </w:tcPr>
          <w:p w:rsidR="003E6909" w:rsidRPr="007048E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548</w:t>
            </w:r>
            <w:r>
              <w:rPr>
                <w:rFonts w:ascii="Times New Roman" w:hAnsi="Times New Roman"/>
                <w:color w:val="000000"/>
              </w:rPr>
              <w:t>±7,8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F</w:t>
            </w:r>
          </w:p>
        </w:tc>
        <w:tc>
          <w:tcPr>
            <w:tcW w:w="2333" w:type="dxa"/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799</w:t>
            </w:r>
            <w:r>
              <w:rPr>
                <w:rFonts w:ascii="Times New Roman" w:hAnsi="Times New Roman"/>
                <w:color w:val="000000"/>
              </w:rPr>
              <w:t>±12,7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2390" w:type="dxa"/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507</w:t>
            </w:r>
            <w:r>
              <w:rPr>
                <w:rFonts w:ascii="Times New Roman" w:hAnsi="Times New Roman"/>
                <w:color w:val="000000"/>
              </w:rPr>
              <w:t>±5,1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</w:tr>
      <w:tr w:rsidR="003E6909" w:rsidRPr="00C45826" w:rsidTr="00A41521">
        <w:trPr>
          <w:trHeight w:val="169"/>
          <w:jc w:val="center"/>
        </w:trPr>
        <w:tc>
          <w:tcPr>
            <w:tcW w:w="191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1+3</w:t>
            </w:r>
          </w:p>
        </w:tc>
        <w:tc>
          <w:tcPr>
            <w:tcW w:w="209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7048E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126</w:t>
            </w:r>
            <w:r>
              <w:rPr>
                <w:rFonts w:ascii="Times New Roman" w:hAnsi="Times New Roman"/>
                <w:color w:val="000000"/>
              </w:rPr>
              <w:t>±4,0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H</w:t>
            </w:r>
          </w:p>
        </w:tc>
        <w:tc>
          <w:tcPr>
            <w:tcW w:w="233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165</w:t>
            </w:r>
            <w:r>
              <w:rPr>
                <w:rFonts w:ascii="Times New Roman" w:hAnsi="Times New Roman"/>
                <w:color w:val="000000"/>
              </w:rPr>
              <w:t>±12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I</w:t>
            </w:r>
          </w:p>
        </w:tc>
        <w:tc>
          <w:tcPr>
            <w:tcW w:w="239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443</w:t>
            </w:r>
            <w:r>
              <w:rPr>
                <w:rFonts w:ascii="Times New Roman" w:hAnsi="Times New Roman"/>
                <w:color w:val="000000"/>
              </w:rPr>
              <w:t>±7,0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</w:tr>
      <w:tr w:rsidR="003E6909" w:rsidRPr="00C45826" w:rsidTr="00A41521">
        <w:trPr>
          <w:trHeight w:val="161"/>
          <w:jc w:val="center"/>
        </w:trPr>
        <w:tc>
          <w:tcPr>
            <w:tcW w:w="1910" w:type="dxa"/>
            <w:noWrap/>
            <w:hideMark/>
          </w:tcPr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1+4</w:t>
            </w:r>
          </w:p>
        </w:tc>
        <w:tc>
          <w:tcPr>
            <w:tcW w:w="2093" w:type="dxa"/>
            <w:noWrap/>
            <w:hideMark/>
          </w:tcPr>
          <w:p w:rsidR="003E6909" w:rsidRPr="007048E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751</w:t>
            </w:r>
            <w:r>
              <w:rPr>
                <w:rFonts w:ascii="Times New Roman" w:hAnsi="Times New Roman"/>
                <w:color w:val="000000"/>
              </w:rPr>
              <w:t>±18,7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  <w:tc>
          <w:tcPr>
            <w:tcW w:w="2333" w:type="dxa"/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441</w:t>
            </w:r>
            <w:r>
              <w:rPr>
                <w:rFonts w:ascii="Times New Roman" w:hAnsi="Times New Roman"/>
                <w:color w:val="000000"/>
              </w:rPr>
              <w:t>±12,5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H</w:t>
            </w:r>
          </w:p>
        </w:tc>
        <w:tc>
          <w:tcPr>
            <w:tcW w:w="2390" w:type="dxa"/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374</w:t>
            </w:r>
            <w:r>
              <w:rPr>
                <w:rFonts w:ascii="Times New Roman" w:hAnsi="Times New Roman"/>
                <w:color w:val="000000"/>
              </w:rPr>
              <w:t>±7,1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F</w:t>
            </w:r>
          </w:p>
        </w:tc>
      </w:tr>
      <w:tr w:rsidR="003E6909" w:rsidRPr="00C45826" w:rsidTr="00A41521">
        <w:trPr>
          <w:trHeight w:val="202"/>
          <w:jc w:val="center"/>
        </w:trPr>
        <w:tc>
          <w:tcPr>
            <w:tcW w:w="191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2+3</w:t>
            </w:r>
          </w:p>
        </w:tc>
        <w:tc>
          <w:tcPr>
            <w:tcW w:w="209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7048E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667</w:t>
            </w:r>
            <w:r>
              <w:rPr>
                <w:rFonts w:ascii="Times New Roman" w:hAnsi="Times New Roman"/>
                <w:color w:val="000000"/>
              </w:rPr>
              <w:t>±9,1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233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696</w:t>
            </w:r>
            <w:r>
              <w:rPr>
                <w:rFonts w:ascii="Times New Roman" w:hAnsi="Times New Roman"/>
                <w:color w:val="000000"/>
              </w:rPr>
              <w:t>±13,6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  <w:tc>
          <w:tcPr>
            <w:tcW w:w="239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/>
              </w:rPr>
              <w:t>716</w:t>
            </w:r>
            <w:r>
              <w:rPr>
                <w:rFonts w:ascii="Times New Roman" w:hAnsi="Times New Roman"/>
                <w:color w:val="000000"/>
              </w:rPr>
              <w:t>±10,3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</w:tr>
      <w:tr w:rsidR="003E6909" w:rsidRPr="00C45826" w:rsidTr="00A41521">
        <w:trPr>
          <w:trHeight w:val="202"/>
          <w:jc w:val="center"/>
        </w:trPr>
        <w:tc>
          <w:tcPr>
            <w:tcW w:w="1910" w:type="dxa"/>
            <w:noWrap/>
            <w:hideMark/>
          </w:tcPr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2+4</w:t>
            </w:r>
          </w:p>
        </w:tc>
        <w:tc>
          <w:tcPr>
            <w:tcW w:w="2093" w:type="dxa"/>
            <w:noWrap/>
            <w:hideMark/>
          </w:tcPr>
          <w:p w:rsidR="003E6909" w:rsidRPr="007048E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842</w:t>
            </w:r>
            <w:r>
              <w:rPr>
                <w:rFonts w:ascii="Times New Roman" w:hAnsi="Times New Roman"/>
                <w:color w:val="000000"/>
              </w:rPr>
              <w:t>±17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2333" w:type="dxa"/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837</w:t>
            </w:r>
            <w:r>
              <w:rPr>
                <w:rFonts w:ascii="Times New Roman" w:hAnsi="Times New Roman"/>
                <w:color w:val="000000"/>
              </w:rPr>
              <w:t>±19,1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  <w:tc>
          <w:tcPr>
            <w:tcW w:w="2390" w:type="dxa"/>
            <w:noWrap/>
            <w:hideMark/>
          </w:tcPr>
          <w:p w:rsidR="003E6909" w:rsidRPr="00B450F2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723</w:t>
            </w:r>
            <w:r>
              <w:rPr>
                <w:rFonts w:ascii="Times New Roman" w:hAnsi="Times New Roman"/>
                <w:color w:val="000000"/>
              </w:rPr>
              <w:t>±8,3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</w:tr>
      <w:tr w:rsidR="003E6909" w:rsidRPr="00C45826" w:rsidTr="00A41521">
        <w:trPr>
          <w:trHeight w:val="202"/>
          <w:jc w:val="center"/>
        </w:trPr>
        <w:tc>
          <w:tcPr>
            <w:tcW w:w="191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3+4</w:t>
            </w:r>
          </w:p>
        </w:tc>
        <w:tc>
          <w:tcPr>
            <w:tcW w:w="209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7048E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529</w:t>
            </w:r>
            <w:r>
              <w:rPr>
                <w:rFonts w:ascii="Times New Roman" w:hAnsi="Times New Roman"/>
                <w:color w:val="000000"/>
              </w:rPr>
              <w:t>±3,2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F</w:t>
            </w:r>
          </w:p>
        </w:tc>
        <w:tc>
          <w:tcPr>
            <w:tcW w:w="233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628</w:t>
            </w:r>
            <w:r>
              <w:rPr>
                <w:rFonts w:ascii="Times New Roman" w:hAnsi="Times New Roman"/>
                <w:color w:val="000000"/>
              </w:rPr>
              <w:t>±15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  <w:tc>
          <w:tcPr>
            <w:tcW w:w="239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B450F2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517</w:t>
            </w:r>
            <w:r>
              <w:rPr>
                <w:rFonts w:ascii="Times New Roman" w:hAnsi="Times New Roman"/>
                <w:color w:val="000000"/>
              </w:rPr>
              <w:t>±9,0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</w:tr>
      <w:tr w:rsidR="003E6909" w:rsidRPr="00C45826" w:rsidTr="00A41521">
        <w:trPr>
          <w:trHeight w:val="202"/>
          <w:jc w:val="center"/>
        </w:trPr>
        <w:tc>
          <w:tcPr>
            <w:tcW w:w="1910" w:type="dxa"/>
            <w:noWrap/>
            <w:hideMark/>
          </w:tcPr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1+2+3</w:t>
            </w:r>
          </w:p>
        </w:tc>
        <w:tc>
          <w:tcPr>
            <w:tcW w:w="2093" w:type="dxa"/>
            <w:noWrap/>
            <w:hideMark/>
          </w:tcPr>
          <w:p w:rsidR="003E6909" w:rsidRPr="007048E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680</w:t>
            </w:r>
            <w:r>
              <w:rPr>
                <w:rFonts w:ascii="Times New Roman" w:hAnsi="Times New Roman"/>
                <w:color w:val="000000"/>
              </w:rPr>
              <w:t>±17,6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2333" w:type="dxa"/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742</w:t>
            </w:r>
            <w:r>
              <w:rPr>
                <w:rFonts w:ascii="Times New Roman" w:hAnsi="Times New Roman"/>
                <w:color w:val="000000"/>
              </w:rPr>
              <w:t>±11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  <w:tc>
          <w:tcPr>
            <w:tcW w:w="2390" w:type="dxa"/>
            <w:noWrap/>
            <w:hideMark/>
          </w:tcPr>
          <w:p w:rsidR="003E6909" w:rsidRPr="00B450F2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627</w:t>
            </w:r>
            <w:r>
              <w:rPr>
                <w:rFonts w:ascii="Times New Roman" w:hAnsi="Times New Roman"/>
                <w:color w:val="000000"/>
              </w:rPr>
              <w:t>±9,6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B</w:t>
            </w:r>
          </w:p>
        </w:tc>
      </w:tr>
      <w:tr w:rsidR="003E6909" w:rsidRPr="00C45826" w:rsidTr="00A41521">
        <w:trPr>
          <w:trHeight w:val="202"/>
          <w:jc w:val="center"/>
        </w:trPr>
        <w:tc>
          <w:tcPr>
            <w:tcW w:w="191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1+2+4</w:t>
            </w:r>
          </w:p>
        </w:tc>
        <w:tc>
          <w:tcPr>
            <w:tcW w:w="209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7048E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616</w:t>
            </w:r>
            <w:r>
              <w:rPr>
                <w:rFonts w:ascii="Times New Roman" w:hAnsi="Times New Roman"/>
                <w:color w:val="000000"/>
              </w:rPr>
              <w:t>±15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  <w:tc>
          <w:tcPr>
            <w:tcW w:w="233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702</w:t>
            </w:r>
            <w:r>
              <w:rPr>
                <w:rFonts w:ascii="Times New Roman" w:hAnsi="Times New Roman"/>
                <w:color w:val="000000"/>
              </w:rPr>
              <w:t>±11,5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  <w:tc>
          <w:tcPr>
            <w:tcW w:w="239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B450F2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528</w:t>
            </w:r>
            <w:r>
              <w:rPr>
                <w:rFonts w:ascii="Times New Roman" w:hAnsi="Times New Roman"/>
                <w:color w:val="000000"/>
              </w:rPr>
              <w:t>±9,5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</w:tr>
      <w:tr w:rsidR="003E6909" w:rsidRPr="00C45826" w:rsidTr="00A41521">
        <w:trPr>
          <w:trHeight w:val="202"/>
          <w:jc w:val="center"/>
        </w:trPr>
        <w:tc>
          <w:tcPr>
            <w:tcW w:w="1910" w:type="dxa"/>
            <w:noWrap/>
            <w:hideMark/>
          </w:tcPr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2+3+4</w:t>
            </w:r>
          </w:p>
        </w:tc>
        <w:tc>
          <w:tcPr>
            <w:tcW w:w="2093" w:type="dxa"/>
            <w:noWrap/>
            <w:hideMark/>
          </w:tcPr>
          <w:p w:rsidR="003E6909" w:rsidRPr="007048E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591</w:t>
            </w:r>
            <w:r>
              <w:rPr>
                <w:rFonts w:ascii="Times New Roman" w:hAnsi="Times New Roman"/>
                <w:color w:val="000000"/>
              </w:rPr>
              <w:t>±10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ED</w:t>
            </w:r>
          </w:p>
        </w:tc>
        <w:tc>
          <w:tcPr>
            <w:tcW w:w="2333" w:type="dxa"/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588</w:t>
            </w:r>
            <w:r>
              <w:rPr>
                <w:rFonts w:ascii="Times New Roman" w:hAnsi="Times New Roman"/>
                <w:color w:val="000000"/>
              </w:rPr>
              <w:t>±11,5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F</w:t>
            </w:r>
          </w:p>
        </w:tc>
        <w:tc>
          <w:tcPr>
            <w:tcW w:w="2390" w:type="dxa"/>
            <w:noWrap/>
            <w:hideMark/>
          </w:tcPr>
          <w:p w:rsidR="003E6909" w:rsidRPr="00B450F2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729</w:t>
            </w:r>
            <w:r>
              <w:rPr>
                <w:rFonts w:ascii="Times New Roman" w:hAnsi="Times New Roman"/>
                <w:color w:val="000000"/>
              </w:rPr>
              <w:t>±9,8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A</w:t>
            </w:r>
          </w:p>
        </w:tc>
      </w:tr>
      <w:tr w:rsidR="003E6909" w:rsidRPr="00C45826" w:rsidTr="00A41521">
        <w:trPr>
          <w:trHeight w:val="161"/>
          <w:jc w:val="center"/>
        </w:trPr>
        <w:tc>
          <w:tcPr>
            <w:tcW w:w="191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3+4+1</w:t>
            </w:r>
          </w:p>
        </w:tc>
        <w:tc>
          <w:tcPr>
            <w:tcW w:w="209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621</w:t>
            </w:r>
            <w:r>
              <w:rPr>
                <w:rFonts w:ascii="Times New Roman" w:hAnsi="Times New Roman"/>
                <w:color w:val="000000"/>
              </w:rPr>
              <w:t>±12,5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  <w:tc>
          <w:tcPr>
            <w:tcW w:w="233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507</w:t>
            </w:r>
            <w:r>
              <w:rPr>
                <w:rFonts w:ascii="Times New Roman" w:hAnsi="Times New Roman"/>
                <w:color w:val="000000"/>
              </w:rPr>
              <w:t>±10,1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G</w:t>
            </w:r>
          </w:p>
        </w:tc>
        <w:tc>
          <w:tcPr>
            <w:tcW w:w="239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B450F2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464</w:t>
            </w:r>
            <w:r>
              <w:rPr>
                <w:rFonts w:ascii="Times New Roman" w:hAnsi="Times New Roman"/>
                <w:color w:val="000000"/>
              </w:rPr>
              <w:t>±7,8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E</w:t>
            </w:r>
          </w:p>
        </w:tc>
      </w:tr>
      <w:tr w:rsidR="003E6909" w:rsidRPr="00C45826" w:rsidTr="00A41521">
        <w:trPr>
          <w:trHeight w:val="161"/>
          <w:jc w:val="center"/>
        </w:trPr>
        <w:tc>
          <w:tcPr>
            <w:tcW w:w="1910" w:type="dxa"/>
            <w:noWrap/>
            <w:hideMark/>
          </w:tcPr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2093" w:type="dxa"/>
            <w:noWrap/>
            <w:hideMark/>
          </w:tcPr>
          <w:p w:rsidR="003E6909" w:rsidRPr="007048E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117</w:t>
            </w:r>
            <w:r>
              <w:rPr>
                <w:rFonts w:ascii="Times New Roman" w:hAnsi="Times New Roman"/>
                <w:color w:val="000000"/>
              </w:rPr>
              <w:t>±9,1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H</w:t>
            </w:r>
          </w:p>
        </w:tc>
        <w:tc>
          <w:tcPr>
            <w:tcW w:w="2333" w:type="dxa"/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142</w:t>
            </w:r>
            <w:r>
              <w:rPr>
                <w:rFonts w:ascii="Times New Roman" w:hAnsi="Times New Roman"/>
                <w:color w:val="000000"/>
              </w:rPr>
              <w:t>±12,5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JI</w:t>
            </w:r>
          </w:p>
        </w:tc>
        <w:tc>
          <w:tcPr>
            <w:tcW w:w="2390" w:type="dxa"/>
            <w:noWrap/>
            <w:hideMark/>
          </w:tcPr>
          <w:p w:rsidR="003E6909" w:rsidRPr="00B450F2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201</w:t>
            </w:r>
            <w:r>
              <w:rPr>
                <w:rFonts w:ascii="Times New Roman" w:hAnsi="Times New Roman"/>
                <w:color w:val="000000"/>
              </w:rPr>
              <w:t>±8,5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G</w:t>
            </w:r>
          </w:p>
        </w:tc>
      </w:tr>
      <w:tr w:rsidR="003E6909" w:rsidRPr="00C45826" w:rsidTr="00A41521">
        <w:trPr>
          <w:trHeight w:val="161"/>
          <w:jc w:val="center"/>
        </w:trPr>
        <w:tc>
          <w:tcPr>
            <w:tcW w:w="191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209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7048E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557</w:t>
            </w:r>
            <w:r>
              <w:rPr>
                <w:rFonts w:ascii="Times New Roman" w:hAnsi="Times New Roman"/>
                <w:color w:val="000000"/>
              </w:rPr>
              <w:t>±18,5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EF</w:t>
            </w:r>
          </w:p>
        </w:tc>
        <w:tc>
          <w:tcPr>
            <w:tcW w:w="233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416</w:t>
            </w:r>
            <w:r>
              <w:rPr>
                <w:rFonts w:ascii="Times New Roman" w:hAnsi="Times New Roman"/>
                <w:color w:val="000000"/>
              </w:rPr>
              <w:t>±15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H</w:t>
            </w:r>
          </w:p>
        </w:tc>
        <w:tc>
          <w:tcPr>
            <w:tcW w:w="239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B450F2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593</w:t>
            </w:r>
            <w:r>
              <w:rPr>
                <w:rFonts w:ascii="Times New Roman" w:hAnsi="Times New Roman"/>
                <w:color w:val="000000"/>
              </w:rPr>
              <w:t>±6,5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C</w:t>
            </w:r>
          </w:p>
        </w:tc>
      </w:tr>
      <w:tr w:rsidR="003E6909" w:rsidRPr="00C45826" w:rsidTr="00A41521">
        <w:trPr>
          <w:trHeight w:val="161"/>
          <w:jc w:val="center"/>
        </w:trPr>
        <w:tc>
          <w:tcPr>
            <w:tcW w:w="1910" w:type="dxa"/>
            <w:noWrap/>
            <w:hideMark/>
          </w:tcPr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2093" w:type="dxa"/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144</w:t>
            </w:r>
            <w:r>
              <w:rPr>
                <w:rFonts w:ascii="Times New Roman" w:hAnsi="Times New Roman"/>
                <w:color w:val="000000"/>
              </w:rPr>
              <w:t>±17,9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H</w:t>
            </w:r>
          </w:p>
        </w:tc>
        <w:tc>
          <w:tcPr>
            <w:tcW w:w="2333" w:type="dxa"/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118</w:t>
            </w:r>
            <w:r>
              <w:rPr>
                <w:rFonts w:ascii="Times New Roman" w:hAnsi="Times New Roman"/>
                <w:color w:val="000000"/>
              </w:rPr>
              <w:t>±5,1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J</w:t>
            </w:r>
          </w:p>
        </w:tc>
        <w:tc>
          <w:tcPr>
            <w:tcW w:w="2390" w:type="dxa"/>
            <w:noWrap/>
            <w:hideMark/>
          </w:tcPr>
          <w:p w:rsidR="003E6909" w:rsidRPr="00B450F2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166</w:t>
            </w:r>
            <w:r>
              <w:rPr>
                <w:rFonts w:ascii="Times New Roman" w:hAnsi="Times New Roman"/>
                <w:color w:val="000000"/>
              </w:rPr>
              <w:t>±10,5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H</w:t>
            </w:r>
          </w:p>
        </w:tc>
      </w:tr>
      <w:tr w:rsidR="003E6909" w:rsidRPr="00C45826" w:rsidTr="00A41521">
        <w:trPr>
          <w:trHeight w:val="161"/>
          <w:jc w:val="center"/>
        </w:trPr>
        <w:tc>
          <w:tcPr>
            <w:tcW w:w="191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C4582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C45826"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209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7048E6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468</w:t>
            </w:r>
            <w:r>
              <w:rPr>
                <w:rFonts w:ascii="Times New Roman" w:hAnsi="Times New Roman"/>
                <w:color w:val="000000"/>
              </w:rPr>
              <w:t>±17,5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G</w:t>
            </w:r>
          </w:p>
        </w:tc>
        <w:tc>
          <w:tcPr>
            <w:tcW w:w="2333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104F9A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413</w:t>
            </w:r>
            <w:r>
              <w:rPr>
                <w:rFonts w:ascii="Times New Roman" w:hAnsi="Times New Roman"/>
                <w:color w:val="000000"/>
              </w:rPr>
              <w:t>±3,5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H</w:t>
            </w:r>
          </w:p>
        </w:tc>
        <w:tc>
          <w:tcPr>
            <w:tcW w:w="2390" w:type="dxa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:rsidR="003E6909" w:rsidRPr="00B450F2" w:rsidRDefault="003E6909" w:rsidP="00A41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es-ES"/>
              </w:rPr>
            </w:pPr>
            <w:r w:rsidRPr="00C45826">
              <w:rPr>
                <w:rFonts w:ascii="Times New Roman" w:hAnsi="Times New Roman"/>
                <w:sz w:val="24"/>
                <w:szCs w:val="24"/>
                <w:lang w:eastAsia="es-ES"/>
              </w:rPr>
              <w:t>535</w:t>
            </w:r>
            <w:r>
              <w:rPr>
                <w:rFonts w:ascii="Times New Roman" w:hAnsi="Times New Roman"/>
                <w:color w:val="000000"/>
              </w:rPr>
              <w:t>±9,0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D</w:t>
            </w:r>
          </w:p>
        </w:tc>
      </w:tr>
    </w:tbl>
    <w:p w:rsidR="003E6909" w:rsidRPr="003E6909" w:rsidRDefault="003E6909" w:rsidP="003E6909">
      <w:pPr>
        <w:pStyle w:val="Prrafodelista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E6909">
        <w:rPr>
          <w:rFonts w:ascii="Times New Roman" w:hAnsi="Times New Roman"/>
          <w:i/>
          <w:iCs/>
          <w:sz w:val="20"/>
          <w:szCs w:val="20"/>
        </w:rPr>
        <w:t xml:space="preserve">1. </w:t>
      </w:r>
      <w:proofErr w:type="spellStart"/>
      <w:r w:rsidRPr="003E6909">
        <w:rPr>
          <w:rFonts w:ascii="Times New Roman" w:hAnsi="Times New Roman"/>
          <w:i/>
          <w:iCs/>
          <w:sz w:val="20"/>
          <w:szCs w:val="20"/>
        </w:rPr>
        <w:t>Burkholderia</w:t>
      </w:r>
      <w:proofErr w:type="spellEnd"/>
      <w:r w:rsidRPr="003E6909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3E6909">
        <w:rPr>
          <w:rFonts w:ascii="Times New Roman" w:hAnsi="Times New Roman"/>
          <w:i/>
          <w:iCs/>
          <w:sz w:val="20"/>
          <w:szCs w:val="20"/>
        </w:rPr>
        <w:t>cepacia</w:t>
      </w:r>
      <w:proofErr w:type="spellEnd"/>
      <w:r w:rsidRPr="003E6909">
        <w:rPr>
          <w:rFonts w:ascii="Times New Roman" w:hAnsi="Times New Roman"/>
          <w:i/>
          <w:iCs/>
          <w:sz w:val="20"/>
          <w:szCs w:val="20"/>
        </w:rPr>
        <w:t xml:space="preserve">, 2. </w:t>
      </w:r>
      <w:proofErr w:type="spellStart"/>
      <w:r w:rsidRPr="003E6909">
        <w:rPr>
          <w:rFonts w:ascii="Times New Roman" w:hAnsi="Times New Roman"/>
          <w:i/>
          <w:iCs/>
          <w:sz w:val="20"/>
          <w:szCs w:val="20"/>
        </w:rPr>
        <w:t>Pantoea</w:t>
      </w:r>
      <w:proofErr w:type="spellEnd"/>
      <w:r w:rsidRPr="003E6909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0"/>
          <w:szCs w:val="20"/>
        </w:rPr>
        <w:t>sp</w:t>
      </w:r>
      <w:proofErr w:type="spellEnd"/>
      <w:r w:rsidRPr="003E6909">
        <w:rPr>
          <w:rFonts w:ascii="Times New Roman" w:hAnsi="Times New Roman"/>
          <w:i/>
          <w:iCs/>
          <w:sz w:val="20"/>
          <w:szCs w:val="20"/>
        </w:rPr>
        <w:t xml:space="preserve">, 3.Pseudomona </w:t>
      </w:r>
      <w:proofErr w:type="spellStart"/>
      <w:r w:rsidRPr="003E6909">
        <w:rPr>
          <w:rFonts w:ascii="Times New Roman" w:hAnsi="Times New Roman"/>
          <w:i/>
          <w:iCs/>
          <w:sz w:val="20"/>
          <w:szCs w:val="20"/>
        </w:rPr>
        <w:t>luteola</w:t>
      </w:r>
      <w:proofErr w:type="spellEnd"/>
      <w:r w:rsidRPr="003E6909">
        <w:rPr>
          <w:rFonts w:ascii="Times New Roman" w:hAnsi="Times New Roman"/>
          <w:i/>
          <w:iCs/>
          <w:sz w:val="20"/>
          <w:szCs w:val="20"/>
        </w:rPr>
        <w:t xml:space="preserve">, 4. </w:t>
      </w:r>
      <w:proofErr w:type="spellStart"/>
      <w:r w:rsidRPr="003E6909">
        <w:rPr>
          <w:rFonts w:ascii="Times New Roman" w:hAnsi="Times New Roman"/>
          <w:i/>
          <w:iCs/>
          <w:sz w:val="20"/>
          <w:szCs w:val="20"/>
        </w:rPr>
        <w:t>Pseudomona</w:t>
      </w:r>
      <w:proofErr w:type="spellEnd"/>
      <w:r w:rsidRPr="003E6909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0"/>
          <w:szCs w:val="20"/>
        </w:rPr>
        <w:t>sp</w:t>
      </w:r>
      <w:proofErr w:type="spellEnd"/>
      <w:r w:rsidRPr="003E6909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Pr="003E6909">
        <w:rPr>
          <w:rFonts w:ascii="Times New Roman" w:hAnsi="Times New Roman"/>
          <w:iCs/>
          <w:sz w:val="20"/>
          <w:szCs w:val="20"/>
        </w:rPr>
        <w:t>Concentración en partes por millón (</w:t>
      </w:r>
      <w:r w:rsidRPr="003E6909">
        <w:rPr>
          <w:rFonts w:ascii="Times New Roman" w:hAnsi="Times New Roman"/>
          <w:bCs/>
          <w:sz w:val="20"/>
          <w:szCs w:val="20"/>
          <w:lang w:eastAsia="es-ES"/>
        </w:rPr>
        <w:t>[] en PPM</w:t>
      </w:r>
      <w:r w:rsidRPr="003E6909">
        <w:rPr>
          <w:rFonts w:ascii="Times New Roman" w:hAnsi="Times New Roman"/>
          <w:iCs/>
          <w:sz w:val="20"/>
          <w:szCs w:val="20"/>
        </w:rPr>
        <w:t xml:space="preserve">), a. </w:t>
      </w:r>
      <w:r w:rsidRPr="003E6909">
        <w:rPr>
          <w:rFonts w:ascii="Times New Roman" w:eastAsia="Arial Unicode MS" w:hAnsi="Times New Roman"/>
          <w:sz w:val="20"/>
          <w:szCs w:val="20"/>
          <w:shd w:val="clear" w:color="auto" w:fill="FFFFFF"/>
        </w:rPr>
        <w:t>Medias aritméticas ± desviación estándar de experimentos por triplicado. Los valores seguidos con letras superíndices distintas indican diferencias significativas (</w:t>
      </w:r>
      <w:r w:rsidRPr="003E6909">
        <w:rPr>
          <w:rStyle w:val="nfasis"/>
          <w:rFonts w:ascii="Times New Roman" w:eastAsia="Arial Unicode MS" w:hAnsi="Times New Roman"/>
          <w:sz w:val="20"/>
          <w:szCs w:val="20"/>
          <w:bdr w:val="none" w:sz="0" w:space="0" w:color="auto" w:frame="1"/>
          <w:shd w:val="clear" w:color="auto" w:fill="FFFFFF"/>
        </w:rPr>
        <w:t>p</w:t>
      </w:r>
      <w:r w:rsidRPr="003E6909">
        <w:rPr>
          <w:rStyle w:val="apple-converted-space"/>
          <w:rFonts w:ascii="Times New Roman" w:eastAsia="Arial Unicode MS" w:hAnsi="Times New Roman"/>
          <w:sz w:val="20"/>
          <w:szCs w:val="20"/>
          <w:shd w:val="clear" w:color="auto" w:fill="FFFFFF"/>
        </w:rPr>
        <w:t> </w:t>
      </w:r>
      <w:r w:rsidRPr="003E6909">
        <w:rPr>
          <w:rFonts w:ascii="Times New Roman" w:eastAsia="Arial Unicode MS" w:hAnsi="Times New Roman"/>
          <w:sz w:val="20"/>
          <w:szCs w:val="20"/>
          <w:shd w:val="clear" w:color="auto" w:fill="FFFFFF"/>
        </w:rPr>
        <w:t xml:space="preserve">&lt; 0,05) según </w:t>
      </w:r>
      <w:proofErr w:type="spellStart"/>
      <w:r w:rsidRPr="003E6909">
        <w:rPr>
          <w:rFonts w:ascii="Times New Roman" w:eastAsia="Arial Unicode MS" w:hAnsi="Times New Roman"/>
          <w:sz w:val="20"/>
          <w:szCs w:val="20"/>
          <w:shd w:val="clear" w:color="auto" w:fill="FFFFFF"/>
        </w:rPr>
        <w:t>tukey</w:t>
      </w:r>
      <w:proofErr w:type="spellEnd"/>
      <w:r w:rsidRPr="003E6909">
        <w:rPr>
          <w:rFonts w:ascii="Times New Roman" w:eastAsia="Arial Unicode MS" w:hAnsi="Times New Roman"/>
          <w:sz w:val="20"/>
          <w:szCs w:val="20"/>
          <w:shd w:val="clear" w:color="auto" w:fill="FFFFFF"/>
        </w:rPr>
        <w:t>.</w:t>
      </w:r>
    </w:p>
    <w:p w:rsidR="00956A16" w:rsidRPr="003E6909" w:rsidRDefault="00956A16" w:rsidP="00956A16">
      <w:pPr>
        <w:pStyle w:val="Prrafodelista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DF708F" w:rsidRDefault="00DF708F" w:rsidP="00DF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Los resultados de la evaluación cuantitativa confirmaron que el consorcio  </w:t>
      </w:r>
      <w:r>
        <w:rPr>
          <w:rFonts w:ascii="Times New Roman" w:hAnsi="Times New Roman"/>
          <w:sz w:val="24"/>
          <w:szCs w:val="24"/>
        </w:rPr>
        <w:t xml:space="preserve">formado por </w:t>
      </w:r>
      <w:proofErr w:type="spellStart"/>
      <w:r w:rsidRPr="00C45826">
        <w:rPr>
          <w:rFonts w:ascii="Times New Roman" w:hAnsi="Times New Roman"/>
          <w:i/>
          <w:iCs/>
          <w:sz w:val="24"/>
          <w:szCs w:val="24"/>
        </w:rPr>
        <w:t>Pantoea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+ </w:t>
      </w:r>
      <w:proofErr w:type="spellStart"/>
      <w:r w:rsidRPr="00C45826">
        <w:rPr>
          <w:rFonts w:ascii="Times New Roman" w:hAnsi="Times New Roman"/>
          <w:i/>
          <w:iCs/>
          <w:sz w:val="24"/>
          <w:szCs w:val="24"/>
        </w:rPr>
        <w:t>Pseudomona</w:t>
      </w:r>
      <w:proofErr w:type="spellEnd"/>
      <w:r w:rsidRPr="00C4582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4"/>
          <w:szCs w:val="24"/>
        </w:rPr>
        <w:t>sp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45826">
        <w:rPr>
          <w:rFonts w:ascii="Times New Roman" w:hAnsi="Times New Roman"/>
          <w:iCs/>
          <w:sz w:val="24"/>
          <w:szCs w:val="24"/>
        </w:rPr>
        <w:t>a la concentración 10</w:t>
      </w:r>
      <w:r w:rsidRPr="00C45826">
        <w:rPr>
          <w:rFonts w:ascii="Times New Roman" w:hAnsi="Times New Roman"/>
          <w:iCs/>
          <w:sz w:val="24"/>
          <w:szCs w:val="24"/>
          <w:vertAlign w:val="superscript"/>
        </w:rPr>
        <w:t>8</w:t>
      </w:r>
      <w:r w:rsidRPr="00C45826">
        <w:rPr>
          <w:rFonts w:ascii="Times New Roman" w:hAnsi="Times New Roman"/>
          <w:iCs/>
          <w:sz w:val="24"/>
          <w:szCs w:val="24"/>
        </w:rPr>
        <w:t xml:space="preserve"> UFC/</w:t>
      </w:r>
      <w:proofErr w:type="spellStart"/>
      <w:r w:rsidRPr="00C45826">
        <w:rPr>
          <w:rFonts w:ascii="Times New Roman" w:hAnsi="Times New Roman"/>
          <w:iCs/>
          <w:sz w:val="24"/>
          <w:szCs w:val="24"/>
        </w:rPr>
        <w:t>mL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fue el mejor corroborando los resultados obtenidos en la evaluación cualitativa.</w:t>
      </w:r>
      <w:r w:rsidR="00BF5B34">
        <w:rPr>
          <w:rFonts w:ascii="Times New Roman" w:hAnsi="Times New Roman"/>
          <w:iCs/>
          <w:sz w:val="24"/>
          <w:szCs w:val="24"/>
        </w:rPr>
        <w:t xml:space="preserve"> Por lo anterior </w:t>
      </w:r>
      <w:r w:rsidR="004B2A4E">
        <w:rPr>
          <w:rFonts w:ascii="Times New Roman" w:hAnsi="Times New Roman"/>
          <w:iCs/>
          <w:sz w:val="24"/>
          <w:szCs w:val="24"/>
        </w:rPr>
        <w:t xml:space="preserve">el consorcio </w:t>
      </w:r>
      <w:r w:rsidR="00BF5B34">
        <w:rPr>
          <w:rFonts w:ascii="Times New Roman" w:hAnsi="Times New Roman"/>
          <w:iCs/>
          <w:sz w:val="24"/>
          <w:szCs w:val="24"/>
        </w:rPr>
        <w:t>fue escogido para el ensayo siguiente.</w:t>
      </w:r>
    </w:p>
    <w:p w:rsidR="00FA3AAB" w:rsidRDefault="00FA3AAB" w:rsidP="00191304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DE67A3" w:rsidRPr="003C7D9D" w:rsidRDefault="00DE67A3" w:rsidP="006C6AC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7D9D">
        <w:rPr>
          <w:rFonts w:ascii="Times New Roman" w:hAnsi="Times New Roman"/>
          <w:b/>
          <w:sz w:val="24"/>
          <w:szCs w:val="24"/>
        </w:rPr>
        <w:t xml:space="preserve">Ensayos en semillas de pastos </w:t>
      </w:r>
      <w:proofErr w:type="spellStart"/>
      <w:r w:rsidRPr="003C7D9D">
        <w:rPr>
          <w:rFonts w:ascii="Times New Roman" w:hAnsi="Times New Roman"/>
          <w:b/>
          <w:sz w:val="24"/>
          <w:szCs w:val="24"/>
        </w:rPr>
        <w:t>angleton</w:t>
      </w:r>
      <w:proofErr w:type="spellEnd"/>
      <w:r w:rsidRPr="003C7D9D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3C7D9D">
        <w:rPr>
          <w:rFonts w:ascii="Times New Roman" w:hAnsi="Times New Roman"/>
          <w:i/>
          <w:sz w:val="24"/>
          <w:szCs w:val="24"/>
        </w:rPr>
        <w:t>Dichantium</w:t>
      </w:r>
      <w:proofErr w:type="spellEnd"/>
      <w:r w:rsidR="00D349C1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3C7D9D">
        <w:rPr>
          <w:rFonts w:ascii="Times New Roman" w:hAnsi="Times New Roman"/>
          <w:i/>
          <w:sz w:val="24"/>
          <w:szCs w:val="24"/>
        </w:rPr>
        <w:t>aristatum</w:t>
      </w:r>
      <w:proofErr w:type="spellEnd"/>
      <w:r w:rsidRPr="003C7D9D">
        <w:rPr>
          <w:rFonts w:ascii="Times New Roman" w:hAnsi="Times New Roman"/>
          <w:b/>
          <w:sz w:val="24"/>
          <w:szCs w:val="24"/>
        </w:rPr>
        <w:t>)</w:t>
      </w:r>
    </w:p>
    <w:p w:rsidR="009833CB" w:rsidRDefault="003E7324" w:rsidP="009833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tabla 4</w:t>
      </w:r>
      <w:r w:rsidRPr="00C45826">
        <w:rPr>
          <w:rFonts w:ascii="Times New Roman" w:hAnsi="Times New Roman"/>
          <w:sz w:val="24"/>
          <w:szCs w:val="24"/>
        </w:rPr>
        <w:t xml:space="preserve"> muestra los resultados promedios de los parámetros biométricos medidos, correspond</w:t>
      </w:r>
      <w:r>
        <w:rPr>
          <w:rFonts w:ascii="Times New Roman" w:hAnsi="Times New Roman"/>
          <w:sz w:val="24"/>
          <w:szCs w:val="24"/>
        </w:rPr>
        <w:t>ientes a</w:t>
      </w:r>
      <w:r w:rsidR="009C60A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cantidad</w:t>
      </w:r>
      <w:r w:rsidRPr="00C45826">
        <w:rPr>
          <w:rFonts w:ascii="Times New Roman" w:hAnsi="Times New Roman"/>
          <w:sz w:val="24"/>
          <w:szCs w:val="24"/>
        </w:rPr>
        <w:t xml:space="preserve"> de hojas</w:t>
      </w:r>
      <w:r>
        <w:rPr>
          <w:rFonts w:ascii="Times New Roman" w:hAnsi="Times New Roman"/>
          <w:sz w:val="24"/>
          <w:szCs w:val="24"/>
        </w:rPr>
        <w:t>,  longitud de la planta</w:t>
      </w:r>
      <w:r w:rsidRPr="00C45826">
        <w:rPr>
          <w:rFonts w:ascii="Times New Roman" w:hAnsi="Times New Roman"/>
          <w:sz w:val="24"/>
          <w:szCs w:val="24"/>
        </w:rPr>
        <w:t>, área foliar, longitud de raíz principal y peso seco</w:t>
      </w:r>
      <w:r w:rsidR="00521B1B">
        <w:rPr>
          <w:rFonts w:ascii="Times New Roman" w:hAnsi="Times New Roman"/>
          <w:sz w:val="24"/>
          <w:szCs w:val="24"/>
        </w:rPr>
        <w:t xml:space="preserve"> para los diferentes tratamiento</w:t>
      </w:r>
      <w:r w:rsidR="000110FC">
        <w:rPr>
          <w:rFonts w:ascii="Times New Roman" w:hAnsi="Times New Roman"/>
          <w:sz w:val="24"/>
          <w:szCs w:val="24"/>
        </w:rPr>
        <w:t>s</w:t>
      </w:r>
      <w:r w:rsidR="00521B1B">
        <w:rPr>
          <w:rFonts w:ascii="Times New Roman" w:hAnsi="Times New Roman"/>
          <w:sz w:val="24"/>
          <w:szCs w:val="24"/>
        </w:rPr>
        <w:t>:</w:t>
      </w:r>
    </w:p>
    <w:p w:rsidR="00102341" w:rsidRDefault="00532CAD" w:rsidP="00532CAD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4003E">
        <w:rPr>
          <w:rFonts w:ascii="Times New Roman" w:hAnsi="Times New Roman"/>
          <w:b/>
          <w:sz w:val="24"/>
          <w:szCs w:val="24"/>
        </w:rPr>
        <w:t>Longitud de la planta (cm)</w:t>
      </w:r>
      <w:r w:rsidR="005E0DFB" w:rsidRPr="00C4003E">
        <w:rPr>
          <w:rFonts w:ascii="Times New Roman" w:hAnsi="Times New Roman"/>
          <w:b/>
          <w:sz w:val="24"/>
          <w:szCs w:val="24"/>
        </w:rPr>
        <w:t>.</w:t>
      </w:r>
      <w:r w:rsidRPr="003C7D9D">
        <w:rPr>
          <w:rFonts w:ascii="Times New Roman" w:hAnsi="Times New Roman"/>
          <w:b/>
          <w:sz w:val="24"/>
          <w:szCs w:val="24"/>
        </w:rPr>
        <w:t xml:space="preserve"> </w:t>
      </w:r>
      <w:r w:rsidR="005E0DFB">
        <w:rPr>
          <w:rFonts w:ascii="Times New Roman" w:hAnsi="Times New Roman"/>
          <w:sz w:val="24"/>
          <w:szCs w:val="24"/>
        </w:rPr>
        <w:t>E</w:t>
      </w:r>
      <w:r w:rsidR="00706D57" w:rsidRPr="00706D57">
        <w:rPr>
          <w:rFonts w:ascii="Times New Roman" w:hAnsi="Times New Roman"/>
          <w:sz w:val="24"/>
          <w:szCs w:val="24"/>
        </w:rPr>
        <w:t xml:space="preserve">stadísticamente no se </w:t>
      </w:r>
      <w:r w:rsidR="00706D57">
        <w:rPr>
          <w:rFonts w:ascii="Times New Roman" w:hAnsi="Times New Roman"/>
          <w:sz w:val="24"/>
          <w:szCs w:val="24"/>
        </w:rPr>
        <w:t>present</w:t>
      </w:r>
      <w:r w:rsidR="00B47784">
        <w:rPr>
          <w:rFonts w:ascii="Times New Roman" w:hAnsi="Times New Roman"/>
          <w:sz w:val="24"/>
          <w:szCs w:val="24"/>
        </w:rPr>
        <w:t>aron</w:t>
      </w:r>
      <w:r w:rsidR="00706D57" w:rsidRPr="00706D57">
        <w:rPr>
          <w:rFonts w:ascii="Times New Roman" w:hAnsi="Times New Roman"/>
          <w:sz w:val="24"/>
          <w:szCs w:val="24"/>
        </w:rPr>
        <w:t xml:space="preserve"> </w:t>
      </w:r>
      <w:r w:rsidR="00706D57" w:rsidRPr="003C7D9D">
        <w:rPr>
          <w:rFonts w:ascii="Times New Roman" w:hAnsi="Times New Roman"/>
          <w:sz w:val="24"/>
          <w:szCs w:val="24"/>
        </w:rPr>
        <w:t>diferencia</w:t>
      </w:r>
      <w:r w:rsidR="00830A59">
        <w:rPr>
          <w:rFonts w:ascii="Times New Roman" w:hAnsi="Times New Roman"/>
          <w:sz w:val="24"/>
          <w:szCs w:val="24"/>
        </w:rPr>
        <w:t>s</w:t>
      </w:r>
      <w:r w:rsidR="00706D57" w:rsidRPr="003C7D9D">
        <w:rPr>
          <w:rFonts w:ascii="Times New Roman" w:hAnsi="Times New Roman"/>
          <w:sz w:val="24"/>
          <w:szCs w:val="24"/>
        </w:rPr>
        <w:t xml:space="preserve"> significativa</w:t>
      </w:r>
      <w:r w:rsidR="00830A59">
        <w:rPr>
          <w:rFonts w:ascii="Times New Roman" w:hAnsi="Times New Roman"/>
          <w:sz w:val="24"/>
          <w:szCs w:val="24"/>
        </w:rPr>
        <w:t>s</w:t>
      </w:r>
      <w:r w:rsidR="00706D57">
        <w:rPr>
          <w:rFonts w:ascii="Times New Roman" w:hAnsi="Times New Roman"/>
          <w:sz w:val="24"/>
          <w:szCs w:val="24"/>
        </w:rPr>
        <w:t xml:space="preserve"> entre los tratamientos, durante los días 21 y 35;</w:t>
      </w:r>
      <w:r w:rsidR="00706D57">
        <w:rPr>
          <w:rFonts w:ascii="Times New Roman" w:hAnsi="Times New Roman"/>
          <w:b/>
          <w:sz w:val="24"/>
          <w:szCs w:val="24"/>
        </w:rPr>
        <w:t xml:space="preserve"> </w:t>
      </w:r>
      <w:r w:rsidR="00706D57">
        <w:rPr>
          <w:rFonts w:ascii="Times New Roman" w:hAnsi="Times New Roman"/>
          <w:sz w:val="24"/>
          <w:szCs w:val="24"/>
        </w:rPr>
        <w:t>s</w:t>
      </w:r>
      <w:r w:rsidR="00706D57" w:rsidRPr="00706D57">
        <w:rPr>
          <w:rFonts w:ascii="Times New Roman" w:hAnsi="Times New Roman"/>
          <w:sz w:val="24"/>
          <w:szCs w:val="24"/>
        </w:rPr>
        <w:t>in embargo</w:t>
      </w:r>
      <w:r w:rsidR="00706D57">
        <w:rPr>
          <w:rFonts w:ascii="Times New Roman" w:hAnsi="Times New Roman"/>
          <w:b/>
          <w:sz w:val="24"/>
          <w:szCs w:val="24"/>
        </w:rPr>
        <w:t xml:space="preserve"> </w:t>
      </w:r>
      <w:r w:rsidR="00706D57">
        <w:rPr>
          <w:rFonts w:ascii="Times New Roman" w:hAnsi="Times New Roman"/>
          <w:sz w:val="24"/>
          <w:szCs w:val="24"/>
        </w:rPr>
        <w:t>s</w:t>
      </w:r>
      <w:r w:rsidRPr="003C7D9D">
        <w:rPr>
          <w:rFonts w:ascii="Times New Roman" w:hAnsi="Times New Roman"/>
          <w:sz w:val="24"/>
          <w:szCs w:val="24"/>
        </w:rPr>
        <w:t xml:space="preserve">e evidenció mayor longitud para T3 y T2 </w:t>
      </w:r>
      <w:r w:rsidR="00F537ED">
        <w:rPr>
          <w:rFonts w:ascii="Times New Roman" w:hAnsi="Times New Roman"/>
          <w:sz w:val="24"/>
          <w:szCs w:val="24"/>
        </w:rPr>
        <w:t>(</w:t>
      </w:r>
      <w:r w:rsidR="00F537ED" w:rsidRPr="003C7D9D">
        <w:rPr>
          <w:rFonts w:ascii="Times New Roman" w:hAnsi="Times New Roman"/>
          <w:sz w:val="24"/>
          <w:szCs w:val="24"/>
        </w:rPr>
        <w:t>45</w:t>
      </w:r>
      <w:r w:rsidR="00F537ED">
        <w:rPr>
          <w:rFonts w:ascii="Times New Roman" w:hAnsi="Times New Roman"/>
          <w:sz w:val="24"/>
          <w:szCs w:val="24"/>
        </w:rPr>
        <w:t xml:space="preserve">y </w:t>
      </w:r>
      <w:r w:rsidR="00F537ED" w:rsidRPr="003C7D9D">
        <w:rPr>
          <w:rFonts w:ascii="Times New Roman" w:hAnsi="Times New Roman"/>
          <w:sz w:val="24"/>
          <w:szCs w:val="24"/>
        </w:rPr>
        <w:t>38 cm</w:t>
      </w:r>
      <w:r w:rsidR="00F537ED">
        <w:rPr>
          <w:rFonts w:ascii="Times New Roman" w:hAnsi="Times New Roman"/>
          <w:sz w:val="24"/>
          <w:szCs w:val="24"/>
        </w:rPr>
        <w:t xml:space="preserve"> respectivamente) </w:t>
      </w:r>
      <w:r w:rsidR="00811B83">
        <w:rPr>
          <w:rFonts w:ascii="Times New Roman" w:hAnsi="Times New Roman"/>
          <w:sz w:val="24"/>
          <w:szCs w:val="24"/>
        </w:rPr>
        <w:t>en comparación</w:t>
      </w:r>
      <w:r w:rsidR="00F537ED">
        <w:rPr>
          <w:rFonts w:ascii="Times New Roman" w:hAnsi="Times New Roman"/>
          <w:sz w:val="24"/>
          <w:szCs w:val="24"/>
        </w:rPr>
        <w:t xml:space="preserve"> </w:t>
      </w:r>
      <w:r w:rsidR="00811B83">
        <w:rPr>
          <w:rFonts w:ascii="Times New Roman" w:hAnsi="Times New Roman"/>
          <w:sz w:val="24"/>
          <w:szCs w:val="24"/>
        </w:rPr>
        <w:t>con</w:t>
      </w:r>
      <w:r w:rsidR="00F537ED">
        <w:rPr>
          <w:rFonts w:ascii="Times New Roman" w:hAnsi="Times New Roman"/>
          <w:sz w:val="24"/>
          <w:szCs w:val="24"/>
        </w:rPr>
        <w:t xml:space="preserve"> T1. El </w:t>
      </w:r>
      <w:r w:rsidR="00A37A61">
        <w:rPr>
          <w:rFonts w:ascii="Times New Roman" w:hAnsi="Times New Roman"/>
          <w:sz w:val="24"/>
          <w:szCs w:val="24"/>
        </w:rPr>
        <w:t xml:space="preserve">tratamiento </w:t>
      </w:r>
      <w:r w:rsidR="00F537ED">
        <w:rPr>
          <w:rFonts w:ascii="Times New Roman" w:hAnsi="Times New Roman"/>
          <w:sz w:val="24"/>
          <w:szCs w:val="24"/>
        </w:rPr>
        <w:t xml:space="preserve">T2 ( consorcio) mostró un valor más alto que el testigo (T1) lo cual puede ser debido </w:t>
      </w:r>
      <w:r w:rsidR="00881CBB">
        <w:rPr>
          <w:rFonts w:ascii="Times New Roman" w:hAnsi="Times New Roman"/>
          <w:sz w:val="24"/>
          <w:szCs w:val="24"/>
        </w:rPr>
        <w:t xml:space="preserve">a la disponibilidad del </w:t>
      </w:r>
      <w:r w:rsidR="00F5067C">
        <w:rPr>
          <w:rFonts w:ascii="Times New Roman" w:hAnsi="Times New Roman"/>
          <w:sz w:val="24"/>
          <w:szCs w:val="24"/>
        </w:rPr>
        <w:t xml:space="preserve">fósforo </w:t>
      </w:r>
      <w:r w:rsidR="00881CBB">
        <w:rPr>
          <w:rFonts w:ascii="Times New Roman" w:hAnsi="Times New Roman"/>
          <w:sz w:val="24"/>
          <w:szCs w:val="24"/>
        </w:rPr>
        <w:t>proporciona</w:t>
      </w:r>
      <w:r w:rsidR="00506AC4">
        <w:rPr>
          <w:rFonts w:ascii="Times New Roman" w:hAnsi="Times New Roman"/>
          <w:sz w:val="24"/>
          <w:szCs w:val="24"/>
        </w:rPr>
        <w:t>do</w:t>
      </w:r>
      <w:r w:rsidR="00881CBB">
        <w:rPr>
          <w:rFonts w:ascii="Times New Roman" w:hAnsi="Times New Roman"/>
          <w:sz w:val="24"/>
          <w:szCs w:val="24"/>
        </w:rPr>
        <w:t xml:space="preserve"> por el consorcio teniendo en cuenta que éste nutriente es esencial para el </w:t>
      </w:r>
      <w:r w:rsidR="00881CBB" w:rsidRPr="003C7D9D">
        <w:rPr>
          <w:rFonts w:ascii="Times New Roman" w:hAnsi="Times New Roman"/>
          <w:sz w:val="24"/>
          <w:szCs w:val="24"/>
          <w:lang w:eastAsia="es-MX"/>
        </w:rPr>
        <w:t xml:space="preserve">desarrollo y crecimiento de las plantas </w:t>
      </w:r>
      <w:r w:rsidR="00881CBB">
        <w:rPr>
          <w:rFonts w:ascii="Times New Roman" w:hAnsi="Times New Roman"/>
          <w:sz w:val="24"/>
          <w:szCs w:val="24"/>
        </w:rPr>
        <w:t>(</w:t>
      </w:r>
      <w:proofErr w:type="spellStart"/>
      <w:r w:rsidR="00881CBB">
        <w:rPr>
          <w:rFonts w:ascii="Times New Roman" w:hAnsi="Times New Roman"/>
          <w:sz w:val="24"/>
          <w:szCs w:val="24"/>
        </w:rPr>
        <w:t>Coyne</w:t>
      </w:r>
      <w:proofErr w:type="spellEnd"/>
      <w:r w:rsidR="00881CBB">
        <w:rPr>
          <w:rFonts w:ascii="Times New Roman" w:hAnsi="Times New Roman"/>
          <w:sz w:val="24"/>
          <w:szCs w:val="24"/>
        </w:rPr>
        <w:t xml:space="preserve">, 2000); también es posible que las cepas puedan producir </w:t>
      </w:r>
      <w:r w:rsidR="00DF5EDE">
        <w:rPr>
          <w:rFonts w:ascii="Times New Roman" w:hAnsi="Times New Roman"/>
          <w:sz w:val="24"/>
          <w:szCs w:val="24"/>
        </w:rPr>
        <w:t>fitohormonas</w:t>
      </w:r>
      <w:r w:rsidR="00881CBB">
        <w:rPr>
          <w:rFonts w:ascii="Times New Roman" w:hAnsi="Times New Roman"/>
          <w:sz w:val="24"/>
          <w:szCs w:val="24"/>
        </w:rPr>
        <w:t xml:space="preserve"> de crecimiento vegetal favoreciendo el</w:t>
      </w:r>
      <w:r w:rsidR="00DF5EDE">
        <w:rPr>
          <w:rFonts w:ascii="Times New Roman" w:hAnsi="Times New Roman"/>
          <w:sz w:val="24"/>
          <w:szCs w:val="24"/>
        </w:rPr>
        <w:t xml:space="preserve"> crecimiento de la planta</w:t>
      </w:r>
      <w:r w:rsidR="008C436F" w:rsidRPr="008C436F">
        <w:rPr>
          <w:rFonts w:ascii="Times New Roman" w:hAnsi="Times New Roman"/>
          <w:sz w:val="24"/>
          <w:szCs w:val="24"/>
        </w:rPr>
        <w:t xml:space="preserve"> </w:t>
      </w:r>
      <w:r w:rsidR="008C436F">
        <w:rPr>
          <w:rFonts w:ascii="Times New Roman" w:hAnsi="Times New Roman"/>
          <w:sz w:val="24"/>
          <w:szCs w:val="24"/>
        </w:rPr>
        <w:t xml:space="preserve">puesto que </w:t>
      </w:r>
      <w:r w:rsidR="008C436F" w:rsidRPr="008C436F">
        <w:rPr>
          <w:rFonts w:ascii="Times New Roman" w:hAnsi="Times New Roman"/>
          <w:sz w:val="24"/>
          <w:szCs w:val="24"/>
        </w:rPr>
        <w:t xml:space="preserve">dentro de los géneros bacterianos que han sido reportados como productores de AIA, se encuentra </w:t>
      </w:r>
      <w:proofErr w:type="spellStart"/>
      <w:r w:rsidR="008C436F" w:rsidRPr="008C436F">
        <w:rPr>
          <w:rFonts w:ascii="Times New Roman" w:hAnsi="Times New Roman"/>
          <w:i/>
          <w:iCs/>
          <w:sz w:val="24"/>
          <w:szCs w:val="24"/>
        </w:rPr>
        <w:t>Pseudomonas</w:t>
      </w:r>
      <w:proofErr w:type="spellEnd"/>
      <w:r w:rsidR="008C436F" w:rsidRPr="008C436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C436F" w:rsidRPr="008C436F">
        <w:rPr>
          <w:rFonts w:ascii="Times New Roman" w:hAnsi="Times New Roman"/>
          <w:sz w:val="24"/>
          <w:szCs w:val="24"/>
        </w:rPr>
        <w:t>sp</w:t>
      </w:r>
      <w:r w:rsidR="008C436F" w:rsidRPr="00691D3C">
        <w:rPr>
          <w:rFonts w:ascii="PalatinoLinotype-Roman" w:hAnsi="PalatinoLinotype-Roman" w:cs="PalatinoLinotype-Roman"/>
          <w:sz w:val="20"/>
          <w:szCs w:val="20"/>
        </w:rPr>
        <w:t>.</w:t>
      </w:r>
      <w:proofErr w:type="spellEnd"/>
      <w:r w:rsidR="008C436F" w:rsidRPr="00691D3C">
        <w:rPr>
          <w:rFonts w:ascii="PalatinoLinotype-Roman" w:hAnsi="PalatinoLinotype-Roman" w:cs="PalatinoLinotype-Roman"/>
          <w:sz w:val="20"/>
          <w:szCs w:val="20"/>
        </w:rPr>
        <w:t xml:space="preserve"> </w:t>
      </w:r>
      <w:r w:rsidR="008C436F">
        <w:rPr>
          <w:rFonts w:ascii="Times New Roman" w:hAnsi="Times New Roman"/>
          <w:sz w:val="24"/>
          <w:szCs w:val="24"/>
        </w:rPr>
        <w:t xml:space="preserve"> (</w:t>
      </w:r>
      <w:r w:rsidR="008C436F" w:rsidRPr="008C436F">
        <w:rPr>
          <w:rFonts w:ascii="Times New Roman" w:hAnsi="Times New Roman"/>
          <w:sz w:val="24"/>
          <w:szCs w:val="24"/>
        </w:rPr>
        <w:t xml:space="preserve">Ahmad </w:t>
      </w:r>
      <w:r w:rsidR="008C436F" w:rsidRPr="008C436F">
        <w:rPr>
          <w:rFonts w:ascii="Times New Roman" w:hAnsi="Times New Roman"/>
          <w:i/>
          <w:sz w:val="24"/>
          <w:szCs w:val="24"/>
        </w:rPr>
        <w:t>et al</w:t>
      </w:r>
      <w:proofErr w:type="gramStart"/>
      <w:r w:rsidR="008C436F" w:rsidRPr="008C436F">
        <w:rPr>
          <w:rFonts w:ascii="Times New Roman" w:hAnsi="Times New Roman"/>
          <w:i/>
          <w:sz w:val="24"/>
          <w:szCs w:val="24"/>
        </w:rPr>
        <w:t>,.</w:t>
      </w:r>
      <w:proofErr w:type="gramEnd"/>
      <w:r w:rsidR="008C436F" w:rsidRPr="008C436F">
        <w:rPr>
          <w:rFonts w:ascii="Times New Roman" w:hAnsi="Times New Roman"/>
          <w:sz w:val="24"/>
          <w:szCs w:val="24"/>
        </w:rPr>
        <w:t xml:space="preserve"> 2006</w:t>
      </w:r>
      <w:r w:rsidR="008C436F">
        <w:rPr>
          <w:rFonts w:ascii="Times New Roman" w:hAnsi="Times New Roman"/>
          <w:sz w:val="24"/>
          <w:szCs w:val="24"/>
        </w:rPr>
        <w:t>)</w:t>
      </w:r>
      <w:r w:rsidR="00DF5EDE">
        <w:rPr>
          <w:rFonts w:ascii="Times New Roman" w:hAnsi="Times New Roman"/>
          <w:sz w:val="24"/>
          <w:szCs w:val="24"/>
        </w:rPr>
        <w:t>.</w:t>
      </w:r>
      <w:r w:rsidR="00616EFC">
        <w:rPr>
          <w:rFonts w:ascii="Times New Roman" w:hAnsi="Times New Roman"/>
          <w:sz w:val="24"/>
          <w:szCs w:val="24"/>
        </w:rPr>
        <w:t xml:space="preserve"> Los datos obtenidos están en concordancia con </w:t>
      </w:r>
      <w:r w:rsidR="00616EFC">
        <w:rPr>
          <w:rFonts w:ascii="Times New Roman" w:hAnsi="Times New Roman"/>
          <w:noProof/>
          <w:sz w:val="24"/>
          <w:szCs w:val="24"/>
        </w:rPr>
        <w:t>l</w:t>
      </w:r>
      <w:r w:rsidR="00620539">
        <w:rPr>
          <w:rFonts w:ascii="Times New Roman" w:hAnsi="Times New Roman"/>
          <w:noProof/>
          <w:sz w:val="24"/>
          <w:szCs w:val="24"/>
        </w:rPr>
        <w:t xml:space="preserve">as investigaciones realizadas  </w:t>
      </w:r>
      <w:r w:rsidR="00620539" w:rsidRPr="004E2808">
        <w:rPr>
          <w:rFonts w:ascii="Times New Roman" w:hAnsi="Times New Roman"/>
          <w:noProof/>
          <w:sz w:val="24"/>
          <w:szCs w:val="24"/>
        </w:rPr>
        <w:t xml:space="preserve">por Rajkumar </w:t>
      </w:r>
      <w:r w:rsidR="00620539" w:rsidRPr="00757036">
        <w:rPr>
          <w:rFonts w:ascii="Times New Roman" w:hAnsi="Times New Roman"/>
          <w:i/>
          <w:noProof/>
          <w:sz w:val="24"/>
          <w:szCs w:val="24"/>
        </w:rPr>
        <w:t>et al</w:t>
      </w:r>
      <w:r w:rsidR="00620539">
        <w:rPr>
          <w:rFonts w:ascii="Times New Roman" w:hAnsi="Times New Roman"/>
          <w:noProof/>
          <w:sz w:val="24"/>
          <w:szCs w:val="24"/>
        </w:rPr>
        <w:t>. (2006</w:t>
      </w:r>
      <w:r w:rsidR="00620539" w:rsidRPr="004E2808">
        <w:rPr>
          <w:rFonts w:ascii="Times New Roman" w:hAnsi="Times New Roman"/>
          <w:noProof/>
          <w:sz w:val="24"/>
          <w:szCs w:val="24"/>
        </w:rPr>
        <w:t xml:space="preserve">) </w:t>
      </w:r>
      <w:r w:rsidR="00620539">
        <w:rPr>
          <w:rFonts w:ascii="Times New Roman" w:hAnsi="Times New Roman"/>
          <w:noProof/>
          <w:sz w:val="24"/>
          <w:szCs w:val="24"/>
        </w:rPr>
        <w:t xml:space="preserve"> </w:t>
      </w:r>
      <w:r w:rsidR="00616EFC">
        <w:rPr>
          <w:rFonts w:ascii="Times New Roman" w:hAnsi="Times New Roman"/>
          <w:noProof/>
          <w:sz w:val="24"/>
          <w:szCs w:val="24"/>
        </w:rPr>
        <w:t xml:space="preserve">quienes </w:t>
      </w:r>
      <w:r w:rsidR="00620539">
        <w:rPr>
          <w:rFonts w:ascii="Times New Roman" w:hAnsi="Times New Roman"/>
          <w:noProof/>
          <w:sz w:val="24"/>
          <w:szCs w:val="24"/>
        </w:rPr>
        <w:t xml:space="preserve">reportan </w:t>
      </w:r>
      <w:r w:rsidR="00620539" w:rsidRPr="004E2808">
        <w:rPr>
          <w:rFonts w:ascii="Times New Roman" w:hAnsi="Times New Roman"/>
          <w:noProof/>
          <w:sz w:val="24"/>
          <w:szCs w:val="24"/>
        </w:rPr>
        <w:t>incremento en la longitud de la</w:t>
      </w:r>
      <w:r w:rsidR="00620539">
        <w:rPr>
          <w:rFonts w:ascii="Times New Roman" w:hAnsi="Times New Roman"/>
          <w:noProof/>
          <w:sz w:val="24"/>
          <w:szCs w:val="24"/>
        </w:rPr>
        <w:t>s</w:t>
      </w:r>
      <w:r w:rsidR="00620539" w:rsidRPr="004E2808">
        <w:rPr>
          <w:rFonts w:ascii="Times New Roman" w:hAnsi="Times New Roman"/>
          <w:noProof/>
          <w:sz w:val="24"/>
          <w:szCs w:val="24"/>
        </w:rPr>
        <w:t xml:space="preserve"> planta</w:t>
      </w:r>
      <w:r w:rsidR="00620539">
        <w:rPr>
          <w:rFonts w:ascii="Times New Roman" w:hAnsi="Times New Roman"/>
          <w:noProof/>
          <w:sz w:val="24"/>
          <w:szCs w:val="24"/>
        </w:rPr>
        <w:t>s</w:t>
      </w:r>
      <w:r w:rsidR="00620539" w:rsidRPr="004E2808">
        <w:rPr>
          <w:rFonts w:ascii="Times New Roman" w:hAnsi="Times New Roman"/>
          <w:noProof/>
          <w:sz w:val="24"/>
          <w:szCs w:val="24"/>
        </w:rPr>
        <w:t xml:space="preserve"> </w:t>
      </w:r>
      <w:r w:rsidR="00616EFC" w:rsidRPr="004E2808">
        <w:rPr>
          <w:rFonts w:ascii="Times New Roman" w:hAnsi="Times New Roman"/>
          <w:noProof/>
          <w:sz w:val="24"/>
          <w:szCs w:val="24"/>
        </w:rPr>
        <w:t xml:space="preserve">de mostaza </w:t>
      </w:r>
      <w:r w:rsidR="00620539" w:rsidRPr="004E2808">
        <w:rPr>
          <w:rFonts w:ascii="Times New Roman" w:hAnsi="Times New Roman"/>
          <w:noProof/>
          <w:sz w:val="24"/>
          <w:szCs w:val="24"/>
        </w:rPr>
        <w:t>inocul</w:t>
      </w:r>
      <w:r w:rsidR="00620539">
        <w:rPr>
          <w:rFonts w:ascii="Times New Roman" w:hAnsi="Times New Roman"/>
          <w:noProof/>
          <w:sz w:val="24"/>
          <w:szCs w:val="24"/>
        </w:rPr>
        <w:t>a</w:t>
      </w:r>
      <w:r w:rsidR="00620539" w:rsidRPr="004E2808">
        <w:rPr>
          <w:rFonts w:ascii="Times New Roman" w:hAnsi="Times New Roman"/>
          <w:noProof/>
          <w:sz w:val="24"/>
          <w:szCs w:val="24"/>
        </w:rPr>
        <w:t xml:space="preserve">das </w:t>
      </w:r>
      <w:r w:rsidR="00620539">
        <w:rPr>
          <w:rFonts w:ascii="Times New Roman" w:hAnsi="Times New Roman"/>
          <w:noProof/>
          <w:sz w:val="24"/>
          <w:szCs w:val="24"/>
        </w:rPr>
        <w:t xml:space="preserve">con </w:t>
      </w:r>
      <w:r w:rsidR="00620539" w:rsidRPr="004E2808">
        <w:rPr>
          <w:rFonts w:ascii="Times New Roman" w:hAnsi="Times New Roman"/>
          <w:i/>
          <w:noProof/>
          <w:sz w:val="24"/>
          <w:szCs w:val="24"/>
        </w:rPr>
        <w:t xml:space="preserve">Pseudomonas </w:t>
      </w:r>
      <w:r w:rsidR="009833CB" w:rsidRPr="009833CB">
        <w:rPr>
          <w:rFonts w:ascii="Times New Roman" w:hAnsi="Times New Roman"/>
          <w:noProof/>
          <w:sz w:val="24"/>
          <w:szCs w:val="24"/>
        </w:rPr>
        <w:t>sp</w:t>
      </w:r>
      <w:r w:rsidR="00620539" w:rsidRPr="004E2808">
        <w:rPr>
          <w:rFonts w:ascii="Times New Roman" w:hAnsi="Times New Roman"/>
          <w:noProof/>
          <w:sz w:val="24"/>
          <w:szCs w:val="24"/>
        </w:rPr>
        <w:t xml:space="preserve"> y </w:t>
      </w:r>
      <w:r w:rsidR="00620539" w:rsidRPr="004E2808">
        <w:rPr>
          <w:rFonts w:ascii="Times New Roman" w:hAnsi="Times New Roman"/>
          <w:i/>
          <w:noProof/>
          <w:sz w:val="24"/>
          <w:szCs w:val="24"/>
        </w:rPr>
        <w:t xml:space="preserve">Bacillus </w:t>
      </w:r>
      <w:r w:rsidR="009833CB" w:rsidRPr="009833CB">
        <w:rPr>
          <w:rFonts w:ascii="Times New Roman" w:hAnsi="Times New Roman"/>
          <w:noProof/>
          <w:sz w:val="24"/>
          <w:szCs w:val="24"/>
        </w:rPr>
        <w:t>sp</w:t>
      </w:r>
      <w:r w:rsidR="00620539" w:rsidRPr="004E2808">
        <w:rPr>
          <w:rFonts w:ascii="Times New Roman" w:hAnsi="Times New Roman"/>
          <w:noProof/>
          <w:sz w:val="24"/>
          <w:szCs w:val="24"/>
        </w:rPr>
        <w:t xml:space="preserve"> en comparación con las plantas no inoculadas</w:t>
      </w:r>
      <w:r w:rsidR="00750A20">
        <w:rPr>
          <w:rFonts w:ascii="Times New Roman" w:hAnsi="Times New Roman"/>
          <w:noProof/>
          <w:sz w:val="24"/>
          <w:szCs w:val="24"/>
        </w:rPr>
        <w:t xml:space="preserve">; similares resultados se obtuvieron en el trabajo de </w:t>
      </w:r>
      <w:r w:rsidR="00620539" w:rsidRPr="004E2808">
        <w:rPr>
          <w:rFonts w:ascii="Times New Roman" w:hAnsi="Times New Roman"/>
          <w:noProof/>
          <w:sz w:val="24"/>
          <w:szCs w:val="24"/>
        </w:rPr>
        <w:t>Galvis</w:t>
      </w:r>
      <w:r w:rsidR="00620539">
        <w:rPr>
          <w:rFonts w:ascii="Times New Roman" w:hAnsi="Times New Roman"/>
          <w:noProof/>
          <w:sz w:val="24"/>
          <w:szCs w:val="24"/>
        </w:rPr>
        <w:t xml:space="preserve"> </w:t>
      </w:r>
      <w:r w:rsidR="00750A20">
        <w:rPr>
          <w:rFonts w:ascii="Times New Roman" w:hAnsi="Times New Roman"/>
          <w:noProof/>
          <w:sz w:val="24"/>
          <w:szCs w:val="24"/>
        </w:rPr>
        <w:t xml:space="preserve">y </w:t>
      </w:r>
      <w:r w:rsidR="00620539">
        <w:rPr>
          <w:rFonts w:ascii="Times New Roman" w:hAnsi="Times New Roman"/>
          <w:noProof/>
          <w:sz w:val="24"/>
          <w:szCs w:val="24"/>
        </w:rPr>
        <w:t>Lara</w:t>
      </w:r>
      <w:r w:rsidR="00620539" w:rsidRPr="004E2808">
        <w:rPr>
          <w:rFonts w:ascii="Times New Roman" w:hAnsi="Times New Roman"/>
          <w:noProof/>
          <w:sz w:val="24"/>
          <w:szCs w:val="24"/>
        </w:rPr>
        <w:t xml:space="preserve"> (2013) </w:t>
      </w:r>
      <w:r w:rsidR="00750A20">
        <w:rPr>
          <w:rFonts w:ascii="Times New Roman" w:hAnsi="Times New Roman"/>
          <w:noProof/>
          <w:sz w:val="24"/>
          <w:szCs w:val="24"/>
        </w:rPr>
        <w:t xml:space="preserve">utilizando </w:t>
      </w:r>
      <w:r w:rsidR="00620539" w:rsidRPr="004E2808">
        <w:rPr>
          <w:rFonts w:ascii="Times New Roman" w:hAnsi="Times New Roman"/>
          <w:noProof/>
          <w:sz w:val="24"/>
          <w:szCs w:val="24"/>
        </w:rPr>
        <w:t>planta</w:t>
      </w:r>
      <w:r w:rsidR="00620539">
        <w:rPr>
          <w:rFonts w:ascii="Times New Roman" w:hAnsi="Times New Roman"/>
          <w:noProof/>
          <w:sz w:val="24"/>
          <w:szCs w:val="24"/>
        </w:rPr>
        <w:t>s de pasto A</w:t>
      </w:r>
      <w:r w:rsidR="00620539" w:rsidRPr="004E2808">
        <w:rPr>
          <w:rFonts w:ascii="Times New Roman" w:hAnsi="Times New Roman"/>
          <w:noProof/>
          <w:sz w:val="24"/>
          <w:szCs w:val="24"/>
        </w:rPr>
        <w:t>ngleton.</w:t>
      </w:r>
      <w:r w:rsidR="00620539" w:rsidRPr="004E2808">
        <w:rPr>
          <w:rFonts w:ascii="Times New Roman" w:hAnsi="Times New Roman"/>
          <w:i/>
          <w:sz w:val="24"/>
          <w:szCs w:val="24"/>
        </w:rPr>
        <w:t xml:space="preserve"> </w:t>
      </w:r>
    </w:p>
    <w:p w:rsidR="00F537ED" w:rsidRDefault="00620539" w:rsidP="00102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808">
        <w:rPr>
          <w:rFonts w:ascii="Times New Roman" w:hAnsi="Times New Roman"/>
          <w:i/>
          <w:sz w:val="24"/>
          <w:szCs w:val="24"/>
        </w:rPr>
        <w:t xml:space="preserve"> </w:t>
      </w:r>
    </w:p>
    <w:p w:rsidR="00D8452A" w:rsidRPr="003C7D9D" w:rsidRDefault="00D8452A" w:rsidP="006C6A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D9D">
        <w:rPr>
          <w:rFonts w:ascii="Times New Roman" w:hAnsi="Times New Roman"/>
          <w:b/>
          <w:sz w:val="24"/>
          <w:szCs w:val="24"/>
        </w:rPr>
        <w:t>Tabla 5</w:t>
      </w:r>
      <w:r w:rsidRPr="003C7D9D">
        <w:rPr>
          <w:rFonts w:ascii="Times New Roman" w:hAnsi="Times New Roman"/>
          <w:sz w:val="24"/>
          <w:szCs w:val="24"/>
        </w:rPr>
        <w:t xml:space="preserve">. </w:t>
      </w:r>
      <w:r w:rsidRPr="003C7D9D">
        <w:rPr>
          <w:rFonts w:ascii="Times New Roman" w:hAnsi="Times New Roman"/>
          <w:color w:val="000000"/>
          <w:sz w:val="24"/>
          <w:szCs w:val="24"/>
          <w:lang w:val="es-ES"/>
        </w:rPr>
        <w:t xml:space="preserve">Efecto de los </w:t>
      </w:r>
      <w:proofErr w:type="spellStart"/>
      <w:r w:rsidRPr="003C7D9D">
        <w:rPr>
          <w:rFonts w:ascii="Times New Roman" w:hAnsi="Times New Roman"/>
          <w:color w:val="000000"/>
          <w:sz w:val="24"/>
          <w:szCs w:val="24"/>
          <w:lang w:val="es-ES"/>
        </w:rPr>
        <w:t>bioinoculantes</w:t>
      </w:r>
      <w:proofErr w:type="spellEnd"/>
      <w:r w:rsidR="00C16678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3C7D9D">
        <w:rPr>
          <w:rFonts w:ascii="Times New Roman" w:hAnsi="Times New Roman"/>
          <w:color w:val="000000"/>
          <w:sz w:val="24"/>
          <w:szCs w:val="24"/>
          <w:lang w:val="es-MX"/>
        </w:rPr>
        <w:t xml:space="preserve">en el crecimiento y desarrollo de plantas </w:t>
      </w:r>
      <w:r w:rsidRPr="003C7D9D">
        <w:rPr>
          <w:rFonts w:ascii="Times New Roman" w:hAnsi="Times New Roman"/>
          <w:sz w:val="24"/>
          <w:szCs w:val="24"/>
        </w:rPr>
        <w:t xml:space="preserve">de pasto </w:t>
      </w:r>
      <w:proofErr w:type="spellStart"/>
      <w:r w:rsidRPr="003C7D9D">
        <w:rPr>
          <w:rFonts w:ascii="Times New Roman" w:hAnsi="Times New Roman"/>
          <w:sz w:val="24"/>
          <w:szCs w:val="24"/>
        </w:rPr>
        <w:t>angletón</w:t>
      </w:r>
      <w:proofErr w:type="spellEnd"/>
      <w:r w:rsidRPr="003C7D9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C7D9D">
        <w:rPr>
          <w:rFonts w:ascii="Times New Roman" w:hAnsi="Times New Roman"/>
          <w:i/>
          <w:sz w:val="24"/>
          <w:szCs w:val="24"/>
        </w:rPr>
        <w:t>Dichantium</w:t>
      </w:r>
      <w:proofErr w:type="spellEnd"/>
      <w:r w:rsidR="00C1667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C7D9D">
        <w:rPr>
          <w:rFonts w:ascii="Times New Roman" w:hAnsi="Times New Roman"/>
          <w:i/>
          <w:sz w:val="24"/>
          <w:szCs w:val="24"/>
        </w:rPr>
        <w:t>aristatum</w:t>
      </w:r>
      <w:proofErr w:type="spellEnd"/>
      <w:r w:rsidRPr="003C7D9D">
        <w:rPr>
          <w:rFonts w:ascii="Times New Roman" w:hAnsi="Times New Roman"/>
          <w:sz w:val="24"/>
          <w:szCs w:val="24"/>
        </w:rPr>
        <w:t>).</w:t>
      </w:r>
    </w:p>
    <w:tbl>
      <w:tblPr>
        <w:tblW w:w="9781" w:type="dxa"/>
        <w:jc w:val="center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ayout w:type="fixed"/>
        <w:tblLook w:val="04A0"/>
      </w:tblPr>
      <w:tblGrid>
        <w:gridCol w:w="723"/>
        <w:gridCol w:w="867"/>
        <w:gridCol w:w="874"/>
        <w:gridCol w:w="867"/>
        <w:gridCol w:w="874"/>
        <w:gridCol w:w="1013"/>
        <w:gridCol w:w="873"/>
        <w:gridCol w:w="867"/>
        <w:gridCol w:w="874"/>
        <w:gridCol w:w="887"/>
        <w:gridCol w:w="1062"/>
      </w:tblGrid>
      <w:tr w:rsidR="007865F9" w:rsidRPr="00FD0BC2" w:rsidTr="00FD0BC2">
        <w:trPr>
          <w:trHeight w:val="591"/>
          <w:jc w:val="center"/>
        </w:trPr>
        <w:tc>
          <w:tcPr>
            <w:tcW w:w="7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C2">
              <w:rPr>
                <w:rFonts w:ascii="Times New Roman" w:hAnsi="Times New Roman"/>
                <w:b/>
                <w:sz w:val="24"/>
                <w:szCs w:val="24"/>
              </w:rPr>
              <w:t>Tratamientos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C2">
              <w:rPr>
                <w:rFonts w:ascii="Times New Roman" w:hAnsi="Times New Roman"/>
                <w:b/>
                <w:sz w:val="24"/>
                <w:szCs w:val="24"/>
              </w:rPr>
              <w:t>Longitud de las plantas (cm)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C2">
              <w:rPr>
                <w:rFonts w:ascii="Times New Roman" w:hAnsi="Times New Roman"/>
                <w:b/>
                <w:sz w:val="24"/>
                <w:szCs w:val="24"/>
              </w:rPr>
              <w:t>Cantidad de hojas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C2">
              <w:rPr>
                <w:rFonts w:ascii="Times New Roman" w:hAnsi="Times New Roman"/>
                <w:b/>
                <w:sz w:val="24"/>
                <w:szCs w:val="24"/>
              </w:rPr>
              <w:t>Área foliar (cm</w:t>
            </w:r>
            <w:r w:rsidRPr="00FD0BC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FD0BC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C2">
              <w:rPr>
                <w:rFonts w:ascii="Times New Roman" w:hAnsi="Times New Roman"/>
                <w:b/>
                <w:sz w:val="24"/>
                <w:szCs w:val="24"/>
              </w:rPr>
              <w:t>Longitud de raíz principal (cm)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C2">
              <w:rPr>
                <w:rFonts w:ascii="Times New Roman" w:hAnsi="Times New Roman"/>
                <w:b/>
                <w:sz w:val="24"/>
                <w:szCs w:val="24"/>
              </w:rPr>
              <w:t>Peso seco (g)</w:t>
            </w:r>
          </w:p>
        </w:tc>
      </w:tr>
      <w:tr w:rsidR="007865F9" w:rsidRPr="00FD0BC2" w:rsidTr="00FD0BC2">
        <w:trPr>
          <w:trHeight w:val="405"/>
          <w:jc w:val="center"/>
        </w:trPr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C2">
              <w:rPr>
                <w:rFonts w:ascii="Times New Roman" w:hAnsi="Times New Roman"/>
                <w:b/>
                <w:sz w:val="24"/>
                <w:szCs w:val="24"/>
              </w:rPr>
              <w:t>21 días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C2">
              <w:rPr>
                <w:rFonts w:ascii="Times New Roman" w:hAnsi="Times New Roman"/>
                <w:b/>
                <w:sz w:val="24"/>
                <w:szCs w:val="24"/>
              </w:rPr>
              <w:t>35 días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C2">
              <w:rPr>
                <w:rFonts w:ascii="Times New Roman" w:hAnsi="Times New Roman"/>
                <w:b/>
                <w:sz w:val="24"/>
                <w:szCs w:val="24"/>
              </w:rPr>
              <w:t>21 días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C2">
              <w:rPr>
                <w:rFonts w:ascii="Times New Roman" w:hAnsi="Times New Roman"/>
                <w:b/>
                <w:sz w:val="24"/>
                <w:szCs w:val="24"/>
              </w:rPr>
              <w:t>35 días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C2">
              <w:rPr>
                <w:rFonts w:ascii="Times New Roman" w:hAnsi="Times New Roman"/>
                <w:b/>
                <w:sz w:val="24"/>
                <w:szCs w:val="24"/>
              </w:rPr>
              <w:t>21 días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C2">
              <w:rPr>
                <w:rFonts w:ascii="Times New Roman" w:hAnsi="Times New Roman"/>
                <w:b/>
                <w:sz w:val="24"/>
                <w:szCs w:val="24"/>
              </w:rPr>
              <w:t>35 días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C2">
              <w:rPr>
                <w:rFonts w:ascii="Times New Roman" w:hAnsi="Times New Roman"/>
                <w:b/>
                <w:sz w:val="24"/>
                <w:szCs w:val="24"/>
              </w:rPr>
              <w:t>21 días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C2">
              <w:rPr>
                <w:rFonts w:ascii="Times New Roman" w:hAnsi="Times New Roman"/>
                <w:b/>
                <w:sz w:val="24"/>
                <w:szCs w:val="24"/>
              </w:rPr>
              <w:t>35 días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C2">
              <w:rPr>
                <w:rFonts w:ascii="Times New Roman" w:hAnsi="Times New Roman"/>
                <w:b/>
                <w:sz w:val="24"/>
                <w:szCs w:val="24"/>
              </w:rPr>
              <w:t>21 días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BC2">
              <w:rPr>
                <w:rFonts w:ascii="Times New Roman" w:hAnsi="Times New Roman"/>
                <w:b/>
                <w:sz w:val="24"/>
                <w:szCs w:val="24"/>
              </w:rPr>
              <w:t xml:space="preserve">35 días </w:t>
            </w:r>
          </w:p>
        </w:tc>
      </w:tr>
      <w:tr w:rsidR="007865F9" w:rsidRPr="00FD0BC2" w:rsidTr="00FD0BC2">
        <w:trPr>
          <w:trHeight w:val="405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FD0BC2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T1 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sz w:val="24"/>
                <w:szCs w:val="24"/>
                <w:lang w:val="en-US"/>
              </w:rPr>
              <w:t>19.3</w:t>
            </w:r>
            <w:r w:rsidRPr="00BA667E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sz w:val="24"/>
                <w:szCs w:val="24"/>
                <w:lang w:val="en-US"/>
              </w:rPr>
              <w:t>30.33</w:t>
            </w:r>
            <w:r w:rsidRPr="00BA667E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3.4</w:t>
            </w:r>
            <w:r w:rsidRPr="00BA667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4.9</w:t>
            </w:r>
            <w:r w:rsidRPr="00BA667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321.7</w:t>
            </w:r>
            <w:r w:rsidRPr="00BA667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536.</w:t>
            </w:r>
            <w:r w:rsidRPr="00BA667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BA667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2.69</w:t>
            </w:r>
            <w:r w:rsidRPr="00BA667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5.27</w:t>
            </w:r>
            <w:r w:rsidRPr="00BA667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CA5B6A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A5B6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0.0129</w:t>
            </w:r>
            <w:r w:rsidRPr="00CA5B6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0.09046</w:t>
            </w:r>
            <w:r w:rsidRPr="00CA5B6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7865F9" w:rsidRPr="00FD0BC2" w:rsidTr="00FD0BC2">
        <w:trPr>
          <w:trHeight w:val="39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0BC2">
              <w:rPr>
                <w:rFonts w:ascii="Times New Roman" w:hAnsi="Times New Roman"/>
                <w:sz w:val="24"/>
                <w:szCs w:val="24"/>
                <w:lang w:val="en-US"/>
              </w:rPr>
              <w:t>T2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sz w:val="24"/>
                <w:szCs w:val="24"/>
                <w:lang w:val="en-US"/>
              </w:rPr>
              <w:t>24.44</w:t>
            </w:r>
            <w:r w:rsidRPr="00BA667E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sz w:val="24"/>
                <w:szCs w:val="24"/>
                <w:lang w:val="en-US"/>
              </w:rPr>
              <w:t>38.04</w:t>
            </w:r>
            <w:r w:rsidRPr="00BA667E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4.0</w:t>
            </w:r>
            <w:r w:rsidRPr="00BA667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4.6</w:t>
            </w:r>
            <w:r w:rsidRPr="00BA667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443.1</w:t>
            </w:r>
            <w:r w:rsidRPr="00BA667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858.6</w:t>
            </w:r>
            <w:r w:rsidRPr="00CA5B6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3.67</w:t>
            </w:r>
            <w:r w:rsidRPr="00CA5B6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6.73</w:t>
            </w:r>
            <w:r w:rsidRPr="00CA5B6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0.0259</w:t>
            </w:r>
            <w:r w:rsidRPr="00CA5B6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D8452A" w:rsidRPr="00FD0BC2" w:rsidRDefault="00CA5B6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D8452A"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0.162</w:t>
            </w:r>
            <w:r w:rsidR="00D8452A" w:rsidRPr="00CA5B6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7865F9" w:rsidRPr="00FD0BC2" w:rsidTr="00FD0BC2">
        <w:trPr>
          <w:trHeight w:val="39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0BC2">
              <w:rPr>
                <w:rFonts w:ascii="Times New Roman" w:hAnsi="Times New Roman"/>
                <w:sz w:val="24"/>
                <w:szCs w:val="24"/>
                <w:lang w:val="en-US"/>
              </w:rPr>
              <w:t>T3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sz w:val="24"/>
                <w:szCs w:val="24"/>
                <w:lang w:val="en-US"/>
              </w:rPr>
              <w:t>26.42</w:t>
            </w:r>
            <w:r w:rsidRPr="00BA667E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sz w:val="24"/>
                <w:szCs w:val="24"/>
                <w:lang w:val="en-US"/>
              </w:rPr>
              <w:t>45.88</w:t>
            </w:r>
            <w:r w:rsidRPr="00BA667E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4.7</w:t>
            </w:r>
            <w:r w:rsidRPr="00BA667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4.9</w:t>
            </w:r>
            <w:r w:rsidRPr="00BA667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491.5</w:t>
            </w:r>
            <w:r w:rsidRPr="00CA5B6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859.1</w:t>
            </w:r>
            <w:r w:rsidRPr="00CA5B6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3.08</w:t>
            </w:r>
            <w:r w:rsidRPr="00CA5B6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5.29</w:t>
            </w:r>
            <w:r w:rsidRPr="00CA5B6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0.0205</w:t>
            </w:r>
            <w:r w:rsidRPr="00CA5B6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D8452A" w:rsidRPr="00FD0BC2" w:rsidRDefault="00D8452A" w:rsidP="00FD0B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FD0B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0.179</w:t>
            </w:r>
            <w:r w:rsidRPr="00CA5B6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</w:tbl>
    <w:p w:rsidR="00D8452A" w:rsidRPr="00172BB1" w:rsidRDefault="00D8452A" w:rsidP="006C6AC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  <w:r w:rsidRPr="00172BB1">
        <w:rPr>
          <w:rFonts w:ascii="Times New Roman" w:hAnsi="Times New Roman"/>
          <w:sz w:val="20"/>
          <w:szCs w:val="20"/>
          <w:vertAlign w:val="superscript"/>
        </w:rPr>
        <w:t>A</w:t>
      </w:r>
      <w:proofErr w:type="gramStart"/>
      <w:r w:rsidRPr="00172BB1">
        <w:rPr>
          <w:rFonts w:ascii="Times New Roman" w:hAnsi="Times New Roman"/>
          <w:sz w:val="20"/>
          <w:szCs w:val="20"/>
          <w:vertAlign w:val="superscript"/>
        </w:rPr>
        <w:t>,B</w:t>
      </w:r>
      <w:proofErr w:type="gramEnd"/>
      <w:r w:rsidRPr="00172BB1">
        <w:rPr>
          <w:rFonts w:ascii="Times New Roman" w:hAnsi="Times New Roman"/>
          <w:sz w:val="20"/>
          <w:szCs w:val="20"/>
        </w:rPr>
        <w:t xml:space="preserve"> Letras iguales no presentan diferencias significativas, con un alfa de 0.05. Los datos representan el promedio de 5 repeticiones.  Las comparaciones estadísticas fueron realizadas de forma independiente para cada tiempo en las diferentes variables. Tratamiento 1 (control): Semillas sin ningún tipo de tratamiento; Tratamiento 2: Semillas tratadas con </w:t>
      </w:r>
      <w:r w:rsidR="00D349C1" w:rsidRPr="00172BB1">
        <w:rPr>
          <w:rFonts w:ascii="Times New Roman" w:hAnsi="Times New Roman"/>
          <w:sz w:val="20"/>
          <w:szCs w:val="20"/>
        </w:rPr>
        <w:t xml:space="preserve">el </w:t>
      </w:r>
      <w:r w:rsidRPr="00172BB1">
        <w:rPr>
          <w:rFonts w:ascii="Times New Roman" w:hAnsi="Times New Roman"/>
          <w:bCs/>
          <w:iCs/>
          <w:sz w:val="20"/>
          <w:szCs w:val="20"/>
        </w:rPr>
        <w:t xml:space="preserve">consocio </w:t>
      </w:r>
      <w:proofErr w:type="spellStart"/>
      <w:r w:rsidR="00521B1B" w:rsidRPr="00521B1B">
        <w:rPr>
          <w:rFonts w:ascii="Times New Roman" w:hAnsi="Times New Roman"/>
          <w:i/>
          <w:iCs/>
          <w:sz w:val="20"/>
          <w:szCs w:val="20"/>
        </w:rPr>
        <w:t>Pantoea</w:t>
      </w:r>
      <w:proofErr w:type="spellEnd"/>
      <w:r w:rsidR="00521B1B" w:rsidRPr="00521B1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0"/>
          <w:szCs w:val="20"/>
        </w:rPr>
        <w:t>sp</w:t>
      </w:r>
      <w:proofErr w:type="spellEnd"/>
      <w:r w:rsidR="00521B1B" w:rsidRPr="00521B1B">
        <w:rPr>
          <w:rFonts w:ascii="Times New Roman" w:hAnsi="Times New Roman"/>
          <w:i/>
          <w:iCs/>
          <w:sz w:val="20"/>
          <w:szCs w:val="20"/>
        </w:rPr>
        <w:t xml:space="preserve"> + </w:t>
      </w:r>
      <w:proofErr w:type="spellStart"/>
      <w:r w:rsidR="00521B1B" w:rsidRPr="00521B1B">
        <w:rPr>
          <w:rFonts w:ascii="Times New Roman" w:hAnsi="Times New Roman"/>
          <w:i/>
          <w:iCs/>
          <w:sz w:val="20"/>
          <w:szCs w:val="20"/>
        </w:rPr>
        <w:t>Pseudomona</w:t>
      </w:r>
      <w:proofErr w:type="spellEnd"/>
      <w:r w:rsidR="00521B1B" w:rsidRPr="00521B1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="009833CB" w:rsidRPr="009833CB">
        <w:rPr>
          <w:rFonts w:ascii="Times New Roman" w:hAnsi="Times New Roman"/>
          <w:iCs/>
          <w:sz w:val="20"/>
          <w:szCs w:val="20"/>
        </w:rPr>
        <w:t>sp</w:t>
      </w:r>
      <w:proofErr w:type="spellEnd"/>
      <w:r w:rsidR="00521B1B" w:rsidRPr="00521B1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521B1B" w:rsidRPr="00521B1B">
        <w:rPr>
          <w:rFonts w:ascii="Times New Roman" w:hAnsi="Times New Roman"/>
          <w:iCs/>
          <w:sz w:val="20"/>
          <w:szCs w:val="20"/>
        </w:rPr>
        <w:t>a la concentración 10</w:t>
      </w:r>
      <w:r w:rsidR="00521B1B" w:rsidRPr="00521B1B">
        <w:rPr>
          <w:rFonts w:ascii="Times New Roman" w:hAnsi="Times New Roman"/>
          <w:iCs/>
          <w:sz w:val="20"/>
          <w:szCs w:val="20"/>
          <w:vertAlign w:val="superscript"/>
        </w:rPr>
        <w:t>8</w:t>
      </w:r>
      <w:r w:rsidR="00521B1B" w:rsidRPr="00521B1B">
        <w:rPr>
          <w:rFonts w:ascii="Times New Roman" w:hAnsi="Times New Roman"/>
          <w:iCs/>
          <w:sz w:val="20"/>
          <w:szCs w:val="20"/>
        </w:rPr>
        <w:t xml:space="preserve"> UFC/</w:t>
      </w:r>
      <w:proofErr w:type="spellStart"/>
      <w:r w:rsidR="00521B1B" w:rsidRPr="00521B1B">
        <w:rPr>
          <w:rFonts w:ascii="Times New Roman" w:hAnsi="Times New Roman"/>
          <w:iCs/>
          <w:sz w:val="20"/>
          <w:szCs w:val="20"/>
        </w:rPr>
        <w:t>mL</w:t>
      </w:r>
      <w:proofErr w:type="spellEnd"/>
      <w:r w:rsidRPr="00172BB1">
        <w:rPr>
          <w:rFonts w:ascii="Times New Roman" w:hAnsi="Times New Roman"/>
          <w:sz w:val="20"/>
          <w:szCs w:val="20"/>
        </w:rPr>
        <w:t>; Tratamiento 3: Semillas tratadas</w:t>
      </w:r>
      <w:r w:rsidR="00AC6D56">
        <w:rPr>
          <w:rFonts w:ascii="Times New Roman" w:hAnsi="Times New Roman"/>
          <w:sz w:val="20"/>
          <w:szCs w:val="20"/>
        </w:rPr>
        <w:t xml:space="preserve"> con fertilizantes comerciales f</w:t>
      </w:r>
      <w:r w:rsidRPr="00172BB1">
        <w:rPr>
          <w:rFonts w:ascii="Times New Roman" w:hAnsi="Times New Roman"/>
          <w:sz w:val="20"/>
          <w:szCs w:val="20"/>
        </w:rPr>
        <w:t xml:space="preserve">osfato </w:t>
      </w:r>
      <w:proofErr w:type="spellStart"/>
      <w:r w:rsidRPr="00172BB1">
        <w:rPr>
          <w:rFonts w:ascii="Times New Roman" w:hAnsi="Times New Roman"/>
          <w:sz w:val="20"/>
          <w:szCs w:val="20"/>
        </w:rPr>
        <w:t>diamonico</w:t>
      </w:r>
      <w:proofErr w:type="spellEnd"/>
      <w:r w:rsidRPr="00172BB1">
        <w:rPr>
          <w:rFonts w:ascii="Times New Roman" w:hAnsi="Times New Roman"/>
          <w:sz w:val="20"/>
          <w:szCs w:val="20"/>
        </w:rPr>
        <w:t xml:space="preserve"> (DAP) y Urea.</w:t>
      </w:r>
    </w:p>
    <w:p w:rsidR="00245B9C" w:rsidRDefault="00245B9C" w:rsidP="00245B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6E4E" w:rsidRPr="00A36D83" w:rsidRDefault="001611D3" w:rsidP="00186E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4003E">
        <w:rPr>
          <w:rFonts w:ascii="Times New Roman" w:hAnsi="Times New Roman"/>
          <w:b/>
          <w:sz w:val="24"/>
          <w:szCs w:val="24"/>
        </w:rPr>
        <w:t>Cantidad de hojas (No.)</w:t>
      </w:r>
      <w:r w:rsidR="00C4003E">
        <w:rPr>
          <w:rFonts w:ascii="Times New Roman" w:hAnsi="Times New Roman"/>
          <w:sz w:val="24"/>
          <w:szCs w:val="24"/>
        </w:rPr>
        <w:t>.</w:t>
      </w:r>
      <w:r w:rsidRPr="003C7D9D">
        <w:rPr>
          <w:rFonts w:ascii="Times New Roman" w:hAnsi="Times New Roman"/>
          <w:sz w:val="24"/>
          <w:szCs w:val="24"/>
        </w:rPr>
        <w:t xml:space="preserve"> </w:t>
      </w:r>
      <w:r w:rsidR="00186E4E">
        <w:rPr>
          <w:rFonts w:ascii="Times New Roman" w:hAnsi="Times New Roman"/>
          <w:noProof/>
          <w:sz w:val="24"/>
          <w:szCs w:val="24"/>
        </w:rPr>
        <w:t>P</w:t>
      </w:r>
      <w:r w:rsidR="00186E4E" w:rsidRPr="004E2808">
        <w:rPr>
          <w:rFonts w:ascii="Times New Roman" w:hAnsi="Times New Roman"/>
          <w:noProof/>
          <w:sz w:val="24"/>
          <w:szCs w:val="24"/>
        </w:rPr>
        <w:t>ara esta variable biométrica a los 21 dias</w:t>
      </w:r>
      <w:r w:rsidR="00186E4E">
        <w:rPr>
          <w:rFonts w:ascii="Times New Roman" w:hAnsi="Times New Roman"/>
          <w:noProof/>
          <w:sz w:val="24"/>
          <w:szCs w:val="24"/>
        </w:rPr>
        <w:t>,</w:t>
      </w:r>
      <w:r w:rsidR="00186E4E" w:rsidRPr="004E2808">
        <w:rPr>
          <w:rFonts w:ascii="Times New Roman" w:hAnsi="Times New Roman"/>
          <w:noProof/>
          <w:sz w:val="24"/>
          <w:szCs w:val="24"/>
        </w:rPr>
        <w:t xml:space="preserve"> se  observaron los mejores resultados </w:t>
      </w:r>
      <w:r w:rsidR="00186E4E">
        <w:rPr>
          <w:rFonts w:ascii="Times New Roman" w:hAnsi="Times New Roman"/>
          <w:noProof/>
          <w:sz w:val="24"/>
          <w:szCs w:val="24"/>
        </w:rPr>
        <w:t>promedios para el T3 mostrando</w:t>
      </w:r>
      <w:r w:rsidR="00186E4E" w:rsidRPr="004E2808">
        <w:rPr>
          <w:rFonts w:ascii="Times New Roman" w:hAnsi="Times New Roman"/>
          <w:noProof/>
          <w:sz w:val="24"/>
          <w:szCs w:val="24"/>
        </w:rPr>
        <w:t xml:space="preserve"> diferencias significativas</w:t>
      </w:r>
      <w:r w:rsidR="00186E4E">
        <w:rPr>
          <w:rFonts w:ascii="Times New Roman" w:hAnsi="Times New Roman"/>
          <w:noProof/>
          <w:sz w:val="24"/>
          <w:szCs w:val="24"/>
        </w:rPr>
        <w:t xml:space="preserve"> </w:t>
      </w:r>
      <w:r w:rsidR="00186E4E" w:rsidRPr="00C45826">
        <w:rPr>
          <w:rFonts w:ascii="Times New Roman" w:hAnsi="Times New Roman"/>
          <w:sz w:val="24"/>
          <w:szCs w:val="24"/>
        </w:rPr>
        <w:t>(P&lt;0,05)</w:t>
      </w:r>
      <w:r w:rsidR="00186E4E">
        <w:rPr>
          <w:rFonts w:ascii="Times New Roman" w:hAnsi="Times New Roman"/>
          <w:noProof/>
          <w:sz w:val="24"/>
          <w:szCs w:val="24"/>
        </w:rPr>
        <w:t xml:space="preserve">; estos </w:t>
      </w:r>
      <w:r w:rsidR="00102341">
        <w:rPr>
          <w:rFonts w:ascii="Times New Roman" w:hAnsi="Times New Roman"/>
          <w:noProof/>
          <w:sz w:val="24"/>
          <w:szCs w:val="24"/>
        </w:rPr>
        <w:t>datos</w:t>
      </w:r>
      <w:r w:rsidR="00186E4E">
        <w:rPr>
          <w:rFonts w:ascii="Times New Roman" w:hAnsi="Times New Roman"/>
          <w:noProof/>
          <w:sz w:val="24"/>
          <w:szCs w:val="24"/>
        </w:rPr>
        <w:t xml:space="preserve"> pueden </w:t>
      </w:r>
      <w:r w:rsidR="00FC2EAC">
        <w:rPr>
          <w:rFonts w:ascii="Times New Roman" w:hAnsi="Times New Roman"/>
          <w:noProof/>
          <w:sz w:val="24"/>
          <w:szCs w:val="24"/>
        </w:rPr>
        <w:t>atribuirse</w:t>
      </w:r>
      <w:r w:rsidR="00186E4E">
        <w:rPr>
          <w:rFonts w:ascii="Times New Roman" w:hAnsi="Times New Roman"/>
          <w:noProof/>
          <w:sz w:val="24"/>
          <w:szCs w:val="24"/>
        </w:rPr>
        <w:t xml:space="preserve"> a una mayor disponibilidad de nutrientes </w:t>
      </w:r>
      <w:r w:rsidR="00FC2EAC">
        <w:rPr>
          <w:rFonts w:ascii="Times New Roman" w:hAnsi="Times New Roman"/>
          <w:noProof/>
          <w:sz w:val="24"/>
          <w:szCs w:val="24"/>
        </w:rPr>
        <w:t>proporcionada por la fertilización</w:t>
      </w:r>
      <w:r w:rsidR="00186E4E">
        <w:rPr>
          <w:rFonts w:ascii="Times New Roman" w:hAnsi="Times New Roman"/>
          <w:noProof/>
          <w:sz w:val="24"/>
          <w:szCs w:val="24"/>
        </w:rPr>
        <w:t xml:space="preserve"> qu</w:t>
      </w:r>
      <w:r w:rsidR="00FC2EAC">
        <w:rPr>
          <w:rFonts w:ascii="Times New Roman" w:hAnsi="Times New Roman"/>
          <w:noProof/>
          <w:sz w:val="24"/>
          <w:szCs w:val="24"/>
        </w:rPr>
        <w:t>í</w:t>
      </w:r>
      <w:r w:rsidR="00186E4E">
        <w:rPr>
          <w:rFonts w:ascii="Times New Roman" w:hAnsi="Times New Roman"/>
          <w:noProof/>
          <w:sz w:val="24"/>
          <w:szCs w:val="24"/>
        </w:rPr>
        <w:t>mica</w:t>
      </w:r>
      <w:r w:rsidR="00186E4E" w:rsidRPr="004E2808">
        <w:rPr>
          <w:rFonts w:ascii="Times New Roman" w:hAnsi="Times New Roman"/>
          <w:noProof/>
          <w:sz w:val="24"/>
          <w:szCs w:val="24"/>
        </w:rPr>
        <w:t>.</w:t>
      </w:r>
      <w:r w:rsidR="00186E4E">
        <w:rPr>
          <w:rFonts w:ascii="Times New Roman" w:hAnsi="Times New Roman"/>
          <w:noProof/>
          <w:sz w:val="24"/>
          <w:szCs w:val="24"/>
        </w:rPr>
        <w:t xml:space="preserve"> A los 35 dias no se presentó diferencias significativas entre los resultados promedios de los tratamientos lo que concuerda con </w:t>
      </w:r>
      <w:r w:rsidR="00186E4E">
        <w:rPr>
          <w:rFonts w:ascii="Times New Roman" w:hAnsi="Times New Roman"/>
          <w:sz w:val="24"/>
          <w:szCs w:val="24"/>
        </w:rPr>
        <w:t>estudios realizados por Pastor y Lara</w:t>
      </w:r>
      <w:r w:rsidR="00186E4E" w:rsidRPr="004E2808">
        <w:rPr>
          <w:rFonts w:ascii="Times New Roman" w:hAnsi="Times New Roman"/>
          <w:sz w:val="24"/>
          <w:szCs w:val="24"/>
        </w:rPr>
        <w:t xml:space="preserve"> (2013)  </w:t>
      </w:r>
      <w:r w:rsidR="00186E4E">
        <w:rPr>
          <w:rFonts w:ascii="Times New Roman" w:hAnsi="Times New Roman"/>
          <w:sz w:val="24"/>
          <w:szCs w:val="24"/>
        </w:rPr>
        <w:t xml:space="preserve">quienes, </w:t>
      </w:r>
      <w:r w:rsidR="00186E4E" w:rsidRPr="004E2808">
        <w:rPr>
          <w:rFonts w:ascii="Times New Roman" w:hAnsi="Times New Roman"/>
          <w:sz w:val="24"/>
          <w:szCs w:val="24"/>
        </w:rPr>
        <w:t xml:space="preserve">para </w:t>
      </w:r>
      <w:proofErr w:type="gramStart"/>
      <w:r w:rsidR="00186E4E" w:rsidRPr="004E2808">
        <w:rPr>
          <w:rFonts w:ascii="Times New Roman" w:hAnsi="Times New Roman"/>
          <w:sz w:val="24"/>
          <w:szCs w:val="24"/>
        </w:rPr>
        <w:t>la</w:t>
      </w:r>
      <w:proofErr w:type="gramEnd"/>
      <w:r w:rsidR="00186E4E" w:rsidRPr="004E2808">
        <w:rPr>
          <w:rFonts w:ascii="Times New Roman" w:hAnsi="Times New Roman"/>
          <w:sz w:val="24"/>
          <w:szCs w:val="24"/>
        </w:rPr>
        <w:t xml:space="preserve"> variable número de hojas </w:t>
      </w:r>
      <w:r w:rsidR="00186E4E">
        <w:rPr>
          <w:rFonts w:ascii="Times New Roman" w:hAnsi="Times New Roman"/>
          <w:sz w:val="24"/>
          <w:szCs w:val="24"/>
        </w:rPr>
        <w:t xml:space="preserve">en pasto </w:t>
      </w:r>
      <w:proofErr w:type="spellStart"/>
      <w:r w:rsidR="00186E4E">
        <w:rPr>
          <w:rFonts w:ascii="Times New Roman" w:hAnsi="Times New Roman"/>
          <w:sz w:val="24"/>
          <w:szCs w:val="24"/>
        </w:rPr>
        <w:t>A</w:t>
      </w:r>
      <w:r w:rsidR="00186E4E" w:rsidRPr="004E2808">
        <w:rPr>
          <w:rFonts w:ascii="Times New Roman" w:hAnsi="Times New Roman"/>
          <w:sz w:val="24"/>
          <w:szCs w:val="24"/>
        </w:rPr>
        <w:t>ngleton</w:t>
      </w:r>
      <w:proofErr w:type="spellEnd"/>
      <w:r w:rsidR="00186E4E" w:rsidRPr="004E2808">
        <w:rPr>
          <w:rFonts w:ascii="Times New Roman" w:hAnsi="Times New Roman"/>
          <w:sz w:val="24"/>
          <w:szCs w:val="24"/>
        </w:rPr>
        <w:t xml:space="preserve"> no encontr</w:t>
      </w:r>
      <w:r w:rsidR="00186E4E">
        <w:rPr>
          <w:rFonts w:ascii="Times New Roman" w:hAnsi="Times New Roman"/>
          <w:sz w:val="24"/>
          <w:szCs w:val="24"/>
        </w:rPr>
        <w:t>aron</w:t>
      </w:r>
      <w:r w:rsidR="00186E4E" w:rsidRPr="004E2808">
        <w:rPr>
          <w:rFonts w:ascii="Times New Roman" w:hAnsi="Times New Roman"/>
          <w:sz w:val="24"/>
          <w:szCs w:val="24"/>
        </w:rPr>
        <w:t xml:space="preserve"> diferencia</w:t>
      </w:r>
      <w:r w:rsidR="00186E4E">
        <w:rPr>
          <w:rFonts w:ascii="Times New Roman" w:hAnsi="Times New Roman"/>
          <w:sz w:val="24"/>
          <w:szCs w:val="24"/>
        </w:rPr>
        <w:t>s</w:t>
      </w:r>
      <w:r w:rsidR="00186E4E" w:rsidRPr="004E2808">
        <w:rPr>
          <w:rFonts w:ascii="Times New Roman" w:hAnsi="Times New Roman"/>
          <w:sz w:val="24"/>
          <w:szCs w:val="24"/>
        </w:rPr>
        <w:t xml:space="preserve"> significativa</w:t>
      </w:r>
      <w:r w:rsidR="00186E4E">
        <w:rPr>
          <w:rFonts w:ascii="Times New Roman" w:hAnsi="Times New Roman"/>
          <w:sz w:val="24"/>
          <w:szCs w:val="24"/>
        </w:rPr>
        <w:t>s</w:t>
      </w:r>
      <w:r w:rsidR="00186E4E" w:rsidRPr="004E2808">
        <w:rPr>
          <w:rFonts w:ascii="Times New Roman" w:hAnsi="Times New Roman"/>
          <w:sz w:val="24"/>
          <w:szCs w:val="24"/>
        </w:rPr>
        <w:t xml:space="preserve"> en ninguna de las mediciones realizadas.</w:t>
      </w:r>
      <w:r w:rsidR="00186E4E" w:rsidRPr="008B2910">
        <w:rPr>
          <w:rFonts w:ascii="Times New Roman" w:hAnsi="Times New Roman"/>
          <w:sz w:val="24"/>
          <w:szCs w:val="24"/>
        </w:rPr>
        <w:t xml:space="preserve"> </w:t>
      </w:r>
    </w:p>
    <w:p w:rsidR="000B5037" w:rsidRDefault="00DE67A3" w:rsidP="005F0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D9D">
        <w:rPr>
          <w:rFonts w:ascii="Times New Roman" w:hAnsi="Times New Roman"/>
          <w:b/>
          <w:sz w:val="24"/>
          <w:szCs w:val="24"/>
        </w:rPr>
        <w:t>Área Foliar (cm</w:t>
      </w:r>
      <w:r w:rsidRPr="003C7D9D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3C7D9D">
        <w:rPr>
          <w:rFonts w:ascii="Times New Roman" w:hAnsi="Times New Roman"/>
          <w:b/>
          <w:sz w:val="24"/>
          <w:szCs w:val="24"/>
        </w:rPr>
        <w:t>)</w:t>
      </w:r>
      <w:r w:rsidR="00C4003E">
        <w:rPr>
          <w:rFonts w:ascii="Times New Roman" w:hAnsi="Times New Roman"/>
          <w:b/>
          <w:sz w:val="24"/>
          <w:szCs w:val="24"/>
        </w:rPr>
        <w:t>.</w:t>
      </w:r>
      <w:r w:rsidRPr="003C7D9D">
        <w:rPr>
          <w:rFonts w:ascii="Times New Roman" w:hAnsi="Times New Roman"/>
          <w:b/>
          <w:sz w:val="24"/>
          <w:szCs w:val="24"/>
        </w:rPr>
        <w:t xml:space="preserve"> </w:t>
      </w:r>
      <w:r w:rsidRPr="003C7D9D">
        <w:rPr>
          <w:rFonts w:ascii="Times New Roman" w:hAnsi="Times New Roman"/>
          <w:sz w:val="24"/>
          <w:szCs w:val="24"/>
        </w:rPr>
        <w:t xml:space="preserve">Se evidenció mayor área foliar en los tratamientos T3 y T2 </w:t>
      </w:r>
      <w:r w:rsidR="000B5037">
        <w:rPr>
          <w:rFonts w:ascii="Times New Roman" w:hAnsi="Times New Roman"/>
          <w:sz w:val="24"/>
          <w:szCs w:val="24"/>
        </w:rPr>
        <w:t xml:space="preserve">en comparación con el </w:t>
      </w:r>
      <w:r w:rsidRPr="003C7D9D">
        <w:rPr>
          <w:rFonts w:ascii="Times New Roman" w:hAnsi="Times New Roman"/>
          <w:sz w:val="24"/>
          <w:szCs w:val="24"/>
        </w:rPr>
        <w:t xml:space="preserve">tratamiento </w:t>
      </w:r>
      <w:r w:rsidR="0038326A">
        <w:rPr>
          <w:rFonts w:ascii="Times New Roman" w:hAnsi="Times New Roman"/>
          <w:sz w:val="24"/>
          <w:szCs w:val="24"/>
        </w:rPr>
        <w:t>T</w:t>
      </w:r>
      <w:r w:rsidRPr="003C7D9D">
        <w:rPr>
          <w:rFonts w:ascii="Times New Roman" w:hAnsi="Times New Roman"/>
          <w:sz w:val="24"/>
          <w:szCs w:val="24"/>
        </w:rPr>
        <w:t>1</w:t>
      </w:r>
      <w:r w:rsidR="005D173A" w:rsidRPr="003C7D9D">
        <w:rPr>
          <w:rFonts w:ascii="Times New Roman" w:hAnsi="Times New Roman"/>
          <w:sz w:val="24"/>
          <w:szCs w:val="24"/>
        </w:rPr>
        <w:t xml:space="preserve">, </w:t>
      </w:r>
      <w:r w:rsidR="0038326A">
        <w:rPr>
          <w:rFonts w:ascii="Times New Roman" w:hAnsi="Times New Roman"/>
          <w:sz w:val="24"/>
          <w:szCs w:val="24"/>
        </w:rPr>
        <w:t xml:space="preserve">obteniéndose una </w:t>
      </w:r>
      <w:r w:rsidR="0038326A" w:rsidRPr="003C7D9D">
        <w:rPr>
          <w:rFonts w:ascii="Times New Roman" w:hAnsi="Times New Roman"/>
          <w:sz w:val="24"/>
          <w:szCs w:val="24"/>
        </w:rPr>
        <w:t xml:space="preserve">diferencia altamente significativa (P&lt;0.01) </w:t>
      </w:r>
      <w:r w:rsidR="005D173A" w:rsidRPr="003C7D9D">
        <w:rPr>
          <w:rFonts w:ascii="Times New Roman" w:hAnsi="Times New Roman"/>
          <w:sz w:val="24"/>
          <w:szCs w:val="24"/>
        </w:rPr>
        <w:t xml:space="preserve">a los 35 días; </w:t>
      </w:r>
      <w:r w:rsidR="005D173A" w:rsidRPr="003C7D9D">
        <w:rPr>
          <w:rFonts w:ascii="Times New Roman" w:hAnsi="Times New Roman"/>
          <w:color w:val="000000"/>
          <w:sz w:val="24"/>
          <w:szCs w:val="24"/>
        </w:rPr>
        <w:t>ésta</w:t>
      </w:r>
      <w:r w:rsidR="005D173A" w:rsidRPr="003C7D9D">
        <w:rPr>
          <w:rFonts w:ascii="Times New Roman" w:hAnsi="Times New Roman"/>
          <w:sz w:val="24"/>
          <w:szCs w:val="24"/>
        </w:rPr>
        <w:t xml:space="preserve"> característica incide en una mejor capacidad fotosintética de las plantas, que redunda en un mayor crecimiento</w:t>
      </w:r>
      <w:r w:rsidR="005F074C">
        <w:rPr>
          <w:rFonts w:ascii="Times New Roman" w:hAnsi="Times New Roman"/>
          <w:sz w:val="24"/>
          <w:szCs w:val="24"/>
        </w:rPr>
        <w:t xml:space="preserve"> y</w:t>
      </w:r>
      <w:r w:rsidR="000C78E4" w:rsidRPr="003C7D9D">
        <w:rPr>
          <w:rFonts w:ascii="Times New Roman" w:hAnsi="Times New Roman"/>
          <w:color w:val="000000"/>
          <w:sz w:val="24"/>
          <w:szCs w:val="24"/>
        </w:rPr>
        <w:t xml:space="preserve"> mayor desarrollo de su parte aérea</w:t>
      </w:r>
      <w:r w:rsidR="005F07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019C7">
        <w:rPr>
          <w:rFonts w:ascii="Times New Roman" w:hAnsi="Times New Roman"/>
          <w:sz w:val="24"/>
          <w:szCs w:val="24"/>
        </w:rPr>
        <w:t>(</w:t>
      </w:r>
      <w:proofErr w:type="spellStart"/>
      <w:r w:rsidR="00E019C7" w:rsidRPr="00E019C7">
        <w:rPr>
          <w:rFonts w:ascii="Times New Roman" w:hAnsi="Times New Roman"/>
          <w:sz w:val="24"/>
          <w:szCs w:val="24"/>
        </w:rPr>
        <w:t>Mayak</w:t>
      </w:r>
      <w:proofErr w:type="spellEnd"/>
      <w:r w:rsidR="00E019C7" w:rsidRPr="00E019C7">
        <w:rPr>
          <w:rFonts w:ascii="Times New Roman" w:hAnsi="Times New Roman"/>
          <w:sz w:val="24"/>
          <w:szCs w:val="24"/>
        </w:rPr>
        <w:t xml:space="preserve"> </w:t>
      </w:r>
      <w:r w:rsidR="00E019C7">
        <w:rPr>
          <w:rFonts w:ascii="Times New Roman" w:hAnsi="Times New Roman"/>
          <w:i/>
          <w:sz w:val="24"/>
          <w:szCs w:val="24"/>
        </w:rPr>
        <w:t>et al</w:t>
      </w:r>
      <w:r w:rsidR="00E019C7">
        <w:rPr>
          <w:rFonts w:ascii="Times New Roman" w:hAnsi="Times New Roman"/>
          <w:sz w:val="24"/>
          <w:szCs w:val="24"/>
        </w:rPr>
        <w:t xml:space="preserve">., 2004; </w:t>
      </w:r>
      <w:r w:rsidR="00E019C7" w:rsidRPr="004453B3">
        <w:rPr>
          <w:rFonts w:ascii="Times New Roman" w:hAnsi="Times New Roman"/>
          <w:sz w:val="24"/>
          <w:szCs w:val="24"/>
        </w:rPr>
        <w:t>Santillana</w:t>
      </w:r>
      <w:r w:rsidR="00E019C7">
        <w:rPr>
          <w:rFonts w:ascii="Times New Roman" w:hAnsi="Times New Roman"/>
          <w:sz w:val="24"/>
          <w:szCs w:val="24"/>
        </w:rPr>
        <w:t>, 2006)</w:t>
      </w:r>
      <w:r w:rsidR="000C78E4" w:rsidRPr="003C7D9D">
        <w:rPr>
          <w:rFonts w:ascii="Times New Roman" w:hAnsi="Times New Roman"/>
          <w:sz w:val="24"/>
          <w:szCs w:val="24"/>
        </w:rPr>
        <w:t>.</w:t>
      </w:r>
      <w:r w:rsidR="00AC6D56">
        <w:rPr>
          <w:rFonts w:ascii="Times New Roman" w:hAnsi="Times New Roman"/>
          <w:sz w:val="24"/>
          <w:szCs w:val="24"/>
        </w:rPr>
        <w:t xml:space="preserve"> </w:t>
      </w:r>
      <w:r w:rsidR="005F074C">
        <w:rPr>
          <w:rFonts w:ascii="Times New Roman" w:hAnsi="Times New Roman"/>
          <w:sz w:val="24"/>
          <w:szCs w:val="24"/>
        </w:rPr>
        <w:t xml:space="preserve">Investigaciones realizadas por </w:t>
      </w:r>
      <w:r w:rsidR="000B5037" w:rsidRPr="00482BDA">
        <w:rPr>
          <w:rFonts w:ascii="Times New Roman" w:hAnsi="Times New Roman"/>
          <w:sz w:val="24"/>
          <w:szCs w:val="24"/>
        </w:rPr>
        <w:t xml:space="preserve">Ahmad </w:t>
      </w:r>
      <w:r w:rsidR="000B5037" w:rsidRPr="005F074C">
        <w:rPr>
          <w:rFonts w:ascii="Times New Roman" w:hAnsi="Times New Roman"/>
          <w:i/>
          <w:sz w:val="24"/>
          <w:szCs w:val="24"/>
        </w:rPr>
        <w:t>et al.</w:t>
      </w:r>
      <w:r w:rsidR="000B5037" w:rsidRPr="00482BDA">
        <w:rPr>
          <w:rFonts w:ascii="Times New Roman" w:hAnsi="Times New Roman"/>
          <w:sz w:val="24"/>
          <w:szCs w:val="24"/>
        </w:rPr>
        <w:t xml:space="preserve"> (2013) </w:t>
      </w:r>
      <w:r w:rsidR="005F074C">
        <w:rPr>
          <w:rFonts w:ascii="Times New Roman" w:hAnsi="Times New Roman"/>
          <w:sz w:val="24"/>
          <w:szCs w:val="24"/>
        </w:rPr>
        <w:t xml:space="preserve">han </w:t>
      </w:r>
      <w:r w:rsidR="000B5037" w:rsidRPr="00482BDA">
        <w:rPr>
          <w:rFonts w:ascii="Times New Roman" w:hAnsi="Times New Roman"/>
          <w:sz w:val="24"/>
          <w:szCs w:val="24"/>
        </w:rPr>
        <w:t>encontr</w:t>
      </w:r>
      <w:r w:rsidR="005F074C">
        <w:rPr>
          <w:rFonts w:ascii="Times New Roman" w:hAnsi="Times New Roman"/>
          <w:sz w:val="24"/>
          <w:szCs w:val="24"/>
        </w:rPr>
        <w:t>ado</w:t>
      </w:r>
      <w:r w:rsidR="000B5037" w:rsidRPr="00482BDA">
        <w:rPr>
          <w:rFonts w:ascii="Times New Roman" w:hAnsi="Times New Roman"/>
          <w:sz w:val="24"/>
          <w:szCs w:val="24"/>
        </w:rPr>
        <w:t xml:space="preserve"> correlación entre el incremento del área foliar por la </w:t>
      </w:r>
      <w:proofErr w:type="spellStart"/>
      <w:r w:rsidR="000B5037" w:rsidRPr="00482BDA">
        <w:rPr>
          <w:rFonts w:ascii="Times New Roman" w:hAnsi="Times New Roman"/>
          <w:sz w:val="24"/>
          <w:szCs w:val="24"/>
        </w:rPr>
        <w:t>co</w:t>
      </w:r>
      <w:proofErr w:type="spellEnd"/>
      <w:r w:rsidR="000B5037" w:rsidRPr="00482BDA">
        <w:rPr>
          <w:rFonts w:ascii="Times New Roman" w:hAnsi="Times New Roman"/>
          <w:sz w:val="24"/>
          <w:szCs w:val="24"/>
        </w:rPr>
        <w:t xml:space="preserve">-inoculación de </w:t>
      </w:r>
      <w:proofErr w:type="spellStart"/>
      <w:r w:rsidR="000B5037" w:rsidRPr="00482BDA">
        <w:rPr>
          <w:rFonts w:ascii="Times New Roman" w:hAnsi="Times New Roman"/>
          <w:sz w:val="24"/>
          <w:szCs w:val="24"/>
        </w:rPr>
        <w:t>rizobacterias</w:t>
      </w:r>
      <w:proofErr w:type="spellEnd"/>
      <w:r w:rsidR="000B5037" w:rsidRPr="00482BDA">
        <w:rPr>
          <w:rFonts w:ascii="Times New Roman" w:hAnsi="Times New Roman"/>
          <w:sz w:val="24"/>
          <w:szCs w:val="24"/>
        </w:rPr>
        <w:t xml:space="preserve"> de los géneros </w:t>
      </w:r>
      <w:proofErr w:type="spellStart"/>
      <w:r w:rsidR="000B5037" w:rsidRPr="00482BDA">
        <w:rPr>
          <w:rFonts w:ascii="Times New Roman" w:hAnsi="Times New Roman"/>
          <w:i/>
          <w:iCs/>
          <w:sz w:val="24"/>
          <w:szCs w:val="24"/>
        </w:rPr>
        <w:t>Rhizobium</w:t>
      </w:r>
      <w:proofErr w:type="spellEnd"/>
      <w:r w:rsidR="000B5037" w:rsidRPr="00482BD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B5037" w:rsidRPr="00482BDA">
        <w:rPr>
          <w:rFonts w:ascii="Times New Roman" w:hAnsi="Times New Roman"/>
          <w:sz w:val="24"/>
          <w:szCs w:val="24"/>
        </w:rPr>
        <w:t xml:space="preserve">y </w:t>
      </w:r>
      <w:proofErr w:type="spellStart"/>
      <w:r w:rsidR="000B5037" w:rsidRPr="00482BDA">
        <w:rPr>
          <w:rFonts w:ascii="Times New Roman" w:hAnsi="Times New Roman"/>
          <w:i/>
          <w:iCs/>
          <w:sz w:val="24"/>
          <w:szCs w:val="24"/>
        </w:rPr>
        <w:t>Pseudomonas</w:t>
      </w:r>
      <w:proofErr w:type="spellEnd"/>
      <w:r w:rsidR="000B5037" w:rsidRPr="00482BD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B5037" w:rsidRPr="00482BDA">
        <w:rPr>
          <w:rFonts w:ascii="Times New Roman" w:hAnsi="Times New Roman"/>
          <w:sz w:val="24"/>
          <w:szCs w:val="24"/>
        </w:rPr>
        <w:t>y el aumento del contenido de clorofila en plantas de fríjol chino (</w:t>
      </w:r>
      <w:proofErr w:type="spellStart"/>
      <w:r w:rsidR="000B5037" w:rsidRPr="00482BDA">
        <w:rPr>
          <w:rFonts w:ascii="Times New Roman" w:hAnsi="Times New Roman"/>
          <w:i/>
          <w:iCs/>
          <w:sz w:val="24"/>
          <w:szCs w:val="24"/>
        </w:rPr>
        <w:t>Vigna</w:t>
      </w:r>
      <w:proofErr w:type="spellEnd"/>
      <w:r w:rsidR="000B5037" w:rsidRPr="00482BDA">
        <w:rPr>
          <w:rFonts w:ascii="Times New Roman" w:hAnsi="Times New Roman"/>
          <w:i/>
          <w:iCs/>
          <w:sz w:val="24"/>
          <w:szCs w:val="24"/>
        </w:rPr>
        <w:t xml:space="preserve"> radiata </w:t>
      </w:r>
      <w:r w:rsidR="000B5037" w:rsidRPr="00482BDA">
        <w:rPr>
          <w:rFonts w:ascii="Times New Roman" w:hAnsi="Times New Roman"/>
          <w:sz w:val="24"/>
          <w:szCs w:val="24"/>
        </w:rPr>
        <w:t>L.).</w:t>
      </w:r>
    </w:p>
    <w:p w:rsidR="00D619FC" w:rsidRPr="00482BDA" w:rsidRDefault="00D619FC" w:rsidP="005F0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074C" w:rsidRDefault="00A41D09" w:rsidP="005F0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 importante resaltar</w:t>
      </w:r>
      <w:r w:rsidR="005F074C">
        <w:rPr>
          <w:rFonts w:ascii="Times New Roman" w:hAnsi="Times New Roman"/>
          <w:sz w:val="24"/>
          <w:szCs w:val="24"/>
        </w:rPr>
        <w:t xml:space="preserve"> que el efecto del tratamiento inoculado (</w:t>
      </w:r>
      <w:r w:rsidR="005F074C" w:rsidRPr="003C7D9D">
        <w:rPr>
          <w:rFonts w:ascii="Times New Roman" w:hAnsi="Times New Roman"/>
          <w:sz w:val="24"/>
          <w:szCs w:val="24"/>
        </w:rPr>
        <w:t>T2</w:t>
      </w:r>
      <w:r w:rsidR="005F074C">
        <w:rPr>
          <w:rFonts w:ascii="Times New Roman" w:hAnsi="Times New Roman"/>
          <w:sz w:val="24"/>
          <w:szCs w:val="24"/>
        </w:rPr>
        <w:t xml:space="preserve">) sobre el área foliar fue similar al </w:t>
      </w:r>
      <w:r w:rsidR="00DF40E7">
        <w:rPr>
          <w:rFonts w:ascii="Times New Roman" w:hAnsi="Times New Roman"/>
          <w:sz w:val="24"/>
          <w:szCs w:val="24"/>
        </w:rPr>
        <w:t xml:space="preserve">tratamiento con </w:t>
      </w:r>
      <w:r w:rsidR="005F074C">
        <w:rPr>
          <w:rFonts w:ascii="Times New Roman" w:hAnsi="Times New Roman"/>
          <w:sz w:val="24"/>
          <w:szCs w:val="24"/>
        </w:rPr>
        <w:t>fertilizante químico</w:t>
      </w:r>
      <w:r w:rsidR="005F074C" w:rsidRPr="00542C74">
        <w:rPr>
          <w:rFonts w:ascii="Times New Roman" w:hAnsi="Times New Roman"/>
          <w:sz w:val="24"/>
          <w:szCs w:val="24"/>
        </w:rPr>
        <w:t xml:space="preserve"> </w:t>
      </w:r>
      <w:r w:rsidR="005F074C">
        <w:rPr>
          <w:rFonts w:ascii="Times New Roman" w:hAnsi="Times New Roman"/>
          <w:sz w:val="24"/>
          <w:szCs w:val="24"/>
        </w:rPr>
        <w:t>(</w:t>
      </w:r>
      <w:r w:rsidR="005F074C" w:rsidRPr="003C7D9D">
        <w:rPr>
          <w:rFonts w:ascii="Times New Roman" w:hAnsi="Times New Roman"/>
          <w:sz w:val="24"/>
          <w:szCs w:val="24"/>
        </w:rPr>
        <w:t>T3</w:t>
      </w:r>
      <w:r w:rsidR="005F074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demostrándose </w:t>
      </w:r>
      <w:r w:rsidR="00DF40E7">
        <w:rPr>
          <w:rFonts w:ascii="Times New Roman" w:hAnsi="Times New Roman"/>
          <w:sz w:val="24"/>
          <w:szCs w:val="24"/>
        </w:rPr>
        <w:t xml:space="preserve">los beneficios del consorcio nativo. </w:t>
      </w:r>
    </w:p>
    <w:p w:rsidR="00DF40E7" w:rsidRDefault="00DF40E7" w:rsidP="005F0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67A3" w:rsidRDefault="00DE67A3" w:rsidP="006C6A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D9D">
        <w:rPr>
          <w:rFonts w:ascii="Times New Roman" w:hAnsi="Times New Roman"/>
          <w:b/>
          <w:sz w:val="24"/>
          <w:szCs w:val="24"/>
        </w:rPr>
        <w:t xml:space="preserve">Longitud de la raíz (cm): </w:t>
      </w:r>
      <w:r w:rsidR="009003CC" w:rsidRPr="003C7D9D">
        <w:rPr>
          <w:rFonts w:ascii="Times New Roman" w:hAnsi="Times New Roman"/>
          <w:sz w:val="24"/>
          <w:szCs w:val="24"/>
        </w:rPr>
        <w:t xml:space="preserve">Los resultados para este parámetro a los 21 días, evidencian una diferencia significativa (P&lt;0.05) en </w:t>
      </w:r>
      <w:r w:rsidR="005D173A" w:rsidRPr="003C7D9D">
        <w:rPr>
          <w:rFonts w:ascii="Times New Roman" w:hAnsi="Times New Roman"/>
          <w:sz w:val="24"/>
          <w:szCs w:val="24"/>
        </w:rPr>
        <w:t xml:space="preserve">la longitud de la </w:t>
      </w:r>
      <w:r w:rsidR="00F80913" w:rsidRPr="003C7D9D">
        <w:rPr>
          <w:rFonts w:ascii="Times New Roman" w:hAnsi="Times New Roman"/>
          <w:sz w:val="24"/>
          <w:szCs w:val="24"/>
        </w:rPr>
        <w:t>raíz</w:t>
      </w:r>
      <w:r w:rsidR="009003CC" w:rsidRPr="003C7D9D">
        <w:rPr>
          <w:rFonts w:ascii="Times New Roman" w:hAnsi="Times New Roman"/>
          <w:sz w:val="24"/>
          <w:szCs w:val="24"/>
        </w:rPr>
        <w:t xml:space="preserve"> </w:t>
      </w:r>
      <w:r w:rsidR="00C02D70">
        <w:rPr>
          <w:rFonts w:ascii="Times New Roman" w:hAnsi="Times New Roman"/>
          <w:sz w:val="24"/>
          <w:szCs w:val="24"/>
        </w:rPr>
        <w:t xml:space="preserve">debido a </w:t>
      </w:r>
      <w:r w:rsidR="009003CC" w:rsidRPr="003C7D9D">
        <w:rPr>
          <w:rFonts w:ascii="Times New Roman" w:hAnsi="Times New Roman"/>
          <w:sz w:val="24"/>
          <w:szCs w:val="24"/>
        </w:rPr>
        <w:t>que mostr</w:t>
      </w:r>
      <w:r w:rsidR="00BC6A78">
        <w:rPr>
          <w:rFonts w:ascii="Times New Roman" w:hAnsi="Times New Roman"/>
          <w:sz w:val="24"/>
          <w:szCs w:val="24"/>
        </w:rPr>
        <w:t>ó</w:t>
      </w:r>
      <w:r w:rsidR="009003CC" w:rsidRPr="003C7D9D">
        <w:rPr>
          <w:rFonts w:ascii="Times New Roman" w:hAnsi="Times New Roman"/>
          <w:sz w:val="24"/>
          <w:szCs w:val="24"/>
        </w:rPr>
        <w:t xml:space="preserve"> dif</w:t>
      </w:r>
      <w:r w:rsidR="005D173A" w:rsidRPr="003C7D9D">
        <w:rPr>
          <w:rFonts w:ascii="Times New Roman" w:hAnsi="Times New Roman"/>
          <w:sz w:val="24"/>
          <w:szCs w:val="24"/>
        </w:rPr>
        <w:t>erencia entre los tratamiento T2</w:t>
      </w:r>
      <w:r w:rsidR="00E625C0" w:rsidRPr="00E625C0">
        <w:rPr>
          <w:rFonts w:ascii="Times New Roman" w:hAnsi="Times New Roman"/>
          <w:sz w:val="24"/>
          <w:szCs w:val="24"/>
        </w:rPr>
        <w:t xml:space="preserve"> </w:t>
      </w:r>
      <w:r w:rsidR="00C02D70">
        <w:rPr>
          <w:rFonts w:ascii="Times New Roman" w:hAnsi="Times New Roman"/>
          <w:sz w:val="24"/>
          <w:szCs w:val="24"/>
        </w:rPr>
        <w:t>(</w:t>
      </w:r>
      <w:r w:rsidR="00E625C0" w:rsidRPr="003C7D9D">
        <w:rPr>
          <w:rFonts w:ascii="Times New Roman" w:hAnsi="Times New Roman"/>
          <w:sz w:val="24"/>
          <w:szCs w:val="24"/>
        </w:rPr>
        <w:t>semillas inoculadas</w:t>
      </w:r>
      <w:r w:rsidR="00C02D70">
        <w:rPr>
          <w:rFonts w:ascii="Times New Roman" w:hAnsi="Times New Roman"/>
          <w:sz w:val="24"/>
          <w:szCs w:val="24"/>
        </w:rPr>
        <w:t>)</w:t>
      </w:r>
      <w:r w:rsidR="00E625C0" w:rsidRPr="003C7D9D">
        <w:rPr>
          <w:rFonts w:ascii="Times New Roman" w:hAnsi="Times New Roman"/>
          <w:sz w:val="24"/>
          <w:szCs w:val="24"/>
        </w:rPr>
        <w:t xml:space="preserve"> </w:t>
      </w:r>
      <w:r w:rsidR="009003CC" w:rsidRPr="003C7D9D">
        <w:rPr>
          <w:rFonts w:ascii="Times New Roman" w:hAnsi="Times New Roman"/>
          <w:sz w:val="24"/>
          <w:szCs w:val="24"/>
        </w:rPr>
        <w:t xml:space="preserve">al compararse con T1 </w:t>
      </w:r>
      <w:r w:rsidR="00C02D70">
        <w:rPr>
          <w:rFonts w:ascii="Times New Roman" w:hAnsi="Times New Roman"/>
          <w:sz w:val="24"/>
          <w:szCs w:val="24"/>
        </w:rPr>
        <w:t xml:space="preserve">(testigo, </w:t>
      </w:r>
      <w:r w:rsidR="009003CC" w:rsidRPr="003C7D9D">
        <w:rPr>
          <w:rFonts w:ascii="Times New Roman" w:hAnsi="Times New Roman"/>
          <w:sz w:val="24"/>
          <w:szCs w:val="24"/>
        </w:rPr>
        <w:t>semillas sin ningún tipo de tratamie</w:t>
      </w:r>
      <w:r w:rsidR="005D173A" w:rsidRPr="003C7D9D">
        <w:rPr>
          <w:rFonts w:ascii="Times New Roman" w:hAnsi="Times New Roman"/>
          <w:sz w:val="24"/>
          <w:szCs w:val="24"/>
        </w:rPr>
        <w:t>nto</w:t>
      </w:r>
      <w:r w:rsidR="00C02D70">
        <w:rPr>
          <w:rFonts w:ascii="Times New Roman" w:hAnsi="Times New Roman"/>
          <w:sz w:val="24"/>
          <w:szCs w:val="24"/>
        </w:rPr>
        <w:t xml:space="preserve">); </w:t>
      </w:r>
      <w:r w:rsidR="005D173A" w:rsidRPr="003C7D9D">
        <w:rPr>
          <w:rFonts w:ascii="Times New Roman" w:hAnsi="Times New Roman"/>
          <w:sz w:val="24"/>
          <w:szCs w:val="24"/>
        </w:rPr>
        <w:t>el tratamiento T3</w:t>
      </w:r>
      <w:r w:rsidR="009003CC" w:rsidRPr="003C7D9D">
        <w:rPr>
          <w:rFonts w:ascii="Times New Roman" w:hAnsi="Times New Roman"/>
          <w:sz w:val="24"/>
          <w:szCs w:val="24"/>
        </w:rPr>
        <w:t xml:space="preserve"> </w:t>
      </w:r>
      <w:r w:rsidR="00C02D70">
        <w:rPr>
          <w:rFonts w:ascii="Times New Roman" w:hAnsi="Times New Roman"/>
          <w:sz w:val="24"/>
          <w:szCs w:val="24"/>
        </w:rPr>
        <w:t>(</w:t>
      </w:r>
      <w:r w:rsidR="00E625C0" w:rsidRPr="003C7D9D">
        <w:rPr>
          <w:rFonts w:ascii="Times New Roman" w:hAnsi="Times New Roman"/>
          <w:sz w:val="24"/>
          <w:szCs w:val="24"/>
        </w:rPr>
        <w:t>semillas tratadas con fertilizantes comercial</w:t>
      </w:r>
      <w:r w:rsidR="00C02D70">
        <w:rPr>
          <w:rFonts w:ascii="Times New Roman" w:hAnsi="Times New Roman"/>
          <w:sz w:val="24"/>
          <w:szCs w:val="24"/>
        </w:rPr>
        <w:t>)</w:t>
      </w:r>
      <w:r w:rsidR="009003CC" w:rsidRPr="003C7D9D">
        <w:rPr>
          <w:rFonts w:ascii="Times New Roman" w:hAnsi="Times New Roman"/>
          <w:sz w:val="24"/>
          <w:szCs w:val="24"/>
        </w:rPr>
        <w:t xml:space="preserve"> </w:t>
      </w:r>
      <w:r w:rsidR="00BC6A78">
        <w:rPr>
          <w:rFonts w:ascii="Times New Roman" w:hAnsi="Times New Roman"/>
          <w:sz w:val="24"/>
          <w:szCs w:val="24"/>
        </w:rPr>
        <w:t xml:space="preserve">fue similar a </w:t>
      </w:r>
      <w:r w:rsidR="009003CC" w:rsidRPr="003C7D9D">
        <w:rPr>
          <w:rFonts w:ascii="Times New Roman" w:hAnsi="Times New Roman"/>
          <w:sz w:val="24"/>
          <w:szCs w:val="24"/>
        </w:rPr>
        <w:t>dos tratamiento</w:t>
      </w:r>
      <w:r w:rsidR="00BC6A78">
        <w:rPr>
          <w:rFonts w:ascii="Times New Roman" w:hAnsi="Times New Roman"/>
          <w:sz w:val="24"/>
          <w:szCs w:val="24"/>
        </w:rPr>
        <w:t>s</w:t>
      </w:r>
      <w:r w:rsidR="009003CC" w:rsidRPr="003C7D9D">
        <w:rPr>
          <w:rFonts w:ascii="Times New Roman" w:hAnsi="Times New Roman"/>
          <w:sz w:val="24"/>
          <w:szCs w:val="24"/>
        </w:rPr>
        <w:t>.</w:t>
      </w:r>
      <w:r w:rsidR="005D173A" w:rsidRPr="003C7D9D">
        <w:rPr>
          <w:rFonts w:ascii="Times New Roman" w:hAnsi="Times New Roman"/>
          <w:sz w:val="24"/>
          <w:szCs w:val="24"/>
        </w:rPr>
        <w:t xml:space="preserve"> </w:t>
      </w:r>
      <w:r w:rsidR="00C02D70">
        <w:rPr>
          <w:rFonts w:ascii="Times New Roman" w:hAnsi="Times New Roman"/>
          <w:sz w:val="24"/>
          <w:szCs w:val="24"/>
        </w:rPr>
        <w:t>A</w:t>
      </w:r>
      <w:r w:rsidR="005D173A" w:rsidRPr="003C7D9D">
        <w:rPr>
          <w:rFonts w:ascii="Times New Roman" w:hAnsi="Times New Roman"/>
          <w:sz w:val="24"/>
          <w:szCs w:val="24"/>
        </w:rPr>
        <w:t xml:space="preserve"> los 35 días</w:t>
      </w:r>
      <w:r w:rsidR="00C02D70">
        <w:rPr>
          <w:rFonts w:ascii="Times New Roman" w:hAnsi="Times New Roman"/>
          <w:sz w:val="24"/>
          <w:szCs w:val="24"/>
        </w:rPr>
        <w:t>,</w:t>
      </w:r>
      <w:r w:rsidRPr="003C7D9D">
        <w:rPr>
          <w:rFonts w:ascii="Times New Roman" w:hAnsi="Times New Roman"/>
          <w:sz w:val="24"/>
          <w:szCs w:val="24"/>
        </w:rPr>
        <w:t xml:space="preserve"> el tratamiento T2 </w:t>
      </w:r>
      <w:r w:rsidR="007D13A0">
        <w:rPr>
          <w:rFonts w:ascii="Times New Roman" w:hAnsi="Times New Roman"/>
          <w:sz w:val="24"/>
          <w:szCs w:val="24"/>
        </w:rPr>
        <w:t>logró</w:t>
      </w:r>
      <w:r w:rsidRPr="003C7D9D">
        <w:rPr>
          <w:rFonts w:ascii="Times New Roman" w:hAnsi="Times New Roman"/>
          <w:sz w:val="24"/>
          <w:szCs w:val="24"/>
        </w:rPr>
        <w:t xml:space="preserve"> </w:t>
      </w:r>
      <w:r w:rsidR="00C02D70">
        <w:rPr>
          <w:rFonts w:ascii="Times New Roman" w:hAnsi="Times New Roman"/>
          <w:sz w:val="24"/>
          <w:szCs w:val="24"/>
        </w:rPr>
        <w:t xml:space="preserve">una </w:t>
      </w:r>
      <w:r w:rsidRPr="003C7D9D">
        <w:rPr>
          <w:rFonts w:ascii="Times New Roman" w:hAnsi="Times New Roman"/>
          <w:sz w:val="24"/>
          <w:szCs w:val="24"/>
        </w:rPr>
        <w:t xml:space="preserve">mayor longitud de raíz, con un valor superior a 6 cm, mientras que </w:t>
      </w:r>
      <w:r w:rsidR="0041056E" w:rsidRPr="003C7D9D">
        <w:rPr>
          <w:rFonts w:ascii="Times New Roman" w:hAnsi="Times New Roman"/>
          <w:sz w:val="24"/>
          <w:szCs w:val="24"/>
        </w:rPr>
        <w:t>el</w:t>
      </w:r>
      <w:r w:rsidRPr="003C7D9D">
        <w:rPr>
          <w:rFonts w:ascii="Times New Roman" w:hAnsi="Times New Roman"/>
          <w:sz w:val="24"/>
          <w:szCs w:val="24"/>
        </w:rPr>
        <w:t xml:space="preserve"> tratamiento T1y T3 </w:t>
      </w:r>
      <w:r w:rsidR="00F2062A">
        <w:rPr>
          <w:rFonts w:ascii="Times New Roman" w:hAnsi="Times New Roman"/>
          <w:sz w:val="24"/>
          <w:szCs w:val="24"/>
        </w:rPr>
        <w:t>mostró</w:t>
      </w:r>
      <w:r w:rsidRPr="003C7D9D">
        <w:rPr>
          <w:rFonts w:ascii="Times New Roman" w:hAnsi="Times New Roman"/>
          <w:sz w:val="24"/>
          <w:szCs w:val="24"/>
        </w:rPr>
        <w:t xml:space="preserve"> una longitud alrededor 5,27 cm</w:t>
      </w:r>
      <w:r w:rsidR="00F2062A">
        <w:rPr>
          <w:rFonts w:ascii="Times New Roman" w:hAnsi="Times New Roman"/>
          <w:sz w:val="24"/>
          <w:szCs w:val="24"/>
        </w:rPr>
        <w:t xml:space="preserve">; </w:t>
      </w:r>
      <w:r w:rsidRPr="003C7D9D">
        <w:rPr>
          <w:rFonts w:ascii="Times New Roman" w:hAnsi="Times New Roman"/>
          <w:sz w:val="24"/>
          <w:szCs w:val="24"/>
        </w:rPr>
        <w:t xml:space="preserve"> no se present</w:t>
      </w:r>
      <w:r w:rsidR="00F2062A">
        <w:rPr>
          <w:rFonts w:ascii="Times New Roman" w:hAnsi="Times New Roman"/>
          <w:sz w:val="24"/>
          <w:szCs w:val="24"/>
        </w:rPr>
        <w:t>ó</w:t>
      </w:r>
      <w:r w:rsidRPr="003C7D9D">
        <w:rPr>
          <w:rFonts w:ascii="Times New Roman" w:hAnsi="Times New Roman"/>
          <w:sz w:val="24"/>
          <w:szCs w:val="24"/>
        </w:rPr>
        <w:t xml:space="preserve"> diferencia signi</w:t>
      </w:r>
      <w:r w:rsidR="00E625C0">
        <w:rPr>
          <w:rFonts w:ascii="Times New Roman" w:hAnsi="Times New Roman"/>
          <w:sz w:val="24"/>
          <w:szCs w:val="24"/>
        </w:rPr>
        <w:t>ficativa.</w:t>
      </w:r>
      <w:r w:rsidR="003611D4">
        <w:rPr>
          <w:rFonts w:ascii="Times New Roman" w:hAnsi="Times New Roman"/>
          <w:sz w:val="24"/>
          <w:szCs w:val="24"/>
        </w:rPr>
        <w:t xml:space="preserve"> </w:t>
      </w:r>
      <w:r w:rsidR="007D13A0">
        <w:rPr>
          <w:rFonts w:ascii="Times New Roman" w:hAnsi="Times New Roman"/>
          <w:sz w:val="24"/>
          <w:szCs w:val="24"/>
        </w:rPr>
        <w:t xml:space="preserve"> </w:t>
      </w:r>
      <w:r w:rsidR="003611D4">
        <w:rPr>
          <w:rFonts w:ascii="Times New Roman" w:hAnsi="Times New Roman"/>
          <w:sz w:val="24"/>
          <w:szCs w:val="24"/>
        </w:rPr>
        <w:t xml:space="preserve">El consorcio </w:t>
      </w:r>
      <w:r w:rsidR="007D13A0">
        <w:rPr>
          <w:rFonts w:ascii="Times New Roman" w:hAnsi="Times New Roman"/>
          <w:sz w:val="24"/>
          <w:szCs w:val="24"/>
        </w:rPr>
        <w:t>demostró</w:t>
      </w:r>
      <w:r w:rsidR="003611D4">
        <w:rPr>
          <w:rFonts w:ascii="Times New Roman" w:hAnsi="Times New Roman"/>
          <w:sz w:val="24"/>
          <w:szCs w:val="24"/>
        </w:rPr>
        <w:t xml:space="preserve"> efectos positivos sobre la longitud de la raíz que pueden ser atribuidos a la disponibilidad de Fósforo y también a la posible presencia de fitohormonas producidas por una o las dos cepas que forman el consorcio</w:t>
      </w:r>
      <w:r w:rsidR="007D13A0">
        <w:rPr>
          <w:rFonts w:ascii="Times New Roman" w:hAnsi="Times New Roman"/>
          <w:sz w:val="24"/>
          <w:szCs w:val="24"/>
        </w:rPr>
        <w:t xml:space="preserve">; la promoción del crecimiento ha sido atribuida a factores </w:t>
      </w:r>
      <w:r w:rsidR="007D13A0" w:rsidRPr="001C240D">
        <w:rPr>
          <w:rFonts w:ascii="Times New Roman" w:hAnsi="Times New Roman"/>
          <w:sz w:val="24"/>
          <w:szCs w:val="24"/>
        </w:rPr>
        <w:t>tales como la</w:t>
      </w:r>
      <w:r w:rsidR="007D13A0" w:rsidRPr="001C240D">
        <w:rPr>
          <w:rFonts w:ascii="Times New Roman" w:hAnsi="Times New Roman"/>
          <w:i/>
          <w:sz w:val="24"/>
          <w:szCs w:val="24"/>
        </w:rPr>
        <w:t xml:space="preserve"> </w:t>
      </w:r>
      <w:r w:rsidR="007D13A0" w:rsidRPr="001C240D">
        <w:rPr>
          <w:rFonts w:ascii="Times New Roman" w:hAnsi="Times New Roman"/>
          <w:sz w:val="24"/>
          <w:szCs w:val="24"/>
        </w:rPr>
        <w:t>síntesis de ciertas hormonas vegetales</w:t>
      </w:r>
      <w:r w:rsidR="007D13A0">
        <w:rPr>
          <w:rFonts w:ascii="Times New Roman" w:hAnsi="Times New Roman"/>
          <w:color w:val="000000"/>
          <w:sz w:val="24"/>
          <w:szCs w:val="24"/>
        </w:rPr>
        <w:t xml:space="preserve"> que </w:t>
      </w:r>
      <w:r w:rsidR="007D13A0" w:rsidRPr="001C240D">
        <w:rPr>
          <w:rFonts w:ascii="Times New Roman" w:hAnsi="Times New Roman"/>
          <w:color w:val="000000"/>
          <w:sz w:val="24"/>
          <w:szCs w:val="24"/>
        </w:rPr>
        <w:t>estimula la densidad y longitud de los pelos radicales aumentando así la cantidad de raíces en las plantas; se incrementa la capacidad de ab</w:t>
      </w:r>
      <w:r w:rsidR="007D13A0" w:rsidRPr="001C240D">
        <w:rPr>
          <w:rFonts w:ascii="Times New Roman" w:hAnsi="Times New Roman"/>
          <w:color w:val="000000"/>
          <w:sz w:val="24"/>
          <w:szCs w:val="24"/>
        </w:rPr>
        <w:softHyphen/>
        <w:t>sorción de agua y nutrientes, y permite que las plantas sean más vigorosas, productivas y tolerantes a condi</w:t>
      </w:r>
      <w:r w:rsidR="007D13A0" w:rsidRPr="001C240D">
        <w:rPr>
          <w:rFonts w:ascii="Times New Roman" w:hAnsi="Times New Roman"/>
          <w:color w:val="000000"/>
          <w:sz w:val="24"/>
          <w:szCs w:val="24"/>
        </w:rPr>
        <w:softHyphen/>
        <w:t xml:space="preserve">ciones climáticas adversas ( Lara </w:t>
      </w:r>
      <w:r w:rsidR="007D13A0" w:rsidRPr="001C240D">
        <w:rPr>
          <w:rFonts w:ascii="Times New Roman" w:hAnsi="Times New Roman"/>
          <w:i/>
          <w:color w:val="000000"/>
          <w:sz w:val="24"/>
          <w:szCs w:val="24"/>
        </w:rPr>
        <w:t xml:space="preserve"> et al</w:t>
      </w:r>
      <w:r w:rsidR="007D13A0" w:rsidRPr="001C240D">
        <w:rPr>
          <w:rFonts w:ascii="Times New Roman" w:hAnsi="Times New Roman"/>
          <w:color w:val="000000"/>
          <w:sz w:val="24"/>
          <w:szCs w:val="24"/>
        </w:rPr>
        <w:t>, 2011</w:t>
      </w:r>
      <w:r w:rsidR="007D13A0">
        <w:rPr>
          <w:rFonts w:ascii="Times New Roman" w:hAnsi="Times New Roman"/>
          <w:color w:val="000000"/>
          <w:sz w:val="24"/>
          <w:szCs w:val="24"/>
        </w:rPr>
        <w:t>b</w:t>
      </w:r>
      <w:r w:rsidR="007D13A0" w:rsidRPr="001C240D">
        <w:rPr>
          <w:rFonts w:ascii="Times New Roman" w:hAnsi="Times New Roman"/>
          <w:color w:val="000000"/>
          <w:sz w:val="24"/>
          <w:szCs w:val="24"/>
        </w:rPr>
        <w:t>;</w:t>
      </w:r>
      <w:r w:rsidR="007D13A0" w:rsidRPr="001C240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7D13A0" w:rsidRPr="001C240D">
        <w:rPr>
          <w:rFonts w:ascii="Times New Roman" w:hAnsi="Times New Roman"/>
          <w:color w:val="000000"/>
          <w:sz w:val="24"/>
          <w:szCs w:val="24"/>
        </w:rPr>
        <w:t>Kloepper</w:t>
      </w:r>
      <w:proofErr w:type="spellEnd"/>
      <w:r w:rsidR="007D13A0" w:rsidRPr="001C24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13A0" w:rsidRPr="001C240D">
        <w:rPr>
          <w:rFonts w:ascii="Times New Roman" w:hAnsi="Times New Roman"/>
          <w:i/>
          <w:iCs/>
          <w:color w:val="000000"/>
          <w:sz w:val="24"/>
          <w:szCs w:val="24"/>
        </w:rPr>
        <w:t>et al.</w:t>
      </w:r>
      <w:r w:rsidR="007D13A0" w:rsidRPr="001C240D">
        <w:rPr>
          <w:rFonts w:ascii="Times New Roman" w:hAnsi="Times New Roman"/>
          <w:color w:val="000000"/>
          <w:sz w:val="24"/>
          <w:szCs w:val="24"/>
        </w:rPr>
        <w:t>, 1991).</w:t>
      </w:r>
    </w:p>
    <w:p w:rsidR="00E90DED" w:rsidRDefault="005952C8" w:rsidP="006C6A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D9D">
        <w:rPr>
          <w:rFonts w:ascii="Times New Roman" w:hAnsi="Times New Roman"/>
          <w:b/>
          <w:sz w:val="24"/>
          <w:szCs w:val="24"/>
        </w:rPr>
        <w:t>Peso seco (g):</w:t>
      </w:r>
      <w:r w:rsidRPr="003C7D9D">
        <w:rPr>
          <w:rFonts w:ascii="Times New Roman" w:hAnsi="Times New Roman"/>
          <w:sz w:val="24"/>
          <w:szCs w:val="24"/>
        </w:rPr>
        <w:t xml:space="preserve"> Los pesos secos más altos se evidenciaron en los tratamientos  T3 y T2, alcanzando un peso máximo de 0,179</w:t>
      </w:r>
      <w:r w:rsidR="00316B14">
        <w:rPr>
          <w:rFonts w:ascii="Times New Roman" w:hAnsi="Times New Roman"/>
          <w:sz w:val="24"/>
          <w:szCs w:val="24"/>
        </w:rPr>
        <w:t xml:space="preserve"> </w:t>
      </w:r>
      <w:r w:rsidRPr="003C7D9D">
        <w:rPr>
          <w:rFonts w:ascii="Times New Roman" w:hAnsi="Times New Roman"/>
          <w:sz w:val="24"/>
          <w:szCs w:val="24"/>
        </w:rPr>
        <w:t xml:space="preserve">g, un valor inferior se mostró en el tratamiento T1 con un peso entre </w:t>
      </w:r>
      <w:r w:rsidR="006A1787">
        <w:rPr>
          <w:rFonts w:ascii="Times New Roman" w:hAnsi="Times New Roman"/>
          <w:sz w:val="24"/>
          <w:szCs w:val="24"/>
        </w:rPr>
        <w:t>0,09</w:t>
      </w:r>
      <w:r w:rsidRPr="003C7D9D">
        <w:rPr>
          <w:rFonts w:ascii="Times New Roman" w:hAnsi="Times New Roman"/>
          <w:sz w:val="24"/>
          <w:szCs w:val="24"/>
        </w:rPr>
        <w:t xml:space="preserve"> g</w:t>
      </w:r>
      <w:r w:rsidR="006A1787">
        <w:rPr>
          <w:rFonts w:ascii="Times New Roman" w:hAnsi="Times New Roman"/>
          <w:sz w:val="24"/>
          <w:szCs w:val="24"/>
        </w:rPr>
        <w:t>. A</w:t>
      </w:r>
      <w:r w:rsidR="00035193">
        <w:rPr>
          <w:rFonts w:ascii="Times New Roman" w:hAnsi="Times New Roman"/>
          <w:sz w:val="24"/>
          <w:szCs w:val="24"/>
        </w:rPr>
        <w:t xml:space="preserve"> los 35 días se </w:t>
      </w:r>
      <w:r w:rsidR="007F4C5B">
        <w:rPr>
          <w:rFonts w:ascii="Times New Roman" w:hAnsi="Times New Roman"/>
          <w:sz w:val="24"/>
          <w:szCs w:val="24"/>
        </w:rPr>
        <w:t xml:space="preserve">observó </w:t>
      </w:r>
      <w:r w:rsidRPr="003C7D9D">
        <w:rPr>
          <w:rFonts w:ascii="Times New Roman" w:hAnsi="Times New Roman"/>
          <w:sz w:val="24"/>
          <w:szCs w:val="24"/>
        </w:rPr>
        <w:t>diferencia altamente significativa (P&lt;0.01) entre los tratamientos T2 y T3 frente al trata</w:t>
      </w:r>
      <w:r w:rsidR="007F4C5B">
        <w:rPr>
          <w:rFonts w:ascii="Times New Roman" w:hAnsi="Times New Roman"/>
          <w:sz w:val="24"/>
          <w:szCs w:val="24"/>
        </w:rPr>
        <w:t>miento testigo (T1) que presentó</w:t>
      </w:r>
      <w:r w:rsidRPr="003C7D9D">
        <w:rPr>
          <w:rFonts w:ascii="Times New Roman" w:hAnsi="Times New Roman"/>
          <w:sz w:val="24"/>
          <w:szCs w:val="24"/>
        </w:rPr>
        <w:t xml:space="preserve"> bajo peso seco.</w:t>
      </w:r>
      <w:r w:rsidR="00A5695D" w:rsidRPr="003C7D9D">
        <w:rPr>
          <w:rFonts w:ascii="Times New Roman" w:hAnsi="Times New Roman"/>
          <w:sz w:val="24"/>
          <w:szCs w:val="24"/>
        </w:rPr>
        <w:t xml:space="preserve"> </w:t>
      </w:r>
      <w:r w:rsidRPr="003C7D9D">
        <w:rPr>
          <w:rFonts w:ascii="Times New Roman" w:hAnsi="Times New Roman"/>
          <w:sz w:val="24"/>
          <w:szCs w:val="24"/>
        </w:rPr>
        <w:t>La asimilación de fosfatos por parte de los vegetales contribuye al aumento de su metabolismo</w:t>
      </w:r>
      <w:r w:rsidR="007E7225">
        <w:rPr>
          <w:rFonts w:ascii="Times New Roman" w:hAnsi="Times New Roman"/>
          <w:sz w:val="24"/>
          <w:szCs w:val="24"/>
        </w:rPr>
        <w:t>,</w:t>
      </w:r>
      <w:r w:rsidRPr="003C7D9D">
        <w:rPr>
          <w:rFonts w:ascii="Times New Roman" w:hAnsi="Times New Roman"/>
          <w:sz w:val="24"/>
          <w:szCs w:val="24"/>
        </w:rPr>
        <w:t xml:space="preserve"> lo cual se refleja en mayo</w:t>
      </w:r>
      <w:r w:rsidR="007F4C5B">
        <w:rPr>
          <w:rFonts w:ascii="Times New Roman" w:hAnsi="Times New Roman"/>
          <w:sz w:val="24"/>
          <w:szCs w:val="24"/>
        </w:rPr>
        <w:t xml:space="preserve">r </w:t>
      </w:r>
      <w:r w:rsidRPr="003C7D9D">
        <w:rPr>
          <w:rFonts w:ascii="Times New Roman" w:hAnsi="Times New Roman"/>
          <w:sz w:val="24"/>
          <w:szCs w:val="24"/>
        </w:rPr>
        <w:t xml:space="preserve">contenido de materia orgánica, </w:t>
      </w:r>
      <w:r w:rsidRPr="003C7D9D">
        <w:rPr>
          <w:rFonts w:ascii="Times New Roman" w:hAnsi="Times New Roman"/>
          <w:color w:val="000000"/>
          <w:sz w:val="24"/>
          <w:szCs w:val="24"/>
          <w:lang w:val="es-MX"/>
        </w:rPr>
        <w:t>crecimiento de las raíces en estado de plántula, acelera</w:t>
      </w:r>
      <w:r w:rsidR="007E7225">
        <w:rPr>
          <w:rFonts w:ascii="Times New Roman" w:hAnsi="Times New Roman"/>
          <w:color w:val="000000"/>
          <w:sz w:val="24"/>
          <w:szCs w:val="24"/>
          <w:lang w:val="es-MX"/>
        </w:rPr>
        <w:t xml:space="preserve"> </w:t>
      </w:r>
      <w:r w:rsidRPr="003C7D9D">
        <w:rPr>
          <w:rFonts w:ascii="Times New Roman" w:hAnsi="Times New Roman"/>
          <w:color w:val="000000"/>
          <w:sz w:val="24"/>
          <w:szCs w:val="24"/>
          <w:lang w:val="es-MX"/>
        </w:rPr>
        <w:t>la maduración, estimula la coloración de los frutos, ayuda a la formación de semillas</w:t>
      </w:r>
      <w:r w:rsidRPr="003C7D9D">
        <w:rPr>
          <w:rFonts w:ascii="Times New Roman" w:hAnsi="Times New Roman"/>
          <w:sz w:val="24"/>
          <w:szCs w:val="24"/>
        </w:rPr>
        <w:t xml:space="preserve"> y </w:t>
      </w:r>
      <w:r w:rsidRPr="003C7D9D">
        <w:rPr>
          <w:rFonts w:ascii="Times New Roman" w:hAnsi="Times New Roman"/>
          <w:color w:val="000000"/>
          <w:sz w:val="24"/>
          <w:szCs w:val="24"/>
          <w:lang w:val="es-AR"/>
        </w:rPr>
        <w:t xml:space="preserve">de las moléculas de transferencia de energía como el ATP </w:t>
      </w:r>
      <w:r w:rsidR="00C16678">
        <w:rPr>
          <w:rFonts w:ascii="Times New Roman" w:hAnsi="Times New Roman"/>
          <w:sz w:val="24"/>
          <w:szCs w:val="24"/>
        </w:rPr>
        <w:t>(</w:t>
      </w:r>
      <w:proofErr w:type="spellStart"/>
      <w:r w:rsidR="00C16678" w:rsidRPr="004453B3">
        <w:rPr>
          <w:rFonts w:ascii="Times New Roman" w:hAnsi="Times New Roman"/>
          <w:spacing w:val="-2"/>
          <w:sz w:val="24"/>
          <w:szCs w:val="24"/>
          <w:lang w:val="es-ES"/>
        </w:rPr>
        <w:t>Madigan</w:t>
      </w:r>
      <w:proofErr w:type="spellEnd"/>
      <w:r w:rsidR="00C16678">
        <w:rPr>
          <w:rFonts w:ascii="Times New Roman" w:hAnsi="Times New Roman"/>
          <w:spacing w:val="-2"/>
          <w:sz w:val="24"/>
          <w:szCs w:val="24"/>
          <w:lang w:val="es-ES"/>
        </w:rPr>
        <w:t xml:space="preserve"> </w:t>
      </w:r>
      <w:r w:rsidR="00C16678">
        <w:rPr>
          <w:rFonts w:ascii="Times New Roman" w:hAnsi="Times New Roman"/>
          <w:i/>
          <w:spacing w:val="-2"/>
          <w:sz w:val="24"/>
          <w:szCs w:val="24"/>
          <w:lang w:val="es-ES"/>
        </w:rPr>
        <w:t>et al</w:t>
      </w:r>
      <w:r w:rsidR="00C16678">
        <w:rPr>
          <w:rFonts w:ascii="Times New Roman" w:hAnsi="Times New Roman"/>
          <w:spacing w:val="-2"/>
          <w:sz w:val="24"/>
          <w:szCs w:val="24"/>
          <w:lang w:val="es-ES"/>
        </w:rPr>
        <w:t xml:space="preserve">., 2003; </w:t>
      </w:r>
      <w:proofErr w:type="spellStart"/>
      <w:r w:rsidR="00C16678" w:rsidRPr="004453B3">
        <w:rPr>
          <w:rFonts w:ascii="Times New Roman" w:hAnsi="Times New Roman"/>
          <w:sz w:val="24"/>
          <w:szCs w:val="24"/>
        </w:rPr>
        <w:t>Iañez</w:t>
      </w:r>
      <w:proofErr w:type="spellEnd"/>
      <w:r w:rsidR="00C16678" w:rsidRPr="004453B3">
        <w:rPr>
          <w:rFonts w:ascii="Times New Roman" w:hAnsi="Times New Roman"/>
          <w:sz w:val="24"/>
          <w:szCs w:val="24"/>
        </w:rPr>
        <w:t>,</w:t>
      </w:r>
      <w:r w:rsidR="00C16678">
        <w:rPr>
          <w:rFonts w:ascii="Times New Roman" w:hAnsi="Times New Roman"/>
          <w:sz w:val="24"/>
          <w:szCs w:val="24"/>
        </w:rPr>
        <w:t xml:space="preserve"> 2010)</w:t>
      </w:r>
      <w:r w:rsidR="00E90DED">
        <w:rPr>
          <w:rFonts w:ascii="Times New Roman" w:hAnsi="Times New Roman"/>
          <w:sz w:val="24"/>
          <w:szCs w:val="24"/>
        </w:rPr>
        <w:t>.</w:t>
      </w:r>
      <w:r w:rsidR="00E90DED" w:rsidRPr="00E90DED">
        <w:rPr>
          <w:rFonts w:ascii="Times New Roman" w:hAnsi="Times New Roman"/>
          <w:sz w:val="24"/>
          <w:szCs w:val="24"/>
        </w:rPr>
        <w:t xml:space="preserve"> </w:t>
      </w:r>
    </w:p>
    <w:p w:rsidR="00F57D64" w:rsidRDefault="00E90DED" w:rsidP="006C6A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D9D">
        <w:rPr>
          <w:rFonts w:ascii="Times New Roman" w:hAnsi="Times New Roman"/>
          <w:sz w:val="24"/>
          <w:szCs w:val="24"/>
        </w:rPr>
        <w:lastRenderedPageBreak/>
        <w:t xml:space="preserve">La presencia de órganos de la planta con una demanda neta por asimilados, puede influenciar fuertemente los patrones de producción y distribución de materia seca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 w:rsidRPr="00B06686">
        <w:rPr>
          <w:rFonts w:ascii="Times New Roman" w:hAnsi="Times New Roman"/>
          <w:sz w:val="24"/>
          <w:szCs w:val="24"/>
        </w:rPr>
        <w:t>Tekalign</w:t>
      </w:r>
      <w:proofErr w:type="spellEnd"/>
      <w:r w:rsidRPr="00B06686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B06686">
        <w:rPr>
          <w:rFonts w:ascii="Times New Roman" w:hAnsi="Times New Roman"/>
          <w:sz w:val="24"/>
          <w:szCs w:val="24"/>
        </w:rPr>
        <w:t>Hammes</w:t>
      </w:r>
      <w:proofErr w:type="spellEnd"/>
      <w:r>
        <w:rPr>
          <w:rFonts w:ascii="Times New Roman" w:hAnsi="Times New Roman"/>
          <w:sz w:val="24"/>
          <w:szCs w:val="24"/>
        </w:rPr>
        <w:t>, 2005)</w:t>
      </w:r>
      <w:r w:rsidRPr="003C7D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45826">
        <w:rPr>
          <w:rFonts w:ascii="Times New Roman" w:hAnsi="Times New Roman"/>
          <w:sz w:val="24"/>
          <w:szCs w:val="24"/>
        </w:rPr>
        <w:t>La acumulación de materia seca, comúnmente se utiliza como parámetro para caracterizar el crecimiento, porque usualmente tiene un gran significado económico</w:t>
      </w:r>
      <w:r>
        <w:rPr>
          <w:rFonts w:ascii="Times New Roman" w:hAnsi="Times New Roman"/>
          <w:sz w:val="24"/>
          <w:szCs w:val="24"/>
        </w:rPr>
        <w:t>.</w:t>
      </w:r>
    </w:p>
    <w:p w:rsidR="00F57D64" w:rsidRPr="003C7D9D" w:rsidRDefault="00F57D64" w:rsidP="006C6A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67A3" w:rsidRPr="003C7D9D" w:rsidRDefault="00C34EDB" w:rsidP="006C6AC5">
      <w:pPr>
        <w:tabs>
          <w:tab w:val="left" w:pos="10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Conclusiones</w:t>
      </w:r>
    </w:p>
    <w:p w:rsidR="00BF0662" w:rsidRDefault="00BF0662" w:rsidP="006C6AC5">
      <w:pPr>
        <w:pStyle w:val="Prrafodelista"/>
        <w:numPr>
          <w:ilvl w:val="0"/>
          <w:numId w:val="9"/>
        </w:numPr>
        <w:tabs>
          <w:tab w:val="left" w:pos="1020"/>
        </w:tabs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81EB5">
        <w:rPr>
          <w:rFonts w:ascii="Times New Roman" w:hAnsi="Times New Roman"/>
          <w:iCs/>
          <w:sz w:val="24"/>
          <w:szCs w:val="24"/>
        </w:rPr>
        <w:t>Los microorganismos en consorcios microbianos demostraron mayor capacidad de solubilizar fosfatos.</w:t>
      </w:r>
    </w:p>
    <w:p w:rsidR="00E90DED" w:rsidRPr="00C45826" w:rsidRDefault="00C81EB5" w:rsidP="00E90DED">
      <w:pPr>
        <w:pStyle w:val="Prrafodelista"/>
        <w:numPr>
          <w:ilvl w:val="0"/>
          <w:numId w:val="9"/>
        </w:numPr>
        <w:tabs>
          <w:tab w:val="left" w:pos="1020"/>
        </w:tabs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La aplicación de </w:t>
      </w:r>
      <w:proofErr w:type="spellStart"/>
      <w:r>
        <w:rPr>
          <w:rFonts w:ascii="Times New Roman" w:hAnsi="Times New Roman"/>
          <w:iCs/>
          <w:sz w:val="24"/>
          <w:szCs w:val="24"/>
        </w:rPr>
        <w:t>bioinoculantes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r w:rsidR="007026FF">
        <w:rPr>
          <w:rFonts w:ascii="Times New Roman" w:hAnsi="Times New Roman"/>
          <w:iCs/>
          <w:sz w:val="24"/>
          <w:szCs w:val="24"/>
        </w:rPr>
        <w:t xml:space="preserve">a base de </w:t>
      </w:r>
      <w:r>
        <w:rPr>
          <w:rFonts w:ascii="Times New Roman" w:hAnsi="Times New Roman"/>
          <w:iCs/>
          <w:sz w:val="24"/>
          <w:szCs w:val="24"/>
        </w:rPr>
        <w:t>consorcios microbianos</w:t>
      </w:r>
      <w:r w:rsidR="00E90DED">
        <w:rPr>
          <w:rFonts w:ascii="Times New Roman" w:hAnsi="Times New Roman"/>
          <w:iCs/>
          <w:sz w:val="24"/>
          <w:szCs w:val="24"/>
        </w:rPr>
        <w:t xml:space="preserve"> nativos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solubilizadores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de fosfatos en </w:t>
      </w:r>
      <w:r w:rsidR="007026FF">
        <w:rPr>
          <w:rFonts w:ascii="Times New Roman" w:hAnsi="Times New Roman"/>
          <w:iCs/>
          <w:sz w:val="24"/>
          <w:szCs w:val="24"/>
        </w:rPr>
        <w:t xml:space="preserve">plantas de pastos </w:t>
      </w:r>
      <w:proofErr w:type="spellStart"/>
      <w:r w:rsidR="007026FF">
        <w:rPr>
          <w:rFonts w:ascii="Times New Roman" w:hAnsi="Times New Roman"/>
          <w:iCs/>
          <w:sz w:val="24"/>
          <w:szCs w:val="24"/>
        </w:rPr>
        <w:t>angletón</w:t>
      </w:r>
      <w:proofErr w:type="spellEnd"/>
      <w:r w:rsidR="007026FF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="007026FF" w:rsidRPr="007026FF">
        <w:rPr>
          <w:rFonts w:ascii="Times New Roman" w:hAnsi="Times New Roman"/>
          <w:i/>
          <w:sz w:val="24"/>
          <w:szCs w:val="24"/>
        </w:rPr>
        <w:t>Dichantium</w:t>
      </w:r>
      <w:proofErr w:type="spellEnd"/>
      <w:r w:rsidR="007026FF" w:rsidRPr="007026F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26FF" w:rsidRPr="007026FF">
        <w:rPr>
          <w:rFonts w:ascii="Times New Roman" w:hAnsi="Times New Roman"/>
          <w:i/>
          <w:sz w:val="24"/>
          <w:szCs w:val="24"/>
        </w:rPr>
        <w:t>aristatum</w:t>
      </w:r>
      <w:proofErr w:type="spellEnd"/>
      <w:r w:rsidR="007026FF">
        <w:rPr>
          <w:rFonts w:ascii="Times New Roman" w:hAnsi="Times New Roman"/>
          <w:iCs/>
          <w:sz w:val="24"/>
          <w:szCs w:val="24"/>
        </w:rPr>
        <w:t>), representa un beneficio notable en diversos parámetros biométricos</w:t>
      </w:r>
      <w:r w:rsidR="00E90DED" w:rsidRPr="00E90DED">
        <w:rPr>
          <w:rFonts w:ascii="Times New Roman" w:hAnsi="Times New Roman"/>
          <w:iCs/>
          <w:sz w:val="24"/>
          <w:szCs w:val="24"/>
        </w:rPr>
        <w:t xml:space="preserve"> </w:t>
      </w:r>
      <w:r w:rsidR="00E90DED">
        <w:rPr>
          <w:rFonts w:ascii="Times New Roman" w:hAnsi="Times New Roman"/>
          <w:iCs/>
          <w:sz w:val="24"/>
          <w:szCs w:val="24"/>
        </w:rPr>
        <w:t>área foliar, longitud de la raíz y peso seco</w:t>
      </w:r>
      <w:r w:rsidR="00E90DED" w:rsidRPr="00C45826">
        <w:rPr>
          <w:rFonts w:ascii="Times New Roman" w:hAnsi="Times New Roman"/>
          <w:iCs/>
          <w:sz w:val="24"/>
          <w:szCs w:val="24"/>
        </w:rPr>
        <w:t>.</w:t>
      </w:r>
    </w:p>
    <w:p w:rsidR="00BF0662" w:rsidRDefault="00BF0662" w:rsidP="006C6AC5">
      <w:pPr>
        <w:pStyle w:val="Prrafodelista"/>
        <w:numPr>
          <w:ilvl w:val="0"/>
          <w:numId w:val="9"/>
        </w:numPr>
        <w:tabs>
          <w:tab w:val="left" w:pos="102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1EB5">
        <w:rPr>
          <w:rFonts w:ascii="Times New Roman" w:hAnsi="Times New Roman"/>
          <w:iCs/>
          <w:sz w:val="24"/>
          <w:szCs w:val="24"/>
        </w:rPr>
        <w:t xml:space="preserve">Los resultados obtenidos representan una gran alternativa para la sustitución </w:t>
      </w:r>
      <w:r w:rsidR="00E90DED">
        <w:rPr>
          <w:rFonts w:ascii="Times New Roman" w:hAnsi="Times New Roman"/>
          <w:iCs/>
          <w:sz w:val="24"/>
          <w:szCs w:val="24"/>
        </w:rPr>
        <w:t xml:space="preserve">parcial </w:t>
      </w:r>
      <w:r w:rsidRPr="00C81EB5">
        <w:rPr>
          <w:rFonts w:ascii="Times New Roman" w:hAnsi="Times New Roman"/>
          <w:iCs/>
          <w:sz w:val="24"/>
          <w:szCs w:val="24"/>
        </w:rPr>
        <w:t>de fertilización química con buenos resultados para el crecimiento de las plantas</w:t>
      </w:r>
      <w:r w:rsidR="00E90DED">
        <w:rPr>
          <w:rFonts w:ascii="Times New Roman" w:hAnsi="Times New Roman"/>
          <w:iCs/>
          <w:sz w:val="24"/>
          <w:szCs w:val="24"/>
        </w:rPr>
        <w:t xml:space="preserve"> de pastos </w:t>
      </w:r>
      <w:proofErr w:type="spellStart"/>
      <w:r w:rsidR="00E90DED">
        <w:rPr>
          <w:rFonts w:ascii="Times New Roman" w:hAnsi="Times New Roman"/>
          <w:iCs/>
          <w:sz w:val="24"/>
          <w:szCs w:val="24"/>
        </w:rPr>
        <w:t>Angleton</w:t>
      </w:r>
      <w:proofErr w:type="spellEnd"/>
      <w:r w:rsidRPr="00C81EB5">
        <w:rPr>
          <w:rFonts w:ascii="Times New Roman" w:hAnsi="Times New Roman"/>
          <w:iCs/>
          <w:sz w:val="24"/>
          <w:szCs w:val="24"/>
        </w:rPr>
        <w:t>, a bajo costo y de forma</w:t>
      </w:r>
      <w:r w:rsidRPr="00C81EB5">
        <w:rPr>
          <w:rFonts w:ascii="Times New Roman" w:hAnsi="Times New Roman"/>
          <w:bCs/>
          <w:sz w:val="24"/>
          <w:szCs w:val="24"/>
        </w:rPr>
        <w:t xml:space="preserve"> amigable con el ambiente para una producción más limpia.</w:t>
      </w:r>
    </w:p>
    <w:p w:rsidR="00845447" w:rsidRDefault="00C34EDB">
      <w:pPr>
        <w:pStyle w:val="NormalWeb"/>
        <w:shd w:val="clear" w:color="auto" w:fill="FFFFFF"/>
        <w:tabs>
          <w:tab w:val="center" w:pos="4252"/>
        </w:tabs>
        <w:rPr>
          <w:color w:val="000000"/>
        </w:rPr>
      </w:pPr>
      <w:r>
        <w:rPr>
          <w:b/>
          <w:bCs/>
          <w:color w:val="000000"/>
        </w:rPr>
        <w:t>Agradecimientos</w:t>
      </w:r>
    </w:p>
    <w:p w:rsidR="00DE67A3" w:rsidRPr="003C7D9D" w:rsidRDefault="00DE67A3" w:rsidP="006C6AC5">
      <w:pPr>
        <w:pStyle w:val="NormalWeb"/>
        <w:shd w:val="clear" w:color="auto" w:fill="FFFFFF"/>
        <w:jc w:val="both"/>
        <w:rPr>
          <w:color w:val="000000"/>
        </w:rPr>
      </w:pPr>
      <w:r w:rsidRPr="003C7D9D">
        <w:rPr>
          <w:color w:val="000000"/>
        </w:rPr>
        <w:t xml:space="preserve">A la Universidad de Córdoba </w:t>
      </w:r>
      <w:r w:rsidR="00594DC0" w:rsidRPr="003C7D9D">
        <w:rPr>
          <w:color w:val="000000"/>
        </w:rPr>
        <w:t xml:space="preserve">y COLCIENCIAS </w:t>
      </w:r>
      <w:r w:rsidRPr="003C7D9D">
        <w:rPr>
          <w:color w:val="000000"/>
        </w:rPr>
        <w:t xml:space="preserve">por financiar </w:t>
      </w:r>
      <w:r w:rsidR="00594DC0" w:rsidRPr="003C7D9D">
        <w:rPr>
          <w:color w:val="000000"/>
        </w:rPr>
        <w:t>la ejecución d</w:t>
      </w:r>
      <w:r w:rsidRPr="003C7D9D">
        <w:rPr>
          <w:color w:val="000000"/>
        </w:rPr>
        <w:t>el presente proyecto de investigación.</w:t>
      </w:r>
    </w:p>
    <w:p w:rsidR="00A65746" w:rsidRPr="003C7D9D" w:rsidRDefault="00A65746" w:rsidP="006C6A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2177AA" w:rsidRDefault="00C34EDB" w:rsidP="006C6A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Referencias bibliográficas</w:t>
      </w:r>
    </w:p>
    <w:p w:rsidR="00845447" w:rsidRPr="000509B8" w:rsidRDefault="00845447" w:rsidP="0061046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252A7A">
        <w:rPr>
          <w:rFonts w:ascii="Times New Roman" w:hAnsi="Times New Roman"/>
          <w:sz w:val="24"/>
          <w:szCs w:val="24"/>
          <w:lang w:val="es-ES"/>
        </w:rPr>
        <w:t xml:space="preserve">Ahmad, M., </w:t>
      </w:r>
      <w:proofErr w:type="spellStart"/>
      <w:r w:rsidRPr="00252A7A">
        <w:rPr>
          <w:rFonts w:ascii="Times New Roman" w:hAnsi="Times New Roman"/>
          <w:sz w:val="24"/>
          <w:szCs w:val="24"/>
          <w:lang w:val="es-ES"/>
        </w:rPr>
        <w:t>Zahir</w:t>
      </w:r>
      <w:proofErr w:type="spellEnd"/>
      <w:r w:rsidRPr="00252A7A">
        <w:rPr>
          <w:rFonts w:ascii="Times New Roman" w:hAnsi="Times New Roman"/>
          <w:sz w:val="24"/>
          <w:szCs w:val="24"/>
          <w:lang w:val="es-ES"/>
        </w:rPr>
        <w:t xml:space="preserve">, Z. A., </w:t>
      </w:r>
      <w:proofErr w:type="spellStart"/>
      <w:r w:rsidRPr="00252A7A">
        <w:rPr>
          <w:rFonts w:ascii="Times New Roman" w:hAnsi="Times New Roman"/>
          <w:sz w:val="24"/>
          <w:szCs w:val="24"/>
          <w:lang w:val="es-ES"/>
        </w:rPr>
        <w:t>Khalid</w:t>
      </w:r>
      <w:proofErr w:type="spellEnd"/>
      <w:r w:rsidRPr="00252A7A">
        <w:rPr>
          <w:rFonts w:ascii="Times New Roman" w:hAnsi="Times New Roman"/>
          <w:sz w:val="24"/>
          <w:szCs w:val="24"/>
          <w:lang w:val="es-ES"/>
        </w:rPr>
        <w:t xml:space="preserve">, M., </w:t>
      </w:r>
      <w:proofErr w:type="spellStart"/>
      <w:r w:rsidRPr="00252A7A">
        <w:rPr>
          <w:rFonts w:ascii="Times New Roman" w:hAnsi="Times New Roman"/>
          <w:sz w:val="24"/>
          <w:szCs w:val="24"/>
          <w:lang w:val="es-ES"/>
        </w:rPr>
        <w:t>Nazli</w:t>
      </w:r>
      <w:proofErr w:type="spellEnd"/>
      <w:r w:rsidRPr="00252A7A">
        <w:rPr>
          <w:rFonts w:ascii="Times New Roman" w:hAnsi="Times New Roman"/>
          <w:sz w:val="24"/>
          <w:szCs w:val="24"/>
          <w:lang w:val="es-ES"/>
        </w:rPr>
        <w:t xml:space="preserve">, F., y </w:t>
      </w:r>
      <w:proofErr w:type="spellStart"/>
      <w:r w:rsidRPr="00252A7A">
        <w:rPr>
          <w:rFonts w:ascii="Times New Roman" w:hAnsi="Times New Roman"/>
          <w:sz w:val="24"/>
          <w:szCs w:val="24"/>
          <w:lang w:val="es-ES"/>
        </w:rPr>
        <w:t>Arshad</w:t>
      </w:r>
      <w:proofErr w:type="spellEnd"/>
      <w:r w:rsidRPr="00252A7A">
        <w:rPr>
          <w:rFonts w:ascii="Times New Roman" w:hAnsi="Times New Roman"/>
          <w:sz w:val="24"/>
          <w:szCs w:val="24"/>
          <w:lang w:val="es-ES"/>
        </w:rPr>
        <w:t xml:space="preserve">, M. (2013). </w:t>
      </w:r>
      <w:r w:rsidRPr="00387231">
        <w:rPr>
          <w:rFonts w:ascii="Times New Roman" w:hAnsi="Times New Roman"/>
          <w:sz w:val="24"/>
          <w:szCs w:val="24"/>
          <w:lang w:val="en-US"/>
        </w:rPr>
        <w:t xml:space="preserve">Efficacy of </w:t>
      </w:r>
      <w:proofErr w:type="spellStart"/>
      <w:r w:rsidRPr="00387231">
        <w:rPr>
          <w:rFonts w:ascii="Times New Roman" w:hAnsi="Times New Roman"/>
          <w:sz w:val="24"/>
          <w:szCs w:val="24"/>
          <w:lang w:val="en-US"/>
        </w:rPr>
        <w:t>Rhizobium</w:t>
      </w:r>
      <w:proofErr w:type="spellEnd"/>
      <w:r w:rsidRPr="00387231">
        <w:rPr>
          <w:rFonts w:ascii="Times New Roman" w:hAnsi="Times New Roman"/>
          <w:sz w:val="24"/>
          <w:szCs w:val="24"/>
          <w:lang w:val="en-US"/>
        </w:rPr>
        <w:t xml:space="preserve"> and Pseudomonas strains to improve physiology, ionic balance and quality of </w:t>
      </w:r>
      <w:proofErr w:type="spellStart"/>
      <w:r w:rsidRPr="00387231">
        <w:rPr>
          <w:rFonts w:ascii="Times New Roman" w:hAnsi="Times New Roman"/>
          <w:sz w:val="24"/>
          <w:szCs w:val="24"/>
          <w:lang w:val="en-US"/>
        </w:rPr>
        <w:t>mung</w:t>
      </w:r>
      <w:proofErr w:type="spellEnd"/>
      <w:r w:rsidRPr="00387231">
        <w:rPr>
          <w:rFonts w:ascii="Times New Roman" w:hAnsi="Times New Roman"/>
          <w:sz w:val="24"/>
          <w:szCs w:val="24"/>
          <w:lang w:val="en-US"/>
        </w:rPr>
        <w:t xml:space="preserve"> bean under salt-affected conditions on farmer’s fields. </w:t>
      </w:r>
      <w:r w:rsidRPr="00387231">
        <w:rPr>
          <w:rFonts w:ascii="Times New Roman" w:hAnsi="Times New Roman"/>
          <w:i/>
          <w:iCs/>
          <w:sz w:val="24"/>
          <w:szCs w:val="24"/>
          <w:lang w:val="en-US"/>
        </w:rPr>
        <w:t>Plant Physiology and Biochemistry</w:t>
      </w:r>
      <w:r w:rsidRPr="00387231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87231">
        <w:rPr>
          <w:rFonts w:ascii="Times New Roman" w:hAnsi="Times New Roman"/>
          <w:i/>
          <w:iCs/>
          <w:sz w:val="24"/>
          <w:szCs w:val="24"/>
          <w:lang w:val="en-US"/>
        </w:rPr>
        <w:t>63</w:t>
      </w:r>
      <w:r w:rsidRPr="00387231">
        <w:rPr>
          <w:rFonts w:ascii="Times New Roman" w:hAnsi="Times New Roman"/>
          <w:sz w:val="24"/>
          <w:szCs w:val="24"/>
          <w:lang w:val="en-US"/>
        </w:rPr>
        <w:t>, 170–</w:t>
      </w:r>
      <w:r w:rsidRPr="000509B8">
        <w:rPr>
          <w:rFonts w:ascii="Times New Roman" w:hAnsi="Times New Roman"/>
          <w:sz w:val="24"/>
          <w:szCs w:val="24"/>
          <w:lang w:val="en-US"/>
        </w:rPr>
        <w:t>17</w:t>
      </w:r>
      <w:r w:rsidRPr="00387231">
        <w:rPr>
          <w:rFonts w:ascii="Times New Roman" w:hAnsi="Times New Roman"/>
          <w:sz w:val="24"/>
          <w:szCs w:val="24"/>
          <w:lang w:val="en-US"/>
        </w:rPr>
        <w:t xml:space="preserve">6. </w:t>
      </w:r>
    </w:p>
    <w:p w:rsidR="00845447" w:rsidRPr="000509B8" w:rsidRDefault="00845447" w:rsidP="006104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45447" w:rsidRPr="00252A7A" w:rsidRDefault="00845447" w:rsidP="0061046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 w:rsidRPr="00033BFA">
        <w:rPr>
          <w:rFonts w:ascii="Times New Roman" w:hAnsi="Times New Roman"/>
          <w:sz w:val="24"/>
          <w:szCs w:val="24"/>
          <w:lang w:val="es-ES"/>
        </w:rPr>
        <w:t xml:space="preserve">Ahmad, F., Ahmad, I., y Khan M. (2008). </w:t>
      </w:r>
      <w:proofErr w:type="gramStart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Screening of free-living </w:t>
      </w:r>
      <w:proofErr w:type="spellStart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rhizospheric</w:t>
      </w:r>
      <w:proofErr w:type="spellEnd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bacteria for their multiple plant growth promoting activities.</w:t>
      </w:r>
      <w:proofErr w:type="gramEnd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87231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Microbiological</w:t>
      </w:r>
      <w:proofErr w:type="spellEnd"/>
      <w:r w:rsidRPr="00387231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87231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research</w:t>
      </w:r>
      <w:proofErr w:type="spellEnd"/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r w:rsidRPr="00387231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163</w:t>
      </w: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(2), 173-181.</w:t>
      </w:r>
    </w:p>
    <w:p w:rsidR="00845447" w:rsidRPr="00387231" w:rsidRDefault="00845447" w:rsidP="0061046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87231">
        <w:rPr>
          <w:rFonts w:ascii="Times New Roman" w:hAnsi="Times New Roman"/>
          <w:bCs/>
          <w:sz w:val="24"/>
          <w:szCs w:val="24"/>
        </w:rPr>
        <w:t xml:space="preserve">Barragán, C., Zambrano,  D., Pedroza,  A., </w:t>
      </w:r>
      <w:r w:rsidR="009C7850">
        <w:rPr>
          <w:rFonts w:ascii="Times New Roman" w:hAnsi="Times New Roman"/>
          <w:bCs/>
          <w:sz w:val="24"/>
          <w:szCs w:val="24"/>
        </w:rPr>
        <w:t xml:space="preserve">y </w:t>
      </w:r>
      <w:r w:rsidRPr="00387231">
        <w:rPr>
          <w:rFonts w:ascii="Times New Roman" w:hAnsi="Times New Roman"/>
          <w:bCs/>
          <w:sz w:val="24"/>
          <w:szCs w:val="24"/>
        </w:rPr>
        <w:t xml:space="preserve">Bobadilla,  R. </w:t>
      </w:r>
      <w:r w:rsidRPr="000509B8">
        <w:rPr>
          <w:rFonts w:ascii="Times New Roman" w:hAnsi="Times New Roman"/>
          <w:bCs/>
          <w:sz w:val="24"/>
          <w:szCs w:val="24"/>
        </w:rPr>
        <w:t>(</w:t>
      </w:r>
      <w:r w:rsidRPr="00387231">
        <w:rPr>
          <w:rFonts w:ascii="Times New Roman" w:hAnsi="Times New Roman"/>
          <w:bCs/>
          <w:sz w:val="24"/>
          <w:szCs w:val="24"/>
        </w:rPr>
        <w:t>2003</w:t>
      </w:r>
      <w:r w:rsidRPr="000509B8">
        <w:rPr>
          <w:rFonts w:ascii="Times New Roman" w:hAnsi="Times New Roman"/>
          <w:bCs/>
          <w:sz w:val="24"/>
          <w:szCs w:val="24"/>
        </w:rPr>
        <w:t>)</w:t>
      </w:r>
      <w:r w:rsidRPr="00387231">
        <w:rPr>
          <w:rFonts w:ascii="Times New Roman" w:hAnsi="Times New Roman"/>
          <w:bCs/>
          <w:sz w:val="24"/>
          <w:szCs w:val="24"/>
        </w:rPr>
        <w:t xml:space="preserve">. Producción de bacterias fosfato </w:t>
      </w:r>
      <w:proofErr w:type="spellStart"/>
      <w:r w:rsidRPr="00387231">
        <w:rPr>
          <w:rFonts w:ascii="Times New Roman" w:hAnsi="Times New Roman"/>
          <w:bCs/>
          <w:sz w:val="24"/>
          <w:szCs w:val="24"/>
        </w:rPr>
        <w:t>Solubilizadoras</w:t>
      </w:r>
      <w:proofErr w:type="spellEnd"/>
      <w:r w:rsidRPr="00387231">
        <w:rPr>
          <w:rFonts w:ascii="Times New Roman" w:hAnsi="Times New Roman"/>
          <w:bCs/>
          <w:sz w:val="24"/>
          <w:szCs w:val="24"/>
        </w:rPr>
        <w:t xml:space="preserve"> mediante fermentación discontinua en caldo de </w:t>
      </w:r>
      <w:proofErr w:type="spellStart"/>
      <w:r w:rsidRPr="00387231">
        <w:rPr>
          <w:rFonts w:ascii="Times New Roman" w:hAnsi="Times New Roman"/>
          <w:bCs/>
          <w:sz w:val="24"/>
          <w:szCs w:val="24"/>
        </w:rPr>
        <w:t>Pikovskaya</w:t>
      </w:r>
      <w:proofErr w:type="spellEnd"/>
      <w:r w:rsidRPr="00387231">
        <w:rPr>
          <w:rFonts w:ascii="Times New Roman" w:hAnsi="Times New Roman"/>
          <w:bCs/>
          <w:sz w:val="24"/>
          <w:szCs w:val="24"/>
        </w:rPr>
        <w:t xml:space="preserve"> modificado 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Tesis 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de pregrado</w:t>
      </w:r>
      <w:r w:rsidRPr="003112F3">
        <w:rPr>
          <w:rFonts w:ascii="Times New Roman" w:hAnsi="Times New Roman"/>
          <w:sz w:val="24"/>
          <w:szCs w:val="24"/>
          <w:shd w:val="clear" w:color="auto" w:fill="FFFFFF"/>
        </w:rPr>
        <w:t xml:space="preserve"> en 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>Microbiología Industrial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 xml:space="preserve"> Pontificia Universidad Javeriana,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Bogotá, Colombia.</w:t>
      </w:r>
    </w:p>
    <w:p w:rsidR="00845447" w:rsidRPr="000509B8" w:rsidRDefault="00845447" w:rsidP="0061046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45447" w:rsidRPr="00387231" w:rsidRDefault="00845447" w:rsidP="0061046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s-ES"/>
        </w:rPr>
        <w:t xml:space="preserve">Begonia, M., Begonia, G., Miller, G., </w:t>
      </w:r>
      <w:proofErr w:type="spellStart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s-ES"/>
        </w:rPr>
        <w:t>Gilliard</w:t>
      </w:r>
      <w:proofErr w:type="spellEnd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s-ES"/>
        </w:rPr>
        <w:t>, D., y Young, C. (2004).</w:t>
      </w:r>
      <w:r w:rsidRPr="00252A7A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s-ES"/>
        </w:rPr>
        <w:t> </w:t>
      </w: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La actividad fosfatasa y las poblaciones de microorganismos de cadmio y suelos contaminados con plomo.</w:t>
      </w:r>
      <w:r w:rsidRPr="000509B8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38723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Boletín de la contaminación ambiental y toxicología</w:t>
      </w: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="0061046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610464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73</w:t>
      </w:r>
      <w:r w:rsidRPr="00610464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(6), 1025-1032.</w:t>
      </w:r>
    </w:p>
    <w:p w:rsidR="00845447" w:rsidRPr="000509B8" w:rsidRDefault="00845447" w:rsidP="00610464">
      <w:pPr>
        <w:pStyle w:val="Prrafodelista"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45447" w:rsidRPr="000509B8" w:rsidRDefault="00845447" w:rsidP="0061046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8723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Bobadilla, C </w:t>
      </w:r>
      <w:r w:rsidR="009C7850">
        <w:rPr>
          <w:rFonts w:ascii="Times New Roman" w:hAnsi="Times New Roman"/>
          <w:sz w:val="24"/>
          <w:szCs w:val="24"/>
          <w:shd w:val="clear" w:color="auto" w:fill="FFFFFF"/>
        </w:rPr>
        <w:t>y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 Rincon, S. 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>2008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. Aislamiento y producción de bacterias fosfato </w:t>
      </w:r>
      <w:proofErr w:type="spellStart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>solubilizadoras</w:t>
      </w:r>
      <w:proofErr w:type="spellEnd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 a partir de compost obtenido de residuos de la plaza 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(Tesis de pregrado en Microbiología Industrial). Pontificia Universidad Javeriana, Bogotá, Colombia.</w:t>
      </w:r>
    </w:p>
    <w:p w:rsidR="00845447" w:rsidRPr="000509B8" w:rsidRDefault="00845447" w:rsidP="0061046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509B8" w:rsidDel="00BC391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845447" w:rsidRPr="00387231" w:rsidRDefault="00845447" w:rsidP="0061046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87231">
        <w:rPr>
          <w:rFonts w:ascii="Times New Roman" w:hAnsi="Times New Roman"/>
          <w:bCs/>
          <w:sz w:val="24"/>
          <w:szCs w:val="24"/>
        </w:rPr>
        <w:t xml:space="preserve">Beltrán, S., Torrado, Y., Martínez,  M., </w:t>
      </w:r>
      <w:r w:rsidR="009C7850">
        <w:rPr>
          <w:rFonts w:ascii="Times New Roman" w:hAnsi="Times New Roman"/>
          <w:bCs/>
          <w:sz w:val="24"/>
          <w:szCs w:val="24"/>
        </w:rPr>
        <w:t>y</w:t>
      </w:r>
      <w:r w:rsidRPr="000509B8">
        <w:rPr>
          <w:rFonts w:ascii="Times New Roman" w:hAnsi="Times New Roman"/>
          <w:bCs/>
          <w:sz w:val="24"/>
          <w:szCs w:val="24"/>
        </w:rPr>
        <w:t xml:space="preserve"> </w:t>
      </w:r>
      <w:r w:rsidRPr="00387231">
        <w:rPr>
          <w:rFonts w:ascii="Times New Roman" w:hAnsi="Times New Roman"/>
          <w:bCs/>
          <w:sz w:val="24"/>
          <w:szCs w:val="24"/>
        </w:rPr>
        <w:t xml:space="preserve">Matiz,  A. </w:t>
      </w:r>
      <w:r w:rsidRPr="000509B8">
        <w:rPr>
          <w:rFonts w:ascii="Times New Roman" w:hAnsi="Times New Roman"/>
          <w:bCs/>
          <w:sz w:val="24"/>
          <w:szCs w:val="24"/>
        </w:rPr>
        <w:t>(</w:t>
      </w:r>
      <w:r w:rsidRPr="00387231">
        <w:rPr>
          <w:rFonts w:ascii="Times New Roman" w:hAnsi="Times New Roman"/>
          <w:bCs/>
          <w:sz w:val="24"/>
          <w:szCs w:val="24"/>
        </w:rPr>
        <w:t>2005</w:t>
      </w:r>
      <w:r w:rsidRPr="000509B8">
        <w:rPr>
          <w:rFonts w:ascii="Times New Roman" w:hAnsi="Times New Roman"/>
          <w:bCs/>
          <w:sz w:val="24"/>
          <w:szCs w:val="24"/>
        </w:rPr>
        <w:t>)</w:t>
      </w:r>
      <w:r w:rsidRPr="00387231">
        <w:rPr>
          <w:rFonts w:ascii="Times New Roman" w:hAnsi="Times New Roman"/>
          <w:bCs/>
          <w:sz w:val="24"/>
          <w:szCs w:val="24"/>
        </w:rPr>
        <w:t xml:space="preserve">. Aislamiento de bacterias con actividad fosfato solubilizadora a partir de suelos ácidos del norte  de Boyacá y producción de un inoculo mixto en fermentación discontinua 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(Tesis de pregrado en Microbiología Industrial). Pontificia Universidad Jave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>riana, Bogotá, Colombia.</w:t>
      </w:r>
    </w:p>
    <w:p w:rsidR="00845447" w:rsidRPr="000509B8" w:rsidRDefault="00845447" w:rsidP="00610464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845447" w:rsidRPr="000509B8" w:rsidRDefault="00845447" w:rsidP="0061046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87231">
        <w:rPr>
          <w:rFonts w:ascii="Times New Roman" w:hAnsi="Times New Roman"/>
          <w:sz w:val="24"/>
          <w:szCs w:val="24"/>
        </w:rPr>
        <w:t xml:space="preserve">Cordero, P., Ortega, P., </w:t>
      </w:r>
      <w:r w:rsidRPr="000509B8">
        <w:rPr>
          <w:rFonts w:ascii="Times New Roman" w:hAnsi="Times New Roman"/>
          <w:sz w:val="24"/>
          <w:szCs w:val="24"/>
        </w:rPr>
        <w:t xml:space="preserve">y </w:t>
      </w:r>
      <w:r w:rsidRPr="00387231">
        <w:rPr>
          <w:rFonts w:ascii="Times New Roman" w:hAnsi="Times New Roman"/>
          <w:sz w:val="24"/>
          <w:szCs w:val="24"/>
        </w:rPr>
        <w:t xml:space="preserve">Ortega, E. </w:t>
      </w:r>
      <w:r w:rsidRPr="000509B8">
        <w:rPr>
          <w:rFonts w:ascii="Times New Roman" w:hAnsi="Times New Roman"/>
          <w:sz w:val="24"/>
          <w:szCs w:val="24"/>
        </w:rPr>
        <w:t>(</w:t>
      </w:r>
      <w:r w:rsidRPr="00387231">
        <w:rPr>
          <w:rFonts w:ascii="Times New Roman" w:hAnsi="Times New Roman"/>
          <w:sz w:val="24"/>
          <w:szCs w:val="24"/>
        </w:rPr>
        <w:t>2008</w:t>
      </w:r>
      <w:r w:rsidRPr="000509B8">
        <w:rPr>
          <w:rFonts w:ascii="Times New Roman" w:hAnsi="Times New Roman"/>
          <w:sz w:val="24"/>
          <w:szCs w:val="24"/>
        </w:rPr>
        <w:t>)</w:t>
      </w:r>
      <w:r w:rsidRPr="00387231">
        <w:rPr>
          <w:rFonts w:ascii="Times New Roman" w:hAnsi="Times New Roman"/>
          <w:sz w:val="24"/>
          <w:szCs w:val="24"/>
        </w:rPr>
        <w:t xml:space="preserve">. La </w:t>
      </w:r>
      <w:proofErr w:type="spellStart"/>
      <w:r w:rsidRPr="00387231">
        <w:rPr>
          <w:rFonts w:ascii="Times New Roman" w:hAnsi="Times New Roman"/>
          <w:sz w:val="24"/>
          <w:szCs w:val="24"/>
        </w:rPr>
        <w:t>inoculacion</w:t>
      </w:r>
      <w:proofErr w:type="spellEnd"/>
      <w:r w:rsidRPr="00387231">
        <w:rPr>
          <w:rFonts w:ascii="Times New Roman" w:hAnsi="Times New Roman"/>
          <w:sz w:val="24"/>
          <w:szCs w:val="24"/>
        </w:rPr>
        <w:t xml:space="preserve"> de plantas con </w:t>
      </w:r>
      <w:proofErr w:type="spellStart"/>
      <w:r w:rsidRPr="00387231">
        <w:rPr>
          <w:rFonts w:ascii="Times New Roman" w:hAnsi="Times New Roman"/>
          <w:i/>
          <w:sz w:val="24"/>
          <w:szCs w:val="24"/>
        </w:rPr>
        <w:t>Pantoea</w:t>
      </w:r>
      <w:proofErr w:type="spellEnd"/>
      <w:r w:rsidRPr="0038723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87231">
        <w:rPr>
          <w:rFonts w:ascii="Times New Roman" w:hAnsi="Times New Roman"/>
          <w:sz w:val="24"/>
          <w:szCs w:val="24"/>
        </w:rPr>
        <w:t>sp</w:t>
      </w:r>
      <w:r w:rsidRPr="00387231">
        <w:rPr>
          <w:rFonts w:ascii="Times New Roman" w:hAnsi="Times New Roman"/>
          <w:i/>
          <w:sz w:val="24"/>
          <w:szCs w:val="24"/>
        </w:rPr>
        <w:t>.</w:t>
      </w:r>
      <w:proofErr w:type="spellEnd"/>
      <w:r w:rsidRPr="00387231">
        <w:rPr>
          <w:rFonts w:ascii="Times New Roman" w:hAnsi="Times New Roman"/>
          <w:i/>
          <w:sz w:val="24"/>
          <w:szCs w:val="24"/>
        </w:rPr>
        <w:t xml:space="preserve">, </w:t>
      </w:r>
      <w:r w:rsidRPr="00387231">
        <w:rPr>
          <w:rFonts w:ascii="Times New Roman" w:hAnsi="Times New Roman"/>
          <w:sz w:val="24"/>
          <w:szCs w:val="24"/>
        </w:rPr>
        <w:t xml:space="preserve">bacteria solubilizadora de fosfatos, incrementa la concentración de P en los tejidos foliares. </w:t>
      </w:r>
      <w:r w:rsidRPr="00387231">
        <w:rPr>
          <w:rFonts w:ascii="Times New Roman" w:hAnsi="Times New Roman"/>
          <w:i/>
          <w:sz w:val="24"/>
          <w:szCs w:val="24"/>
        </w:rPr>
        <w:t>Revista Colombiana de Biotecnología</w:t>
      </w:r>
      <w:r w:rsidRPr="00387231">
        <w:rPr>
          <w:rFonts w:ascii="Times New Roman" w:hAnsi="Times New Roman"/>
          <w:sz w:val="24"/>
          <w:szCs w:val="24"/>
        </w:rPr>
        <w:t>,</w:t>
      </w:r>
      <w:r w:rsidRPr="00387231">
        <w:rPr>
          <w:rFonts w:ascii="Times New Roman" w:hAnsi="Times New Roman"/>
          <w:i/>
          <w:sz w:val="24"/>
          <w:szCs w:val="24"/>
        </w:rPr>
        <w:t xml:space="preserve"> </w:t>
      </w:r>
      <w:r w:rsidRPr="00CE07B5">
        <w:rPr>
          <w:rFonts w:ascii="Times New Roman" w:hAnsi="Times New Roman"/>
          <w:sz w:val="24"/>
          <w:szCs w:val="24"/>
        </w:rPr>
        <w:t>10</w:t>
      </w:r>
      <w:r w:rsidRPr="00387231">
        <w:rPr>
          <w:rFonts w:ascii="Times New Roman" w:hAnsi="Times New Roman"/>
          <w:sz w:val="24"/>
          <w:szCs w:val="24"/>
        </w:rPr>
        <w:t>(1)</w:t>
      </w:r>
      <w:r w:rsidRPr="000509B8">
        <w:rPr>
          <w:rFonts w:ascii="Times New Roman" w:hAnsi="Times New Roman"/>
          <w:sz w:val="24"/>
          <w:szCs w:val="24"/>
        </w:rPr>
        <w:t>,</w:t>
      </w:r>
      <w:r w:rsidR="002E06A0">
        <w:rPr>
          <w:rFonts w:ascii="Times New Roman" w:hAnsi="Times New Roman"/>
          <w:sz w:val="24"/>
          <w:szCs w:val="24"/>
        </w:rPr>
        <w:t xml:space="preserve"> </w:t>
      </w:r>
      <w:r w:rsidRPr="00387231">
        <w:rPr>
          <w:rFonts w:ascii="Times New Roman" w:hAnsi="Times New Roman"/>
          <w:sz w:val="24"/>
          <w:szCs w:val="24"/>
        </w:rPr>
        <w:t>111 – 121.</w:t>
      </w:r>
    </w:p>
    <w:p w:rsidR="00845447" w:rsidRPr="00387231" w:rsidRDefault="00845447" w:rsidP="0061046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45447" w:rsidRPr="00387231" w:rsidRDefault="00845447" w:rsidP="00610464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Cuadrado, H., Mejía, S., Contreras, A., Romero, A., </w:t>
      </w:r>
      <w:r w:rsidR="009C785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y</w:t>
      </w: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García, J. (2003). Manejo agronómico de algunos cultivos forrajeros y técnicas para su conservación en la región Caribe colombiana.</w:t>
      </w:r>
      <w:r w:rsidRPr="00387231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38723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Corpoica</w:t>
      </w:r>
      <w:proofErr w:type="spellEnd"/>
      <w:r w:rsidRPr="0038723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, Bogotá</w:t>
      </w: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845447" w:rsidRPr="00387231" w:rsidRDefault="00845447" w:rsidP="0061046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>Coyne</w:t>
      </w:r>
      <w:proofErr w:type="spellEnd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>,  M.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>2000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).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 Microbiología del Suelo: Un enfoque </w:t>
      </w:r>
      <w:proofErr w:type="spellStart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>exploratorio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.Barcelona</w:t>
      </w:r>
      <w:proofErr w:type="spellEnd"/>
      <w:r w:rsidRPr="000509B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872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España</w:t>
      </w:r>
      <w:r w:rsidRPr="000509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Pr="003872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>Ed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 xml:space="preserve">itorial 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 Paraninfo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45447" w:rsidRPr="000509B8" w:rsidRDefault="00845447" w:rsidP="00610464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45447" w:rsidRPr="00387231" w:rsidRDefault="00845447" w:rsidP="006104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>Degiovanni</w:t>
      </w:r>
      <w:proofErr w:type="spellEnd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, V., Gómez, J.,  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 xml:space="preserve">y 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Sierra, J. 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>2004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>. Análisis de crecimiento y etapas de desarrollo de tres variedades de arroz (</w:t>
      </w:r>
      <w:proofErr w:type="spellStart"/>
      <w:r w:rsidRPr="00387231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Oryza</w:t>
      </w:r>
      <w:proofErr w:type="spellEnd"/>
      <w:r w:rsidRPr="00387231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sativa</w:t>
      </w:r>
      <w:r w:rsidRPr="000509B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L.) en Montería, Córdoba. </w:t>
      </w:r>
      <w:r w:rsidRPr="00387231">
        <w:rPr>
          <w:rFonts w:ascii="Times New Roman" w:hAnsi="Times New Roman"/>
          <w:i/>
          <w:sz w:val="24"/>
          <w:szCs w:val="24"/>
          <w:shd w:val="clear" w:color="auto" w:fill="FFFFFF"/>
        </w:rPr>
        <w:t>Temas Agrarios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8723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9C7850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>(1)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 21-29.</w:t>
      </w:r>
    </w:p>
    <w:p w:rsidR="00845447" w:rsidRPr="000509B8" w:rsidRDefault="00845447" w:rsidP="0061046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447" w:rsidRPr="00387231" w:rsidRDefault="00845447" w:rsidP="006104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Echeverri, R., y Castilla, A. (2008). </w:t>
      </w:r>
      <w:proofErr w:type="spellStart"/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Biofertilizantes</w:t>
      </w:r>
      <w:proofErr w:type="spellEnd"/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como mejoradores del proceso de nutrición del arroz.</w:t>
      </w:r>
      <w:r w:rsidRPr="00387231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38723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Rev</w:t>
      </w:r>
      <w:r w:rsidR="002E06A0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ista</w:t>
      </w:r>
      <w:r w:rsidRPr="0038723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 Arroz</w:t>
      </w: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Pr="00387231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2E06A0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56</w:t>
      </w: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(474), 12-27.</w:t>
      </w:r>
    </w:p>
    <w:p w:rsidR="00845447" w:rsidRPr="000509B8" w:rsidRDefault="00845447" w:rsidP="00610464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45447" w:rsidRPr="00387231" w:rsidRDefault="00845447" w:rsidP="00610464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509B8">
        <w:rPr>
          <w:rFonts w:ascii="Times New Roman" w:hAnsi="Times New Roman"/>
          <w:sz w:val="24"/>
          <w:szCs w:val="24"/>
        </w:rPr>
        <w:t xml:space="preserve">Fernandez, L., </w:t>
      </w:r>
      <w:proofErr w:type="spellStart"/>
      <w:r w:rsidRPr="000509B8">
        <w:rPr>
          <w:rFonts w:ascii="Times New Roman" w:hAnsi="Times New Roman"/>
          <w:sz w:val="24"/>
          <w:szCs w:val="24"/>
        </w:rPr>
        <w:t>Zalba</w:t>
      </w:r>
      <w:proofErr w:type="spellEnd"/>
      <w:r w:rsidRPr="000509B8">
        <w:rPr>
          <w:rFonts w:ascii="Times New Roman" w:hAnsi="Times New Roman"/>
          <w:sz w:val="24"/>
          <w:szCs w:val="24"/>
        </w:rPr>
        <w:t xml:space="preserve">, P., Gomez, M., </w:t>
      </w:r>
      <w:r w:rsidRPr="003112F3">
        <w:rPr>
          <w:rFonts w:ascii="Times New Roman" w:hAnsi="Times New Roman"/>
          <w:sz w:val="24"/>
          <w:szCs w:val="24"/>
        </w:rPr>
        <w:t xml:space="preserve">y </w:t>
      </w:r>
      <w:proofErr w:type="spellStart"/>
      <w:r w:rsidRPr="00CB20AE">
        <w:rPr>
          <w:rFonts w:ascii="Times New Roman" w:hAnsi="Times New Roman"/>
          <w:sz w:val="24"/>
          <w:szCs w:val="24"/>
        </w:rPr>
        <w:t>Sagardoy</w:t>
      </w:r>
      <w:proofErr w:type="spellEnd"/>
      <w:r w:rsidRPr="00CB20AE">
        <w:rPr>
          <w:rFonts w:ascii="Times New Roman" w:hAnsi="Times New Roman"/>
          <w:sz w:val="24"/>
          <w:szCs w:val="24"/>
        </w:rPr>
        <w:t>, M.</w:t>
      </w: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(2005). Bacterias </w:t>
      </w:r>
      <w:proofErr w:type="spellStart"/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solubilizadoras</w:t>
      </w:r>
      <w:proofErr w:type="spellEnd"/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de fosfato inorgánico aisladas de suelos de la región sojera.</w:t>
      </w:r>
      <w:r w:rsidRPr="00387231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38723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Ciencia del suelo</w:t>
      </w: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Pr="00387231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2E06A0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23</w:t>
      </w: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(1), 31-37.</w:t>
      </w:r>
    </w:p>
    <w:p w:rsidR="00845447" w:rsidRPr="00387231" w:rsidRDefault="00845447" w:rsidP="00610464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7231">
        <w:rPr>
          <w:rFonts w:ascii="Times New Roman" w:hAnsi="Times New Roman"/>
          <w:sz w:val="24"/>
          <w:szCs w:val="24"/>
        </w:rPr>
        <w:t>Galvis</w:t>
      </w:r>
      <w:proofErr w:type="spellEnd"/>
      <w:r w:rsidRPr="00387231">
        <w:rPr>
          <w:rFonts w:ascii="Times New Roman" w:hAnsi="Times New Roman"/>
          <w:sz w:val="24"/>
          <w:szCs w:val="24"/>
        </w:rPr>
        <w:t xml:space="preserve">, G </w:t>
      </w:r>
      <w:r w:rsidR="001447A1">
        <w:rPr>
          <w:rFonts w:ascii="Times New Roman" w:hAnsi="Times New Roman"/>
          <w:sz w:val="24"/>
          <w:szCs w:val="24"/>
        </w:rPr>
        <w:t>y</w:t>
      </w:r>
      <w:r w:rsidRPr="00387231">
        <w:rPr>
          <w:rFonts w:ascii="Times New Roman" w:hAnsi="Times New Roman"/>
          <w:sz w:val="24"/>
          <w:szCs w:val="24"/>
        </w:rPr>
        <w:t xml:space="preserve"> Lara, C. </w:t>
      </w:r>
      <w:r w:rsidRPr="000509B8">
        <w:rPr>
          <w:rFonts w:ascii="Times New Roman" w:hAnsi="Times New Roman"/>
          <w:sz w:val="24"/>
          <w:szCs w:val="24"/>
        </w:rPr>
        <w:t>(</w:t>
      </w:r>
      <w:r w:rsidRPr="00387231">
        <w:rPr>
          <w:rFonts w:ascii="Times New Roman" w:hAnsi="Times New Roman"/>
          <w:sz w:val="24"/>
          <w:szCs w:val="24"/>
        </w:rPr>
        <w:t>2013</w:t>
      </w:r>
      <w:r w:rsidRPr="000509B8">
        <w:rPr>
          <w:rFonts w:ascii="Times New Roman" w:hAnsi="Times New Roman"/>
          <w:sz w:val="24"/>
          <w:szCs w:val="24"/>
        </w:rPr>
        <w:t>)</w:t>
      </w:r>
      <w:r w:rsidRPr="00387231">
        <w:rPr>
          <w:rFonts w:ascii="Times New Roman" w:hAnsi="Times New Roman"/>
          <w:sz w:val="24"/>
          <w:szCs w:val="24"/>
        </w:rPr>
        <w:t xml:space="preserve">. Evaluación del contenido de nitrógeno y parámetros biométricos en pastos </w:t>
      </w:r>
      <w:proofErr w:type="spellStart"/>
      <w:r w:rsidRPr="00387231">
        <w:rPr>
          <w:rFonts w:ascii="Times New Roman" w:hAnsi="Times New Roman"/>
          <w:sz w:val="24"/>
          <w:szCs w:val="24"/>
        </w:rPr>
        <w:t>Angleton</w:t>
      </w:r>
      <w:proofErr w:type="spellEnd"/>
      <w:r w:rsidRPr="00387231">
        <w:rPr>
          <w:rFonts w:ascii="Times New Roman" w:hAnsi="Times New Roman"/>
          <w:sz w:val="24"/>
          <w:szCs w:val="24"/>
        </w:rPr>
        <w:t xml:space="preserve"> inoculados con una cepa nativa del género </w:t>
      </w:r>
      <w:proofErr w:type="spellStart"/>
      <w:r w:rsidRPr="00387231">
        <w:rPr>
          <w:rFonts w:ascii="Times New Roman" w:hAnsi="Times New Roman"/>
          <w:i/>
          <w:sz w:val="24"/>
          <w:szCs w:val="24"/>
        </w:rPr>
        <w:t>Azotobacter</w:t>
      </w:r>
      <w:proofErr w:type="spellEnd"/>
      <w:r w:rsidRPr="0038723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87231">
        <w:rPr>
          <w:rFonts w:ascii="Times New Roman" w:hAnsi="Times New Roman"/>
          <w:sz w:val="24"/>
          <w:szCs w:val="24"/>
        </w:rPr>
        <w:t>sp</w:t>
      </w:r>
      <w:r w:rsidRPr="00387231">
        <w:rPr>
          <w:rFonts w:ascii="Times New Roman" w:hAnsi="Times New Roman"/>
          <w:i/>
          <w:sz w:val="24"/>
          <w:szCs w:val="24"/>
        </w:rPr>
        <w:t>.</w:t>
      </w:r>
      <w:proofErr w:type="spellEnd"/>
      <w:r w:rsidRPr="00387231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387231">
        <w:rPr>
          <w:rFonts w:ascii="Times New Roman" w:hAnsi="Times New Roman"/>
          <w:sz w:val="24"/>
          <w:szCs w:val="24"/>
        </w:rPr>
        <w:t>secretora</w:t>
      </w:r>
      <w:proofErr w:type="gramEnd"/>
      <w:r w:rsidRPr="00387231">
        <w:rPr>
          <w:rFonts w:ascii="Times New Roman" w:hAnsi="Times New Roman"/>
          <w:sz w:val="24"/>
          <w:szCs w:val="24"/>
        </w:rPr>
        <w:t xml:space="preserve"> de ácido </w:t>
      </w:r>
      <w:proofErr w:type="spellStart"/>
      <w:r w:rsidRPr="00387231">
        <w:rPr>
          <w:rFonts w:ascii="Times New Roman" w:hAnsi="Times New Roman"/>
          <w:sz w:val="24"/>
          <w:szCs w:val="24"/>
        </w:rPr>
        <w:t>indolacético</w:t>
      </w:r>
      <w:proofErr w:type="spellEnd"/>
      <w:r w:rsidRPr="00387231">
        <w:rPr>
          <w:rFonts w:ascii="Times New Roman" w:hAnsi="Times New Roman"/>
          <w:sz w:val="24"/>
          <w:szCs w:val="24"/>
        </w:rPr>
        <w:t xml:space="preserve"> (AIA) y fijadora de nitrógeno </w:t>
      </w:r>
      <w:r w:rsidRPr="000509B8">
        <w:rPr>
          <w:rFonts w:ascii="Times New Roman" w:hAnsi="Times New Roman"/>
          <w:sz w:val="24"/>
          <w:szCs w:val="24"/>
        </w:rPr>
        <w:t>(</w:t>
      </w:r>
      <w:r w:rsidRPr="00387231">
        <w:rPr>
          <w:rFonts w:ascii="Times New Roman" w:hAnsi="Times New Roman"/>
          <w:sz w:val="24"/>
          <w:szCs w:val="24"/>
        </w:rPr>
        <w:t xml:space="preserve">Tesis de </w:t>
      </w:r>
      <w:r w:rsidRPr="000509B8">
        <w:rPr>
          <w:rFonts w:ascii="Times New Roman" w:hAnsi="Times New Roman"/>
          <w:sz w:val="24"/>
          <w:szCs w:val="24"/>
        </w:rPr>
        <w:t>pre</w:t>
      </w:r>
      <w:r w:rsidRPr="00387231">
        <w:rPr>
          <w:rFonts w:ascii="Times New Roman" w:hAnsi="Times New Roman"/>
          <w:sz w:val="24"/>
          <w:szCs w:val="24"/>
        </w:rPr>
        <w:t>grado Programa de Química</w:t>
      </w:r>
      <w:r w:rsidRPr="000509B8">
        <w:rPr>
          <w:rFonts w:ascii="Times New Roman" w:hAnsi="Times New Roman"/>
          <w:sz w:val="24"/>
          <w:szCs w:val="24"/>
        </w:rPr>
        <w:t>).</w:t>
      </w:r>
      <w:r w:rsidRPr="00387231">
        <w:rPr>
          <w:rFonts w:ascii="Times New Roman" w:hAnsi="Times New Roman"/>
          <w:sz w:val="24"/>
          <w:szCs w:val="24"/>
        </w:rPr>
        <w:t xml:space="preserve"> </w:t>
      </w:r>
      <w:r w:rsidRPr="000509B8">
        <w:rPr>
          <w:rFonts w:ascii="Times New Roman" w:hAnsi="Times New Roman"/>
          <w:sz w:val="24"/>
          <w:szCs w:val="24"/>
        </w:rPr>
        <w:t xml:space="preserve">Universidad de Córdoba, </w:t>
      </w:r>
      <w:r w:rsidRPr="003112F3">
        <w:rPr>
          <w:rFonts w:ascii="Times New Roman" w:hAnsi="Times New Roman"/>
          <w:sz w:val="24"/>
          <w:szCs w:val="24"/>
        </w:rPr>
        <w:t>Montería, Colombia.</w:t>
      </w:r>
      <w:r w:rsidRPr="00387231">
        <w:rPr>
          <w:rFonts w:ascii="Times New Roman" w:hAnsi="Times New Roman"/>
          <w:sz w:val="24"/>
          <w:szCs w:val="24"/>
        </w:rPr>
        <w:t xml:space="preserve"> </w:t>
      </w:r>
    </w:p>
    <w:p w:rsidR="00845447" w:rsidRPr="00387231" w:rsidRDefault="00845447" w:rsidP="00610464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Guzmán, E. (2012). Aislamiento y </w:t>
      </w:r>
      <w:r w:rsidR="002E06A0">
        <w:rPr>
          <w:rFonts w:ascii="Times New Roman" w:hAnsi="Times New Roman"/>
          <w:sz w:val="24"/>
          <w:szCs w:val="24"/>
          <w:shd w:val="clear" w:color="auto" w:fill="FFFFFF"/>
        </w:rPr>
        <w:t>c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aracterización de </w:t>
      </w:r>
      <w:r w:rsidR="002E06A0">
        <w:rPr>
          <w:rFonts w:ascii="Times New Roman" w:hAnsi="Times New Roman"/>
          <w:sz w:val="24"/>
          <w:szCs w:val="24"/>
          <w:shd w:val="clear" w:color="auto" w:fill="FFFFFF"/>
        </w:rPr>
        <w:t>b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acterias </w:t>
      </w:r>
      <w:proofErr w:type="spellStart"/>
      <w:r w:rsidR="002E06A0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>olubilizadoras</w:t>
      </w:r>
      <w:proofErr w:type="spellEnd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="002E06A0">
        <w:rPr>
          <w:rFonts w:ascii="Times New Roman" w:hAnsi="Times New Roman"/>
          <w:sz w:val="24"/>
          <w:szCs w:val="24"/>
          <w:shd w:val="clear" w:color="auto" w:fill="FFFFFF"/>
        </w:rPr>
        <w:t>f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ósforo a partir de cuatro suelos de la provincia de Chimborazo 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Tesis </w:t>
      </w:r>
      <w:r w:rsidR="002E06A0" w:rsidRPr="00387231">
        <w:rPr>
          <w:rFonts w:ascii="Times New Roman" w:hAnsi="Times New Roman"/>
          <w:sz w:val="24"/>
          <w:szCs w:val="24"/>
          <w:shd w:val="clear" w:color="auto" w:fill="FFFFFF"/>
        </w:rPr>
        <w:t>Ingeniería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 agronómica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>.  Escuela Superior Politécnica De Chimborazo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, Riobamba, Ecuador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45447" w:rsidRPr="000509B8" w:rsidRDefault="00845447" w:rsidP="00610464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45447" w:rsidRPr="00387231" w:rsidRDefault="00845447" w:rsidP="006104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>Hameeda</w:t>
      </w:r>
      <w:proofErr w:type="spellEnd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, B., </w:t>
      </w:r>
      <w:proofErr w:type="spellStart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>Harini</w:t>
      </w:r>
      <w:proofErr w:type="spellEnd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, G., </w:t>
      </w:r>
      <w:proofErr w:type="spellStart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>Rupela</w:t>
      </w:r>
      <w:proofErr w:type="spellEnd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, O., </w:t>
      </w:r>
      <w:proofErr w:type="spellStart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>Wani</w:t>
      </w:r>
      <w:proofErr w:type="spellEnd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, P., 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 xml:space="preserve">y </w:t>
      </w:r>
      <w:proofErr w:type="spellStart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>Reddy</w:t>
      </w:r>
      <w:proofErr w:type="spellEnd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, G. 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>2006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Growth promotion of maize by phosphate-</w:t>
      </w:r>
      <w:proofErr w:type="spellStart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solubilizing</w:t>
      </w:r>
      <w:proofErr w:type="spellEnd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bacteria isolated from composts and </w:t>
      </w:r>
      <w:proofErr w:type="spellStart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macrofauna</w:t>
      </w:r>
      <w:proofErr w:type="spellEnd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387231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Microbiological</w:t>
      </w:r>
      <w:proofErr w:type="spellEnd"/>
      <w:r w:rsidRPr="00387231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87231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research</w:t>
      </w:r>
      <w:proofErr w:type="spellEnd"/>
      <w:r w:rsidRPr="00387231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, </w:t>
      </w:r>
      <w:r w:rsidRPr="001447A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163</w:t>
      </w: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(2), 234-242.</w:t>
      </w:r>
    </w:p>
    <w:p w:rsidR="00845447" w:rsidRPr="000509B8" w:rsidRDefault="00845447" w:rsidP="006104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45447" w:rsidRPr="00387231" w:rsidRDefault="00845447" w:rsidP="006104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lastRenderedPageBreak/>
        <w:t>Hernández, A. (2002).</w:t>
      </w:r>
      <w:r w:rsidRPr="00387231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387231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Obtención de un </w:t>
      </w:r>
      <w:proofErr w:type="spellStart"/>
      <w:r w:rsidRPr="00387231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biopreparado</w:t>
      </w:r>
      <w:proofErr w:type="spellEnd"/>
      <w:r w:rsidRPr="00387231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a partir de </w:t>
      </w:r>
      <w:proofErr w:type="spellStart"/>
      <w:r w:rsidRPr="00387231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rizobacterias</w:t>
      </w:r>
      <w:proofErr w:type="spellEnd"/>
      <w:r w:rsidRPr="00387231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asociadas al cultivo del maíz (</w:t>
      </w:r>
      <w:r w:rsidRPr="001447A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Zea </w:t>
      </w:r>
      <w:proofErr w:type="spellStart"/>
      <w:r w:rsidRPr="001447A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Mays</w:t>
      </w:r>
      <w:proofErr w:type="spellEnd"/>
      <w:r w:rsidRPr="00387231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L.) </w:t>
      </w: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(Tesis de doctorado). Universidad de La Habana, La Habana, Cuba.</w:t>
      </w:r>
    </w:p>
    <w:p w:rsidR="00845447" w:rsidRPr="00387231" w:rsidRDefault="00845447" w:rsidP="0061046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45447" w:rsidRPr="00621F1C" w:rsidRDefault="00845447" w:rsidP="00610464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52A7A">
        <w:rPr>
          <w:rFonts w:ascii="Times New Roman" w:hAnsi="Times New Roman"/>
          <w:color w:val="000000" w:themeColor="text1"/>
          <w:sz w:val="24"/>
          <w:szCs w:val="24"/>
        </w:rPr>
        <w:t>Iañez</w:t>
      </w:r>
      <w:proofErr w:type="spellEnd"/>
      <w:r w:rsidRPr="00252A7A">
        <w:rPr>
          <w:rFonts w:ascii="Times New Roman" w:hAnsi="Times New Roman"/>
          <w:color w:val="000000" w:themeColor="text1"/>
          <w:sz w:val="24"/>
          <w:szCs w:val="24"/>
        </w:rPr>
        <w:t xml:space="preserve">, E. (2010). Microbiología General. Recuperado de </w:t>
      </w:r>
      <w:r w:rsidRPr="00621F1C">
        <w:rPr>
          <w:rFonts w:ascii="Times New Roman" w:hAnsi="Times New Roman"/>
          <w:color w:val="000000" w:themeColor="text1"/>
          <w:sz w:val="24"/>
          <w:szCs w:val="24"/>
        </w:rPr>
        <w:t>http://www.ugr.es/~eianez/Microbiologia/index.htm.</w:t>
      </w:r>
    </w:p>
    <w:p w:rsidR="00845447" w:rsidRPr="000509B8" w:rsidRDefault="00845447" w:rsidP="00610464">
      <w:pPr>
        <w:pStyle w:val="Prrafodelista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5447" w:rsidRPr="00252A7A" w:rsidRDefault="00845447" w:rsidP="006104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52A7A">
        <w:rPr>
          <w:rFonts w:ascii="Times New Roman" w:hAnsi="Times New Roman"/>
          <w:sz w:val="24"/>
          <w:szCs w:val="24"/>
          <w:lang w:val="es-ES"/>
        </w:rPr>
        <w:t>Kitson</w:t>
      </w:r>
      <w:proofErr w:type="spellEnd"/>
      <w:r w:rsidRPr="00252A7A">
        <w:rPr>
          <w:rFonts w:ascii="Times New Roman" w:hAnsi="Times New Roman"/>
          <w:sz w:val="24"/>
          <w:szCs w:val="24"/>
          <w:lang w:val="es-ES"/>
        </w:rPr>
        <w:t xml:space="preserve">, R., y </w:t>
      </w:r>
      <w:proofErr w:type="spellStart"/>
      <w:r w:rsidRPr="00252A7A">
        <w:rPr>
          <w:rFonts w:ascii="Times New Roman" w:hAnsi="Times New Roman"/>
          <w:sz w:val="24"/>
          <w:szCs w:val="24"/>
          <w:lang w:val="es-ES"/>
        </w:rPr>
        <w:t>Mellon</w:t>
      </w:r>
      <w:proofErr w:type="spellEnd"/>
      <w:r w:rsidRPr="00252A7A">
        <w:rPr>
          <w:rFonts w:ascii="Times New Roman" w:hAnsi="Times New Roman"/>
          <w:sz w:val="24"/>
          <w:szCs w:val="24"/>
          <w:lang w:val="es-ES"/>
        </w:rPr>
        <w:t xml:space="preserve">, M. (1944). </w:t>
      </w:r>
      <w:proofErr w:type="gramStart"/>
      <w:r w:rsidRPr="00387231">
        <w:rPr>
          <w:rFonts w:ascii="Times New Roman" w:hAnsi="Times New Roman"/>
          <w:sz w:val="24"/>
          <w:szCs w:val="24"/>
          <w:lang w:val="en-US"/>
        </w:rPr>
        <w:t xml:space="preserve">Colorimetric determination of </w:t>
      </w:r>
      <w:proofErr w:type="spellStart"/>
      <w:r w:rsidRPr="00387231">
        <w:rPr>
          <w:rFonts w:ascii="Times New Roman" w:hAnsi="Times New Roman"/>
          <w:sz w:val="24"/>
          <w:szCs w:val="24"/>
          <w:lang w:val="en-US"/>
        </w:rPr>
        <w:t>phosfarus</w:t>
      </w:r>
      <w:proofErr w:type="spellEnd"/>
      <w:r w:rsidRPr="00387231">
        <w:rPr>
          <w:rFonts w:ascii="Times New Roman" w:hAnsi="Times New Roman"/>
          <w:sz w:val="24"/>
          <w:szCs w:val="24"/>
          <w:lang w:val="en-US"/>
        </w:rPr>
        <w:t xml:space="preserve"> as </w:t>
      </w:r>
      <w:proofErr w:type="spellStart"/>
      <w:r w:rsidRPr="00387231">
        <w:rPr>
          <w:rFonts w:ascii="Times New Roman" w:hAnsi="Times New Roman"/>
          <w:sz w:val="24"/>
          <w:szCs w:val="24"/>
          <w:lang w:val="en-US"/>
        </w:rPr>
        <w:t>molybdovanado</w:t>
      </w:r>
      <w:proofErr w:type="spellEnd"/>
      <w:r w:rsidR="001210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7231">
        <w:rPr>
          <w:rFonts w:ascii="Times New Roman" w:hAnsi="Times New Roman"/>
          <w:sz w:val="24"/>
          <w:szCs w:val="24"/>
          <w:lang w:val="en-US"/>
        </w:rPr>
        <w:t>phososphoric</w:t>
      </w:r>
      <w:proofErr w:type="spellEnd"/>
      <w:r w:rsidRPr="00387231">
        <w:rPr>
          <w:rFonts w:ascii="Times New Roman" w:hAnsi="Times New Roman"/>
          <w:sz w:val="24"/>
          <w:szCs w:val="24"/>
          <w:lang w:val="en-US"/>
        </w:rPr>
        <w:t xml:space="preserve"> acid.</w:t>
      </w:r>
      <w:proofErr w:type="gramEnd"/>
      <w:r w:rsidRPr="003872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52A7A">
        <w:rPr>
          <w:rFonts w:ascii="Times New Roman" w:hAnsi="Times New Roman"/>
          <w:i/>
          <w:sz w:val="24"/>
          <w:szCs w:val="24"/>
          <w:lang w:val="en-US"/>
        </w:rPr>
        <w:t>Ind</w:t>
      </w:r>
      <w:proofErr w:type="spellEnd"/>
      <w:r w:rsidR="00147B1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52A7A">
        <w:rPr>
          <w:rFonts w:ascii="Times New Roman" w:hAnsi="Times New Roman"/>
          <w:i/>
          <w:sz w:val="24"/>
          <w:szCs w:val="24"/>
          <w:lang w:val="en-US"/>
        </w:rPr>
        <w:t>Eng</w:t>
      </w:r>
      <w:r w:rsidR="00147B1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52A7A">
        <w:rPr>
          <w:rFonts w:ascii="Times New Roman" w:hAnsi="Times New Roman"/>
          <w:i/>
          <w:sz w:val="24"/>
          <w:szCs w:val="24"/>
          <w:lang w:val="en-US"/>
        </w:rPr>
        <w:t>Chem</w:t>
      </w:r>
      <w:proofErr w:type="spellEnd"/>
      <w:r w:rsidRPr="00252A7A">
        <w:rPr>
          <w:rFonts w:ascii="Times New Roman" w:hAnsi="Times New Roman"/>
          <w:i/>
          <w:sz w:val="24"/>
          <w:szCs w:val="24"/>
          <w:lang w:val="en-US"/>
        </w:rPr>
        <w:t xml:space="preserve"> Anal, </w:t>
      </w:r>
      <w:r w:rsidRPr="00147B10">
        <w:rPr>
          <w:rFonts w:ascii="Times New Roman" w:hAnsi="Times New Roman"/>
          <w:sz w:val="24"/>
          <w:szCs w:val="24"/>
          <w:lang w:val="en-US"/>
        </w:rPr>
        <w:t>16,</w:t>
      </w:r>
      <w:r w:rsidRPr="00252A7A">
        <w:rPr>
          <w:rFonts w:ascii="Times New Roman" w:hAnsi="Times New Roman"/>
          <w:sz w:val="24"/>
          <w:szCs w:val="24"/>
          <w:lang w:val="en-US"/>
        </w:rPr>
        <w:t xml:space="preserve"> 379- 384.</w:t>
      </w:r>
      <w:proofErr w:type="gramEnd"/>
    </w:p>
    <w:p w:rsidR="00845447" w:rsidRPr="00252A7A" w:rsidRDefault="00845447" w:rsidP="00610464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45447" w:rsidRPr="00252A7A" w:rsidRDefault="00845447" w:rsidP="006104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proofErr w:type="gramStart"/>
      <w:r w:rsidRPr="00436FD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Kumar</w:t>
      </w:r>
      <w:r w:rsidR="00575956" w:rsidRPr="00436FD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</w:t>
      </w:r>
      <w:r w:rsidRPr="00436FD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V., y </w:t>
      </w:r>
      <w:proofErr w:type="spellStart"/>
      <w:r w:rsidRPr="00436FD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Narula</w:t>
      </w:r>
      <w:proofErr w:type="spellEnd"/>
      <w:r w:rsidRPr="00436FD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N. (1999).</w:t>
      </w:r>
      <w:proofErr w:type="gramEnd"/>
      <w:r w:rsidRPr="00436FD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38723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Solubilization</w:t>
      </w:r>
      <w:proofErr w:type="spellEnd"/>
      <w:r w:rsidRPr="0038723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of </w:t>
      </w:r>
      <w:proofErr w:type="spellStart"/>
      <w:r w:rsidRPr="0038723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organicphosphates</w:t>
      </w:r>
      <w:proofErr w:type="spellEnd"/>
      <w:r w:rsidRPr="0038723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and </w:t>
      </w:r>
      <w:proofErr w:type="spellStart"/>
      <w:r w:rsidRPr="0038723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growthemergence</w:t>
      </w:r>
      <w:proofErr w:type="spellEnd"/>
      <w:r w:rsidRPr="0038723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of wheat as </w:t>
      </w:r>
      <w:proofErr w:type="spellStart"/>
      <w:r w:rsidRPr="0038723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affectedby</w:t>
      </w:r>
      <w:proofErr w:type="spellEnd"/>
      <w:r w:rsidRPr="000509B8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Pr="00387231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Azotobacterchroococum</w:t>
      </w:r>
      <w:proofErr w:type="spellEnd"/>
      <w:r w:rsidRPr="000509B8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Pr="0038723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mutans</w:t>
      </w:r>
      <w:proofErr w:type="spellEnd"/>
      <w:r w:rsidRPr="0038723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proofErr w:type="gramEnd"/>
      <w:r w:rsidRPr="0038723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252A7A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Boil Fertile</w:t>
      </w:r>
      <w:r w:rsidR="00575956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252A7A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Soils, 28</w:t>
      </w:r>
      <w:r w:rsidRPr="00252A7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301-305.</w:t>
      </w:r>
    </w:p>
    <w:p w:rsidR="00845447" w:rsidRPr="00252A7A" w:rsidRDefault="00845447" w:rsidP="00610464">
      <w:pPr>
        <w:pStyle w:val="Prrafodelista"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845447" w:rsidRPr="00387231" w:rsidRDefault="00845447" w:rsidP="006104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387231">
        <w:rPr>
          <w:rFonts w:ascii="Times New Roman" w:hAnsi="Times New Roman"/>
          <w:sz w:val="24"/>
          <w:szCs w:val="24"/>
          <w:lang w:val="en-US"/>
        </w:rPr>
        <w:t>Kloepper</w:t>
      </w:r>
      <w:proofErr w:type="spellEnd"/>
      <w:r w:rsidRPr="00387231">
        <w:rPr>
          <w:rFonts w:ascii="Times New Roman" w:hAnsi="Times New Roman"/>
          <w:sz w:val="24"/>
          <w:szCs w:val="24"/>
          <w:lang w:val="en-US"/>
        </w:rPr>
        <w:t xml:space="preserve">, J., </w:t>
      </w:r>
      <w:proofErr w:type="spellStart"/>
      <w:r w:rsidRPr="00387231">
        <w:rPr>
          <w:rFonts w:ascii="Times New Roman" w:hAnsi="Times New Roman"/>
          <w:sz w:val="24"/>
          <w:szCs w:val="24"/>
          <w:lang w:val="en-US"/>
        </w:rPr>
        <w:t>Zablotowicz</w:t>
      </w:r>
      <w:proofErr w:type="spellEnd"/>
      <w:r w:rsidRPr="00387231">
        <w:rPr>
          <w:rFonts w:ascii="Times New Roman" w:hAnsi="Times New Roman"/>
          <w:sz w:val="24"/>
          <w:szCs w:val="24"/>
          <w:lang w:val="en-US"/>
        </w:rPr>
        <w:t xml:space="preserve">, R., Tipping, </w:t>
      </w:r>
      <w:r w:rsidRPr="000509B8">
        <w:rPr>
          <w:rFonts w:ascii="Times New Roman" w:hAnsi="Times New Roman"/>
          <w:sz w:val="24"/>
          <w:szCs w:val="24"/>
          <w:lang w:val="en-US"/>
        </w:rPr>
        <w:t>E</w:t>
      </w:r>
      <w:r w:rsidRPr="00387231">
        <w:rPr>
          <w:rFonts w:ascii="Times New Roman" w:hAnsi="Times New Roman"/>
          <w:sz w:val="24"/>
          <w:szCs w:val="24"/>
          <w:lang w:val="en-US"/>
        </w:rPr>
        <w:t xml:space="preserve">., </w:t>
      </w:r>
      <w:r w:rsidRPr="000509B8">
        <w:rPr>
          <w:rFonts w:ascii="Times New Roman" w:hAnsi="Times New Roman"/>
          <w:sz w:val="24"/>
          <w:szCs w:val="24"/>
          <w:lang w:val="en-US"/>
        </w:rPr>
        <w:t xml:space="preserve">y </w:t>
      </w:r>
      <w:proofErr w:type="spellStart"/>
      <w:r w:rsidRPr="00387231">
        <w:rPr>
          <w:rFonts w:ascii="Times New Roman" w:hAnsi="Times New Roman"/>
          <w:sz w:val="24"/>
          <w:szCs w:val="24"/>
          <w:lang w:val="en-US"/>
        </w:rPr>
        <w:t>Lifshitz</w:t>
      </w:r>
      <w:proofErr w:type="spellEnd"/>
      <w:r w:rsidRPr="00387231">
        <w:rPr>
          <w:rFonts w:ascii="Times New Roman" w:hAnsi="Times New Roman"/>
          <w:sz w:val="24"/>
          <w:szCs w:val="24"/>
          <w:lang w:val="en-US"/>
        </w:rPr>
        <w:t xml:space="preserve">, R. </w:t>
      </w:r>
      <w:r w:rsidRPr="000509B8">
        <w:rPr>
          <w:rFonts w:ascii="Times New Roman" w:hAnsi="Times New Roman"/>
          <w:sz w:val="24"/>
          <w:szCs w:val="24"/>
          <w:lang w:val="en-US"/>
        </w:rPr>
        <w:t>(</w:t>
      </w:r>
      <w:r w:rsidRPr="00387231">
        <w:rPr>
          <w:rFonts w:ascii="Times New Roman" w:hAnsi="Times New Roman"/>
          <w:sz w:val="24"/>
          <w:szCs w:val="24"/>
          <w:lang w:val="en-US"/>
        </w:rPr>
        <w:t>1991</w:t>
      </w:r>
      <w:r w:rsidRPr="000509B8">
        <w:rPr>
          <w:rFonts w:ascii="Times New Roman" w:hAnsi="Times New Roman"/>
          <w:sz w:val="24"/>
          <w:szCs w:val="24"/>
          <w:lang w:val="en-US"/>
        </w:rPr>
        <w:t>)</w:t>
      </w:r>
      <w:r w:rsidRPr="00387231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3872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387231">
        <w:rPr>
          <w:rFonts w:ascii="Times New Roman" w:hAnsi="Times New Roman"/>
          <w:sz w:val="24"/>
          <w:szCs w:val="24"/>
          <w:lang w:val="en-US"/>
        </w:rPr>
        <w:t xml:space="preserve">Plant growth promotion mediated by bacterial </w:t>
      </w:r>
      <w:proofErr w:type="spellStart"/>
      <w:r w:rsidRPr="00387231">
        <w:rPr>
          <w:rFonts w:ascii="Times New Roman" w:hAnsi="Times New Roman"/>
          <w:sz w:val="24"/>
          <w:szCs w:val="24"/>
          <w:lang w:val="en-US"/>
        </w:rPr>
        <w:t>rhizosphere</w:t>
      </w:r>
      <w:proofErr w:type="spellEnd"/>
      <w:r w:rsidRPr="00387231">
        <w:rPr>
          <w:rFonts w:ascii="Times New Roman" w:hAnsi="Times New Roman"/>
          <w:sz w:val="24"/>
          <w:szCs w:val="24"/>
          <w:lang w:val="en-US"/>
        </w:rPr>
        <w:t xml:space="preserve"> colonizers.</w:t>
      </w:r>
      <w:proofErr w:type="gramEnd"/>
      <w:r w:rsidRPr="0038723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87231">
        <w:rPr>
          <w:rFonts w:ascii="Times New Roman" w:hAnsi="Times New Roman"/>
          <w:i/>
          <w:iCs/>
          <w:sz w:val="24"/>
          <w:szCs w:val="24"/>
          <w:lang w:val="en-US"/>
        </w:rPr>
        <w:t xml:space="preserve">The </w:t>
      </w:r>
      <w:proofErr w:type="spellStart"/>
      <w:r w:rsidRPr="00387231">
        <w:rPr>
          <w:rFonts w:ascii="Times New Roman" w:hAnsi="Times New Roman"/>
          <w:i/>
          <w:iCs/>
          <w:sz w:val="24"/>
          <w:szCs w:val="24"/>
          <w:lang w:val="en-US"/>
        </w:rPr>
        <w:t>Rhizosphere</w:t>
      </w:r>
      <w:proofErr w:type="spellEnd"/>
      <w:r w:rsidRPr="00387231">
        <w:rPr>
          <w:rFonts w:ascii="Times New Roman" w:hAnsi="Times New Roman"/>
          <w:i/>
          <w:iCs/>
          <w:sz w:val="24"/>
          <w:szCs w:val="24"/>
          <w:lang w:val="en-US"/>
        </w:rPr>
        <w:t xml:space="preserve"> and Plant Growth</w:t>
      </w:r>
      <w:r w:rsidRPr="000509B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147B10">
        <w:rPr>
          <w:rFonts w:ascii="Times New Roman" w:hAnsi="Times New Roman"/>
          <w:sz w:val="24"/>
          <w:szCs w:val="24"/>
          <w:lang w:val="en-US"/>
        </w:rPr>
        <w:t>30,</w:t>
      </w:r>
      <w:r w:rsidRPr="000509B8">
        <w:rPr>
          <w:rFonts w:ascii="Times New Roman" w:hAnsi="Times New Roman"/>
          <w:sz w:val="24"/>
          <w:szCs w:val="24"/>
          <w:lang w:val="en-US"/>
        </w:rPr>
        <w:t xml:space="preserve"> 315-326</w:t>
      </w:r>
      <w:r w:rsidRPr="003112F3">
        <w:rPr>
          <w:rFonts w:ascii="Times New Roman" w:hAnsi="Times New Roman"/>
          <w:sz w:val="24"/>
          <w:szCs w:val="24"/>
          <w:lang w:val="en-US"/>
        </w:rPr>
        <w:t>.</w:t>
      </w:r>
    </w:p>
    <w:p w:rsidR="00845447" w:rsidRPr="00252A7A" w:rsidRDefault="00845447" w:rsidP="0061046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845447" w:rsidRPr="00387231" w:rsidRDefault="00845447" w:rsidP="006104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87231">
        <w:rPr>
          <w:rFonts w:ascii="Times New Roman" w:hAnsi="Times New Roman"/>
          <w:sz w:val="24"/>
          <w:szCs w:val="24"/>
        </w:rPr>
        <w:t xml:space="preserve">Lara, C., Esquivel, L., </w:t>
      </w:r>
      <w:r w:rsidRPr="000509B8">
        <w:rPr>
          <w:rFonts w:ascii="Times New Roman" w:hAnsi="Times New Roman"/>
          <w:sz w:val="24"/>
          <w:szCs w:val="24"/>
        </w:rPr>
        <w:t xml:space="preserve">y </w:t>
      </w:r>
      <w:r w:rsidRPr="00387231">
        <w:rPr>
          <w:rFonts w:ascii="Times New Roman" w:hAnsi="Times New Roman"/>
          <w:sz w:val="24"/>
          <w:szCs w:val="24"/>
        </w:rPr>
        <w:t>Negrete, J.</w:t>
      </w:r>
      <w:r w:rsidRPr="0038723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0509B8">
        <w:rPr>
          <w:rFonts w:ascii="Times New Roman" w:hAnsi="Times New Roman"/>
          <w:bCs/>
          <w:sz w:val="24"/>
          <w:szCs w:val="24"/>
          <w:shd w:val="clear" w:color="auto" w:fill="FFFFFF"/>
        </w:rPr>
        <w:t>(</w:t>
      </w:r>
      <w:r w:rsidRPr="00387231">
        <w:rPr>
          <w:rFonts w:ascii="Times New Roman" w:hAnsi="Times New Roman"/>
          <w:bCs/>
          <w:sz w:val="24"/>
          <w:szCs w:val="24"/>
          <w:shd w:val="clear" w:color="auto" w:fill="FFFFFF"/>
        </w:rPr>
        <w:t>2011</w:t>
      </w:r>
      <w:r w:rsidRPr="000509B8">
        <w:rPr>
          <w:rFonts w:ascii="Times New Roman" w:hAnsi="Times New Roman"/>
          <w:bCs/>
          <w:sz w:val="24"/>
          <w:szCs w:val="24"/>
          <w:shd w:val="clear" w:color="auto" w:fill="FFFFFF"/>
        </w:rPr>
        <w:t>)</w:t>
      </w:r>
      <w:r w:rsidRPr="00387231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Pr="00387231">
        <w:rPr>
          <w:rFonts w:ascii="Times New Roman" w:hAnsi="Times New Roman"/>
          <w:sz w:val="24"/>
          <w:szCs w:val="24"/>
        </w:rPr>
        <w:t xml:space="preserve"> </w:t>
      </w:r>
      <w:r w:rsidRPr="0038723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Bacterias nativas </w:t>
      </w:r>
      <w:proofErr w:type="spellStart"/>
      <w:r w:rsidRPr="00387231">
        <w:rPr>
          <w:rFonts w:ascii="Times New Roman" w:hAnsi="Times New Roman"/>
          <w:bCs/>
          <w:sz w:val="24"/>
          <w:szCs w:val="24"/>
          <w:shd w:val="clear" w:color="auto" w:fill="FFFFFF"/>
        </w:rPr>
        <w:t>solubilizadores</w:t>
      </w:r>
      <w:proofErr w:type="spellEnd"/>
      <w:r w:rsidRPr="0038723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de fosfatos para incrementar los cultivos en el departamento de </w:t>
      </w:r>
      <w:r w:rsidRPr="000509B8">
        <w:rPr>
          <w:rFonts w:ascii="Times New Roman" w:hAnsi="Times New Roman"/>
          <w:bCs/>
          <w:sz w:val="24"/>
          <w:szCs w:val="24"/>
          <w:shd w:val="clear" w:color="auto" w:fill="FFFFFF"/>
        </w:rPr>
        <w:t>C</w:t>
      </w:r>
      <w:r w:rsidRPr="0038723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órdoba-Colombia. </w:t>
      </w:r>
      <w:r w:rsidRPr="00387231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Biotecnología en el sector agropecuario y agroindustrial</w:t>
      </w:r>
      <w:r w:rsidRPr="000509B8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,</w:t>
      </w:r>
      <w:r w:rsidRPr="00387231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</w:t>
      </w:r>
      <w:r w:rsidRPr="00147B10">
        <w:rPr>
          <w:rFonts w:ascii="Times New Roman" w:hAnsi="Times New Roman"/>
          <w:bCs/>
          <w:sz w:val="24"/>
          <w:szCs w:val="24"/>
          <w:shd w:val="clear" w:color="auto" w:fill="FFFFFF"/>
        </w:rPr>
        <w:t>9</w:t>
      </w:r>
      <w:r w:rsidRPr="00387231">
        <w:rPr>
          <w:rFonts w:ascii="Times New Roman" w:hAnsi="Times New Roman"/>
          <w:bCs/>
          <w:sz w:val="24"/>
          <w:szCs w:val="24"/>
          <w:shd w:val="clear" w:color="auto" w:fill="FFFFFF"/>
        </w:rPr>
        <w:t>(2)</w:t>
      </w:r>
      <w:r w:rsidRPr="000509B8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147B1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387231">
        <w:rPr>
          <w:rFonts w:ascii="Times New Roman" w:hAnsi="Times New Roman"/>
          <w:bCs/>
          <w:sz w:val="24"/>
          <w:szCs w:val="24"/>
          <w:shd w:val="clear" w:color="auto" w:fill="FFFFFF"/>
        </w:rPr>
        <w:t>114-120.</w:t>
      </w:r>
    </w:p>
    <w:p w:rsidR="00845447" w:rsidRPr="000509B8" w:rsidRDefault="00845447" w:rsidP="0061046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845447" w:rsidRPr="00387231" w:rsidRDefault="00845447" w:rsidP="006104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87231">
        <w:rPr>
          <w:rFonts w:ascii="Times New Roman" w:hAnsi="Times New Roman"/>
          <w:sz w:val="24"/>
          <w:szCs w:val="24"/>
        </w:rPr>
        <w:t xml:space="preserve">Lara, C., García, L., </w:t>
      </w:r>
      <w:r w:rsidRPr="000509B8">
        <w:rPr>
          <w:rFonts w:ascii="Times New Roman" w:hAnsi="Times New Roman"/>
          <w:sz w:val="24"/>
          <w:szCs w:val="24"/>
        </w:rPr>
        <w:t>y</w:t>
      </w:r>
      <w:r w:rsidRPr="00387231">
        <w:rPr>
          <w:rFonts w:ascii="Times New Roman" w:hAnsi="Times New Roman"/>
          <w:sz w:val="24"/>
          <w:szCs w:val="24"/>
        </w:rPr>
        <w:t xml:space="preserve"> Oviedo, L. (2011). Efecto </w:t>
      </w:r>
      <w:proofErr w:type="spellStart"/>
      <w:r w:rsidRPr="00387231">
        <w:rPr>
          <w:rFonts w:ascii="Times New Roman" w:hAnsi="Times New Roman"/>
          <w:sz w:val="24"/>
          <w:szCs w:val="24"/>
        </w:rPr>
        <w:t>biofertilizante</w:t>
      </w:r>
      <w:proofErr w:type="spellEnd"/>
      <w:r w:rsidRPr="00387231">
        <w:rPr>
          <w:rFonts w:ascii="Times New Roman" w:hAnsi="Times New Roman"/>
          <w:sz w:val="24"/>
          <w:szCs w:val="24"/>
        </w:rPr>
        <w:t xml:space="preserve"> del preparado: Residuos vegetales-bacteria nativa </w:t>
      </w:r>
      <w:proofErr w:type="spellStart"/>
      <w:r w:rsidRPr="00387231">
        <w:rPr>
          <w:rFonts w:ascii="Times New Roman" w:hAnsi="Times New Roman"/>
          <w:sz w:val="24"/>
          <w:szCs w:val="24"/>
        </w:rPr>
        <w:t>diazótrofa</w:t>
      </w:r>
      <w:proofErr w:type="spellEnd"/>
      <w:r w:rsidRPr="00387231">
        <w:rPr>
          <w:rFonts w:ascii="Times New Roman" w:hAnsi="Times New Roman"/>
          <w:sz w:val="24"/>
          <w:szCs w:val="24"/>
        </w:rPr>
        <w:t xml:space="preserve"> sobre las variables biométricas de plántulas de </w:t>
      </w:r>
      <w:proofErr w:type="spellStart"/>
      <w:r w:rsidRPr="00387231">
        <w:rPr>
          <w:rFonts w:ascii="Times New Roman" w:hAnsi="Times New Roman"/>
          <w:sz w:val="24"/>
          <w:szCs w:val="24"/>
        </w:rPr>
        <w:t>Rhapanussativus</w:t>
      </w:r>
      <w:proofErr w:type="spellEnd"/>
      <w:r w:rsidRPr="00387231">
        <w:rPr>
          <w:rFonts w:ascii="Times New Roman" w:hAnsi="Times New Roman"/>
          <w:sz w:val="24"/>
          <w:szCs w:val="24"/>
        </w:rPr>
        <w:t xml:space="preserve">. </w:t>
      </w:r>
      <w:r w:rsidRPr="00387231">
        <w:rPr>
          <w:rFonts w:ascii="Times New Roman" w:hAnsi="Times New Roman"/>
          <w:i/>
          <w:sz w:val="24"/>
          <w:szCs w:val="24"/>
        </w:rPr>
        <w:t xml:space="preserve">Revista Colombiana de Biotecnología, </w:t>
      </w:r>
      <w:r w:rsidRPr="00575956">
        <w:rPr>
          <w:rFonts w:ascii="Times New Roman" w:hAnsi="Times New Roman"/>
          <w:sz w:val="24"/>
          <w:szCs w:val="24"/>
        </w:rPr>
        <w:t>13</w:t>
      </w:r>
      <w:r w:rsidRPr="00387231">
        <w:rPr>
          <w:rFonts w:ascii="Times New Roman" w:hAnsi="Times New Roman"/>
          <w:sz w:val="24"/>
          <w:szCs w:val="24"/>
        </w:rPr>
        <w:t>(1), 156-162.</w:t>
      </w:r>
    </w:p>
    <w:p w:rsidR="00845447" w:rsidRPr="000509B8" w:rsidRDefault="00845447" w:rsidP="0061046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845447" w:rsidRPr="00387231" w:rsidRDefault="00845447" w:rsidP="00610464">
      <w:pPr>
        <w:spacing w:after="0" w:line="240" w:lineRule="auto"/>
        <w:ind w:left="36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López, M. (2010).</w:t>
      </w:r>
      <w:r w:rsidRPr="00387231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387231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Manejo agroecológico del sistema sorgo-frijol, efecto sobre la fertilidad del suelo y microorganismos con potencial para </w:t>
      </w:r>
      <w:proofErr w:type="spellStart"/>
      <w:r w:rsidRPr="00387231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biofertilizar</w:t>
      </w:r>
      <w:proofErr w:type="spellEnd"/>
      <w:r w:rsidRPr="00387231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87231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agroecosistemas</w:t>
      </w:r>
      <w:proofErr w:type="spellEnd"/>
      <w:r w:rsidRPr="00387231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 xml:space="preserve"> venezolanos</w:t>
      </w:r>
      <w:r w:rsidRPr="00387231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(Tesis de doctorado en Ciencia del Suelo). Universidad Central de Venezuela. Maracay, Venezuela. </w:t>
      </w:r>
    </w:p>
    <w:p w:rsidR="00845447" w:rsidRPr="000509B8" w:rsidRDefault="00845447" w:rsidP="0061046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447" w:rsidRPr="00252A7A" w:rsidRDefault="00845447" w:rsidP="006104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pacing w:val="-2"/>
          <w:sz w:val="24"/>
          <w:szCs w:val="24"/>
          <w:lang w:val="en-US"/>
        </w:rPr>
      </w:pPr>
      <w:proofErr w:type="spellStart"/>
      <w:r w:rsidRPr="00252A7A">
        <w:rPr>
          <w:rFonts w:ascii="Times New Roman" w:hAnsi="Times New Roman"/>
          <w:spacing w:val="-2"/>
          <w:sz w:val="24"/>
          <w:szCs w:val="24"/>
          <w:lang w:val="es-ES"/>
        </w:rPr>
        <w:t>Madigan</w:t>
      </w:r>
      <w:proofErr w:type="spellEnd"/>
      <w:r w:rsidRPr="00252A7A">
        <w:rPr>
          <w:rFonts w:ascii="Times New Roman" w:hAnsi="Times New Roman"/>
          <w:spacing w:val="-2"/>
          <w:sz w:val="24"/>
          <w:szCs w:val="24"/>
          <w:lang w:val="es-ES"/>
        </w:rPr>
        <w:t xml:space="preserve">, M., </w:t>
      </w:r>
      <w:proofErr w:type="spellStart"/>
      <w:r w:rsidRPr="00252A7A">
        <w:rPr>
          <w:rFonts w:ascii="Times New Roman" w:hAnsi="Times New Roman"/>
          <w:spacing w:val="-2"/>
          <w:sz w:val="24"/>
          <w:szCs w:val="24"/>
          <w:lang w:val="es-ES"/>
        </w:rPr>
        <w:t>Martinko</w:t>
      </w:r>
      <w:proofErr w:type="spellEnd"/>
      <w:r w:rsidRPr="00252A7A">
        <w:rPr>
          <w:rFonts w:ascii="Times New Roman" w:hAnsi="Times New Roman"/>
          <w:spacing w:val="-2"/>
          <w:sz w:val="24"/>
          <w:szCs w:val="24"/>
          <w:lang w:val="es-ES"/>
        </w:rPr>
        <w:t xml:space="preserve">, J., </w:t>
      </w:r>
      <w:r w:rsidR="008056EE">
        <w:rPr>
          <w:rFonts w:ascii="Times New Roman" w:hAnsi="Times New Roman"/>
          <w:spacing w:val="-2"/>
          <w:sz w:val="24"/>
          <w:szCs w:val="24"/>
          <w:lang w:val="es-ES"/>
        </w:rPr>
        <w:t>y</w:t>
      </w:r>
      <w:r w:rsidRPr="00252A7A">
        <w:rPr>
          <w:rFonts w:ascii="Times New Roman" w:hAnsi="Times New Roman"/>
          <w:spacing w:val="-2"/>
          <w:sz w:val="24"/>
          <w:szCs w:val="24"/>
          <w:lang w:val="es-ES"/>
        </w:rPr>
        <w:t xml:space="preserve"> Parker, J. (ed.). (2003). </w:t>
      </w:r>
      <w:proofErr w:type="spellStart"/>
      <w:r w:rsidRPr="00387231">
        <w:rPr>
          <w:rFonts w:ascii="Times New Roman" w:hAnsi="Times New Roman"/>
          <w:spacing w:val="-2"/>
          <w:sz w:val="24"/>
          <w:szCs w:val="24"/>
        </w:rPr>
        <w:t>Brock</w:t>
      </w:r>
      <w:proofErr w:type="spellEnd"/>
      <w:r w:rsidRPr="000509B8">
        <w:rPr>
          <w:rFonts w:ascii="Times New Roman" w:hAnsi="Times New Roman"/>
          <w:spacing w:val="-2"/>
          <w:sz w:val="24"/>
          <w:szCs w:val="24"/>
        </w:rPr>
        <w:t>,</w:t>
      </w:r>
      <w:r w:rsidRPr="00387231">
        <w:rPr>
          <w:rFonts w:ascii="Times New Roman" w:hAnsi="Times New Roman"/>
          <w:spacing w:val="-2"/>
          <w:sz w:val="24"/>
          <w:szCs w:val="24"/>
        </w:rPr>
        <w:t xml:space="preserve"> Biología de los microorganismos. </w:t>
      </w:r>
      <w:r w:rsidRPr="00252A7A">
        <w:rPr>
          <w:rFonts w:ascii="Times New Roman" w:hAnsi="Times New Roman"/>
          <w:spacing w:val="-2"/>
          <w:sz w:val="24"/>
          <w:szCs w:val="24"/>
          <w:lang w:val="en-US"/>
        </w:rPr>
        <w:t xml:space="preserve">Madrid, </w:t>
      </w:r>
      <w:proofErr w:type="spellStart"/>
      <w:r w:rsidRPr="00252A7A">
        <w:rPr>
          <w:rFonts w:ascii="Times New Roman" w:hAnsi="Times New Roman"/>
          <w:spacing w:val="-2"/>
          <w:sz w:val="24"/>
          <w:szCs w:val="24"/>
          <w:lang w:val="en-US"/>
        </w:rPr>
        <w:t>España</w:t>
      </w:r>
      <w:proofErr w:type="spellEnd"/>
      <w:r w:rsidRPr="00252A7A">
        <w:rPr>
          <w:rFonts w:ascii="Times New Roman" w:hAnsi="Times New Roman"/>
          <w:spacing w:val="-2"/>
          <w:sz w:val="24"/>
          <w:szCs w:val="24"/>
          <w:lang w:val="en-US"/>
        </w:rPr>
        <w:t xml:space="preserve">: Editorial </w:t>
      </w:r>
      <w:r w:rsidRPr="00252A7A">
        <w:rPr>
          <w:rFonts w:ascii="Times New Roman" w:hAnsi="Times New Roman"/>
          <w:sz w:val="24"/>
          <w:szCs w:val="24"/>
          <w:lang w:val="en-US"/>
        </w:rPr>
        <w:t>Prentice Hall-Pearson Education Inc</w:t>
      </w:r>
      <w:r w:rsidRPr="00252A7A">
        <w:rPr>
          <w:rFonts w:ascii="Times New Roman" w:hAnsi="Times New Roman"/>
          <w:spacing w:val="-2"/>
          <w:sz w:val="24"/>
          <w:szCs w:val="24"/>
          <w:lang w:val="en-US"/>
        </w:rPr>
        <w:t>.</w:t>
      </w:r>
    </w:p>
    <w:p w:rsidR="00845447" w:rsidRPr="00252A7A" w:rsidRDefault="00845447" w:rsidP="006104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845447" w:rsidRPr="000509B8" w:rsidRDefault="00845447" w:rsidP="0061046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Mayak</w:t>
      </w:r>
      <w:proofErr w:type="spellEnd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, S., </w:t>
      </w:r>
      <w:proofErr w:type="spellStart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Tirosh</w:t>
      </w:r>
      <w:proofErr w:type="spellEnd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, T., </w:t>
      </w:r>
      <w:proofErr w:type="gramStart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y  Glick</w:t>
      </w:r>
      <w:proofErr w:type="gramEnd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 B. (2004). Plant growth-promoting bacteria confer resistance in tomato plants to salt stress.</w:t>
      </w:r>
      <w:r w:rsidRPr="00252A7A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252A7A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Plant Physiology and Biochemistry</w:t>
      </w:r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Pr="00252A7A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575956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  <w:lang w:val="en-US"/>
        </w:rPr>
        <w:t>42</w:t>
      </w:r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(6), 565-572.</w:t>
      </w:r>
    </w:p>
    <w:p w:rsidR="00845447" w:rsidRPr="00252A7A" w:rsidRDefault="00845447" w:rsidP="00610464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45447" w:rsidRPr="00387231" w:rsidRDefault="00845447" w:rsidP="006104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36FDA">
        <w:rPr>
          <w:rFonts w:ascii="Times New Roman" w:hAnsi="Times New Roman"/>
          <w:bCs/>
          <w:sz w:val="24"/>
          <w:szCs w:val="24"/>
          <w:lang w:val="en-US"/>
        </w:rPr>
        <w:t xml:space="preserve">Moreno, B; </w:t>
      </w:r>
      <w:proofErr w:type="spellStart"/>
      <w:r w:rsidRPr="00436FDA">
        <w:rPr>
          <w:rFonts w:ascii="Times New Roman" w:hAnsi="Times New Roman"/>
          <w:bCs/>
          <w:sz w:val="24"/>
          <w:szCs w:val="24"/>
          <w:lang w:val="en-US"/>
        </w:rPr>
        <w:t>Diez</w:t>
      </w:r>
      <w:proofErr w:type="spellEnd"/>
      <w:r w:rsidRPr="00436FDA">
        <w:rPr>
          <w:rFonts w:ascii="Times New Roman" w:hAnsi="Times New Roman"/>
          <w:bCs/>
          <w:sz w:val="24"/>
          <w:szCs w:val="24"/>
          <w:lang w:val="en-US"/>
        </w:rPr>
        <w:t xml:space="preserve">, V; García, M; Menes, L; Gutiérrez, M; </w:t>
      </w:r>
      <w:proofErr w:type="spellStart"/>
      <w:r w:rsidRPr="00436FDA">
        <w:rPr>
          <w:rFonts w:ascii="Times New Roman" w:hAnsi="Times New Roman"/>
          <w:bCs/>
          <w:sz w:val="24"/>
          <w:szCs w:val="24"/>
          <w:lang w:val="en-US"/>
        </w:rPr>
        <w:t>Polledo</w:t>
      </w:r>
      <w:proofErr w:type="spellEnd"/>
      <w:r w:rsidRPr="00436FDA">
        <w:rPr>
          <w:rFonts w:ascii="Times New Roman" w:hAnsi="Times New Roman"/>
          <w:bCs/>
          <w:sz w:val="24"/>
          <w:szCs w:val="24"/>
          <w:lang w:val="en-US"/>
        </w:rPr>
        <w:t xml:space="preserve">, F. </w:t>
      </w:r>
      <w:r w:rsidR="00610464" w:rsidRPr="00436FDA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436FDA">
        <w:rPr>
          <w:rFonts w:ascii="Times New Roman" w:hAnsi="Times New Roman"/>
          <w:bCs/>
          <w:sz w:val="24"/>
          <w:szCs w:val="24"/>
          <w:lang w:val="en-US"/>
        </w:rPr>
        <w:t>2000</w:t>
      </w:r>
      <w:r w:rsidR="00610464" w:rsidRPr="00436FDA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436FDA"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  <w:r w:rsidRPr="00436FD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387231">
        <w:rPr>
          <w:rFonts w:ascii="Times New Roman" w:hAnsi="Times New Roman"/>
          <w:bCs/>
          <w:sz w:val="24"/>
          <w:szCs w:val="24"/>
        </w:rPr>
        <w:t xml:space="preserve">Comisión internacional de especificaciones microbiológicas alimentarias. </w:t>
      </w:r>
      <w:r w:rsidRPr="000509B8">
        <w:rPr>
          <w:rFonts w:ascii="Times New Roman" w:hAnsi="Times New Roman"/>
          <w:bCs/>
          <w:sz w:val="24"/>
          <w:szCs w:val="24"/>
        </w:rPr>
        <w:t>Zaragoza, España:</w:t>
      </w:r>
      <w:r w:rsidRPr="00387231">
        <w:rPr>
          <w:rFonts w:ascii="Times New Roman" w:hAnsi="Times New Roman"/>
          <w:bCs/>
          <w:sz w:val="24"/>
          <w:szCs w:val="24"/>
        </w:rPr>
        <w:t xml:space="preserve"> Ed</w:t>
      </w:r>
      <w:r w:rsidRPr="000509B8">
        <w:rPr>
          <w:rFonts w:ascii="Times New Roman" w:hAnsi="Times New Roman"/>
          <w:bCs/>
          <w:sz w:val="24"/>
          <w:szCs w:val="24"/>
        </w:rPr>
        <w:t>itorial</w:t>
      </w:r>
      <w:r w:rsidRPr="0038723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87231">
        <w:rPr>
          <w:rFonts w:ascii="Times New Roman" w:hAnsi="Times New Roman"/>
          <w:bCs/>
          <w:sz w:val="24"/>
          <w:szCs w:val="24"/>
        </w:rPr>
        <w:t>Acribia</w:t>
      </w:r>
      <w:proofErr w:type="spellEnd"/>
      <w:r w:rsidRPr="00387231">
        <w:rPr>
          <w:rFonts w:ascii="Times New Roman" w:hAnsi="Times New Roman"/>
          <w:bCs/>
          <w:sz w:val="24"/>
          <w:szCs w:val="24"/>
        </w:rPr>
        <w:t>.</w:t>
      </w:r>
    </w:p>
    <w:p w:rsidR="00845447" w:rsidRPr="000509B8" w:rsidRDefault="00845447" w:rsidP="0061046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45447" w:rsidRPr="00252A7A" w:rsidRDefault="00845447" w:rsidP="006104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387231">
        <w:rPr>
          <w:rFonts w:ascii="Times New Roman" w:hAnsi="Times New Roman"/>
          <w:sz w:val="24"/>
          <w:szCs w:val="24"/>
          <w:lang w:val="en-US"/>
        </w:rPr>
        <w:t>Nautiyal</w:t>
      </w:r>
      <w:proofErr w:type="spellEnd"/>
      <w:r w:rsidRPr="00387231">
        <w:rPr>
          <w:rFonts w:ascii="Times New Roman" w:hAnsi="Times New Roman"/>
          <w:sz w:val="24"/>
          <w:szCs w:val="24"/>
          <w:lang w:val="en-US"/>
        </w:rPr>
        <w:t xml:space="preserve">, C. </w:t>
      </w:r>
      <w:r w:rsidRPr="000509B8">
        <w:rPr>
          <w:rFonts w:ascii="Times New Roman" w:hAnsi="Times New Roman"/>
          <w:sz w:val="24"/>
          <w:szCs w:val="24"/>
          <w:lang w:val="en-US"/>
        </w:rPr>
        <w:t>(</w:t>
      </w:r>
      <w:r w:rsidRPr="00387231">
        <w:rPr>
          <w:rFonts w:ascii="Times New Roman" w:hAnsi="Times New Roman"/>
          <w:sz w:val="24"/>
          <w:szCs w:val="24"/>
          <w:lang w:val="en-US"/>
        </w:rPr>
        <w:t>1999</w:t>
      </w:r>
      <w:r w:rsidRPr="000509B8">
        <w:rPr>
          <w:rFonts w:ascii="Times New Roman" w:hAnsi="Times New Roman"/>
          <w:sz w:val="24"/>
          <w:szCs w:val="24"/>
          <w:lang w:val="en-US"/>
        </w:rPr>
        <w:t>)</w:t>
      </w:r>
      <w:r w:rsidRPr="00387231">
        <w:rPr>
          <w:rFonts w:ascii="Times New Roman" w:hAnsi="Times New Roman"/>
          <w:sz w:val="24"/>
          <w:szCs w:val="24"/>
          <w:lang w:val="en-US"/>
        </w:rPr>
        <w:t>.</w:t>
      </w:r>
      <w:r w:rsidRPr="000509B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An efficient microbiological growth medium for screening phosphate </w:t>
      </w:r>
      <w:proofErr w:type="spellStart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solubilizing</w:t>
      </w:r>
      <w:proofErr w:type="spellEnd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microorganisms.</w:t>
      </w:r>
      <w:proofErr w:type="gramEnd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610464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FEMS </w:t>
      </w:r>
      <w:proofErr w:type="spellStart"/>
      <w:r w:rsidR="00610464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microbiology</w:t>
      </w:r>
      <w:proofErr w:type="spellEnd"/>
      <w:r w:rsidR="00610464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10464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Letters</w:t>
      </w:r>
      <w:proofErr w:type="spellEnd"/>
      <w:r w:rsidRPr="00387231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, </w:t>
      </w:r>
      <w:r w:rsidRPr="0057595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170 </w:t>
      </w: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(1), 265-270.</w:t>
      </w:r>
      <w:r w:rsidRPr="00252A7A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845447" w:rsidRPr="00387231" w:rsidRDefault="00845447" w:rsidP="0061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447" w:rsidRPr="00387231" w:rsidRDefault="00845447" w:rsidP="0061046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8723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Navarro, S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 xml:space="preserve">., </w:t>
      </w:r>
      <w:r w:rsidR="00610464">
        <w:rPr>
          <w:rFonts w:ascii="Times New Roman" w:hAnsi="Times New Roman"/>
          <w:sz w:val="24"/>
          <w:szCs w:val="24"/>
          <w:shd w:val="clear" w:color="auto" w:fill="FFFFFF"/>
        </w:rPr>
        <w:t>y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 Navarro, G. 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>2003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>.Química Agrícola. Madrid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 xml:space="preserve"> España: 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 xml:space="preserve">Editorial </w:t>
      </w:r>
      <w:proofErr w:type="spellStart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>Mundi</w:t>
      </w:r>
      <w:proofErr w:type="spellEnd"/>
      <w:r w:rsidRPr="00387231">
        <w:rPr>
          <w:rFonts w:ascii="Times New Roman" w:hAnsi="Times New Roman"/>
          <w:sz w:val="24"/>
          <w:szCs w:val="24"/>
          <w:shd w:val="clear" w:color="auto" w:fill="FFFFFF"/>
        </w:rPr>
        <w:t>-prensa</w:t>
      </w:r>
      <w:r w:rsidRPr="000509B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387231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845447" w:rsidRPr="00387231" w:rsidRDefault="00845447" w:rsidP="0061046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509B8">
        <w:rPr>
          <w:rFonts w:ascii="Times New Roman" w:hAnsi="Times New Roman"/>
          <w:sz w:val="24"/>
          <w:szCs w:val="24"/>
        </w:rPr>
        <w:t>Pastor, K</w:t>
      </w:r>
      <w:r w:rsidRPr="003112F3">
        <w:rPr>
          <w:rFonts w:ascii="Times New Roman" w:hAnsi="Times New Roman"/>
          <w:sz w:val="24"/>
          <w:szCs w:val="24"/>
        </w:rPr>
        <w:t>.,</w:t>
      </w:r>
      <w:r w:rsidRPr="00CB20AE">
        <w:rPr>
          <w:rFonts w:ascii="Times New Roman" w:hAnsi="Times New Roman"/>
          <w:sz w:val="24"/>
          <w:szCs w:val="24"/>
        </w:rPr>
        <w:t xml:space="preserve"> </w:t>
      </w:r>
      <w:r w:rsidR="00610464">
        <w:rPr>
          <w:rFonts w:ascii="Times New Roman" w:hAnsi="Times New Roman"/>
          <w:sz w:val="24"/>
          <w:szCs w:val="24"/>
        </w:rPr>
        <w:t>y</w:t>
      </w:r>
      <w:r w:rsidRPr="00387231">
        <w:rPr>
          <w:rFonts w:ascii="Times New Roman" w:hAnsi="Times New Roman"/>
          <w:sz w:val="24"/>
          <w:szCs w:val="24"/>
        </w:rPr>
        <w:t xml:space="preserve"> Lara, C. (2013). Evaluación de biopreparados a base de una cepa nativa del género </w:t>
      </w:r>
      <w:proofErr w:type="spellStart"/>
      <w:r w:rsidRPr="00387231">
        <w:rPr>
          <w:rFonts w:ascii="Times New Roman" w:hAnsi="Times New Roman"/>
          <w:i/>
          <w:sz w:val="24"/>
          <w:szCs w:val="24"/>
        </w:rPr>
        <w:t>azotobacter</w:t>
      </w:r>
      <w:proofErr w:type="spellEnd"/>
      <w:r w:rsidRPr="0038723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87231">
        <w:rPr>
          <w:rFonts w:ascii="Times New Roman" w:hAnsi="Times New Roman"/>
          <w:sz w:val="24"/>
          <w:szCs w:val="24"/>
        </w:rPr>
        <w:t>sp</w:t>
      </w:r>
      <w:proofErr w:type="spellEnd"/>
      <w:r w:rsidRPr="00387231">
        <w:rPr>
          <w:rFonts w:ascii="Times New Roman" w:hAnsi="Times New Roman"/>
          <w:sz w:val="24"/>
          <w:szCs w:val="24"/>
        </w:rPr>
        <w:t xml:space="preserve">, a diferentes concentraciones, sobre las variables biométricas en pasto </w:t>
      </w:r>
      <w:proofErr w:type="spellStart"/>
      <w:r w:rsidRPr="00387231">
        <w:rPr>
          <w:rFonts w:ascii="Times New Roman" w:hAnsi="Times New Roman"/>
          <w:sz w:val="24"/>
          <w:szCs w:val="24"/>
        </w:rPr>
        <w:t>angletón</w:t>
      </w:r>
      <w:proofErr w:type="spellEnd"/>
      <w:r w:rsidRPr="0038723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87231">
        <w:rPr>
          <w:rFonts w:ascii="Times New Roman" w:hAnsi="Times New Roman"/>
          <w:i/>
          <w:sz w:val="24"/>
          <w:szCs w:val="24"/>
        </w:rPr>
        <w:t>dichantiun</w:t>
      </w:r>
      <w:proofErr w:type="spellEnd"/>
      <w:r w:rsidRPr="0038723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87231">
        <w:rPr>
          <w:rFonts w:ascii="Times New Roman" w:hAnsi="Times New Roman"/>
          <w:i/>
          <w:sz w:val="24"/>
          <w:szCs w:val="24"/>
        </w:rPr>
        <w:t>aristatum</w:t>
      </w:r>
      <w:proofErr w:type="spellEnd"/>
      <w:r w:rsidRPr="0038723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87231">
        <w:rPr>
          <w:rFonts w:ascii="Times New Roman" w:hAnsi="Times New Roman"/>
          <w:sz w:val="24"/>
          <w:szCs w:val="24"/>
        </w:rPr>
        <w:t>benth</w:t>
      </w:r>
      <w:proofErr w:type="spellEnd"/>
      <w:r w:rsidRPr="00387231">
        <w:rPr>
          <w:rFonts w:ascii="Times New Roman" w:hAnsi="Times New Roman"/>
          <w:i/>
          <w:sz w:val="24"/>
          <w:szCs w:val="24"/>
        </w:rPr>
        <w:t xml:space="preserve">) </w:t>
      </w:r>
      <w:r w:rsidRPr="00387231">
        <w:rPr>
          <w:rFonts w:ascii="Times New Roman" w:hAnsi="Times New Roman"/>
          <w:sz w:val="24"/>
          <w:szCs w:val="24"/>
        </w:rPr>
        <w:t xml:space="preserve">(Tesis de grado de Maestría en Biotecnología). Universidad de Córdoba, Montería, Colombia. </w:t>
      </w:r>
    </w:p>
    <w:p w:rsidR="00845447" w:rsidRPr="00387231" w:rsidRDefault="00845447" w:rsidP="00610464">
      <w:pPr>
        <w:tabs>
          <w:tab w:val="left" w:pos="142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87231">
        <w:rPr>
          <w:rFonts w:ascii="Times New Roman" w:hAnsi="Times New Roman"/>
          <w:sz w:val="24"/>
          <w:szCs w:val="24"/>
        </w:rPr>
        <w:t>Osorio, A</w:t>
      </w:r>
      <w:r w:rsidRPr="000509B8">
        <w:rPr>
          <w:rFonts w:ascii="Times New Roman" w:hAnsi="Times New Roman"/>
          <w:sz w:val="24"/>
          <w:szCs w:val="24"/>
        </w:rPr>
        <w:t>.,</w:t>
      </w:r>
      <w:r w:rsidRPr="00387231">
        <w:rPr>
          <w:rFonts w:ascii="Times New Roman" w:hAnsi="Times New Roman"/>
          <w:sz w:val="24"/>
          <w:szCs w:val="24"/>
        </w:rPr>
        <w:t xml:space="preserve"> </w:t>
      </w:r>
      <w:r w:rsidR="00610464">
        <w:rPr>
          <w:rFonts w:ascii="Times New Roman" w:hAnsi="Times New Roman"/>
          <w:sz w:val="24"/>
          <w:szCs w:val="24"/>
        </w:rPr>
        <w:t>y</w:t>
      </w:r>
      <w:r w:rsidRPr="00387231">
        <w:rPr>
          <w:rFonts w:ascii="Times New Roman" w:hAnsi="Times New Roman"/>
          <w:sz w:val="24"/>
          <w:szCs w:val="24"/>
        </w:rPr>
        <w:t xml:space="preserve"> Lara, C. </w:t>
      </w:r>
      <w:r w:rsidRPr="000509B8">
        <w:rPr>
          <w:rFonts w:ascii="Times New Roman" w:hAnsi="Times New Roman"/>
          <w:sz w:val="24"/>
          <w:szCs w:val="24"/>
        </w:rPr>
        <w:t>(</w:t>
      </w:r>
      <w:r w:rsidRPr="00387231">
        <w:rPr>
          <w:rFonts w:ascii="Times New Roman" w:hAnsi="Times New Roman"/>
          <w:sz w:val="24"/>
          <w:szCs w:val="24"/>
        </w:rPr>
        <w:t>2013</w:t>
      </w:r>
      <w:r w:rsidRPr="000509B8">
        <w:rPr>
          <w:rFonts w:ascii="Times New Roman" w:hAnsi="Times New Roman"/>
          <w:sz w:val="24"/>
          <w:szCs w:val="24"/>
        </w:rPr>
        <w:t>)</w:t>
      </w:r>
      <w:r w:rsidRPr="00387231">
        <w:rPr>
          <w:rFonts w:ascii="Times New Roman" w:hAnsi="Times New Roman"/>
          <w:sz w:val="24"/>
          <w:szCs w:val="24"/>
        </w:rPr>
        <w:t xml:space="preserve">. Evaluación del potencial  </w:t>
      </w:r>
      <w:proofErr w:type="spellStart"/>
      <w:r w:rsidRPr="00387231">
        <w:rPr>
          <w:rFonts w:ascii="Times New Roman" w:hAnsi="Times New Roman"/>
          <w:sz w:val="24"/>
          <w:szCs w:val="24"/>
        </w:rPr>
        <w:t>biofertilizante</w:t>
      </w:r>
      <w:proofErr w:type="spellEnd"/>
      <w:r w:rsidRPr="00387231">
        <w:rPr>
          <w:rFonts w:ascii="Times New Roman" w:hAnsi="Times New Roman"/>
          <w:sz w:val="24"/>
          <w:szCs w:val="24"/>
        </w:rPr>
        <w:t xml:space="preserve"> de tres cepas de los géneros </w:t>
      </w:r>
      <w:proofErr w:type="spellStart"/>
      <w:r w:rsidRPr="00387231">
        <w:rPr>
          <w:rFonts w:ascii="Times New Roman" w:hAnsi="Times New Roman"/>
          <w:i/>
          <w:sz w:val="24"/>
          <w:szCs w:val="24"/>
        </w:rPr>
        <w:t>panthoea</w:t>
      </w:r>
      <w:proofErr w:type="spellEnd"/>
      <w:r w:rsidRPr="00387231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387231">
        <w:rPr>
          <w:rFonts w:ascii="Times New Roman" w:hAnsi="Times New Roman"/>
          <w:i/>
          <w:sz w:val="24"/>
          <w:szCs w:val="24"/>
        </w:rPr>
        <w:t>azotobacte</w:t>
      </w:r>
      <w:r w:rsidRPr="00387231">
        <w:rPr>
          <w:rFonts w:ascii="Times New Roman" w:hAnsi="Times New Roman"/>
          <w:sz w:val="24"/>
          <w:szCs w:val="24"/>
        </w:rPr>
        <w:t>r</w:t>
      </w:r>
      <w:proofErr w:type="spellEnd"/>
      <w:r w:rsidRPr="00387231">
        <w:rPr>
          <w:rFonts w:ascii="Times New Roman" w:hAnsi="Times New Roman"/>
          <w:sz w:val="24"/>
          <w:szCs w:val="24"/>
        </w:rPr>
        <w:t>, aisladas de los suelos de córdoba, sobre  el crecimiento de  plántulas de rábano (</w:t>
      </w:r>
      <w:proofErr w:type="spellStart"/>
      <w:r w:rsidRPr="00387231">
        <w:rPr>
          <w:rFonts w:ascii="Times New Roman" w:hAnsi="Times New Roman"/>
          <w:i/>
          <w:iCs/>
          <w:sz w:val="24"/>
          <w:szCs w:val="24"/>
        </w:rPr>
        <w:t>raphanus</w:t>
      </w:r>
      <w:proofErr w:type="spellEnd"/>
      <w:r w:rsidRPr="003872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87231">
        <w:rPr>
          <w:rFonts w:ascii="Times New Roman" w:hAnsi="Times New Roman"/>
          <w:i/>
          <w:iCs/>
          <w:sz w:val="24"/>
          <w:szCs w:val="24"/>
        </w:rPr>
        <w:t>sativus</w:t>
      </w:r>
      <w:proofErr w:type="spellEnd"/>
      <w:r w:rsidR="006104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87231">
        <w:rPr>
          <w:rFonts w:ascii="Times New Roman" w:hAnsi="Times New Roman"/>
          <w:iCs/>
          <w:sz w:val="24"/>
          <w:szCs w:val="24"/>
        </w:rPr>
        <w:t>l.)</w:t>
      </w:r>
      <w:r w:rsidRPr="00387231">
        <w:rPr>
          <w:rFonts w:ascii="Times New Roman" w:hAnsi="Times New Roman"/>
          <w:i/>
          <w:sz w:val="24"/>
          <w:szCs w:val="24"/>
        </w:rPr>
        <w:t xml:space="preserve"> </w:t>
      </w:r>
      <w:r w:rsidRPr="000509B8">
        <w:rPr>
          <w:rFonts w:ascii="Times New Roman" w:hAnsi="Times New Roman"/>
          <w:sz w:val="24"/>
          <w:szCs w:val="24"/>
        </w:rPr>
        <w:t>(Tesis de grado</w:t>
      </w:r>
      <w:r w:rsidRPr="003112F3">
        <w:rPr>
          <w:rFonts w:ascii="Times New Roman" w:hAnsi="Times New Roman"/>
          <w:sz w:val="24"/>
          <w:szCs w:val="24"/>
        </w:rPr>
        <w:t xml:space="preserve"> </w:t>
      </w:r>
      <w:r w:rsidRPr="00CB20AE">
        <w:rPr>
          <w:rFonts w:ascii="Times New Roman" w:hAnsi="Times New Roman"/>
          <w:sz w:val="24"/>
          <w:szCs w:val="24"/>
        </w:rPr>
        <w:t>de</w:t>
      </w:r>
      <w:r w:rsidRPr="00387231">
        <w:rPr>
          <w:rFonts w:ascii="Times New Roman" w:hAnsi="Times New Roman"/>
          <w:sz w:val="24"/>
          <w:szCs w:val="24"/>
        </w:rPr>
        <w:t xml:space="preserve"> Maestría en Biotecnología). Universidad de Córdoba, Montería, Colombia. </w:t>
      </w:r>
    </w:p>
    <w:p w:rsidR="00845447" w:rsidRDefault="00845447" w:rsidP="00610464">
      <w:pPr>
        <w:pStyle w:val="Default"/>
        <w:ind w:left="426"/>
        <w:jc w:val="both"/>
        <w:rPr>
          <w:color w:val="222222"/>
          <w:shd w:val="clear" w:color="auto" w:fill="FFFFFF"/>
        </w:rPr>
      </w:pPr>
      <w:proofErr w:type="spellStart"/>
      <w:r w:rsidRPr="00252A7A">
        <w:rPr>
          <w:color w:val="auto"/>
          <w:lang w:val="es-ES"/>
        </w:rPr>
        <w:t>Rajkumar</w:t>
      </w:r>
      <w:proofErr w:type="spellEnd"/>
      <w:r w:rsidRPr="00252A7A">
        <w:rPr>
          <w:color w:val="auto"/>
          <w:lang w:val="es-ES"/>
        </w:rPr>
        <w:t xml:space="preserve">, M., </w:t>
      </w:r>
      <w:proofErr w:type="spellStart"/>
      <w:r w:rsidRPr="00252A7A">
        <w:rPr>
          <w:color w:val="auto"/>
          <w:lang w:val="es-ES"/>
        </w:rPr>
        <w:t>Nagendran</w:t>
      </w:r>
      <w:proofErr w:type="spellEnd"/>
      <w:r w:rsidRPr="00252A7A">
        <w:rPr>
          <w:color w:val="auto"/>
          <w:lang w:val="es-ES"/>
        </w:rPr>
        <w:t xml:space="preserve">, R., </w:t>
      </w:r>
      <w:proofErr w:type="spellStart"/>
      <w:r w:rsidRPr="00252A7A">
        <w:rPr>
          <w:color w:val="auto"/>
          <w:lang w:val="es-ES"/>
        </w:rPr>
        <w:t>Jae</w:t>
      </w:r>
      <w:proofErr w:type="spellEnd"/>
      <w:r w:rsidRPr="00252A7A">
        <w:rPr>
          <w:color w:val="auto"/>
          <w:lang w:val="es-ES"/>
        </w:rPr>
        <w:t xml:space="preserve">, K., </w:t>
      </w:r>
      <w:proofErr w:type="spellStart"/>
      <w:r w:rsidRPr="00252A7A">
        <w:rPr>
          <w:color w:val="auto"/>
          <w:lang w:val="es-ES"/>
        </w:rPr>
        <w:t>Hyu</w:t>
      </w:r>
      <w:proofErr w:type="spellEnd"/>
      <w:r w:rsidRPr="00252A7A">
        <w:rPr>
          <w:color w:val="auto"/>
          <w:lang w:val="es-ES"/>
        </w:rPr>
        <w:t xml:space="preserve">, W., y Zoo, S. (2006). </w:t>
      </w:r>
      <w:r w:rsidRPr="00252A7A">
        <w:rPr>
          <w:color w:val="222222"/>
          <w:shd w:val="clear" w:color="auto" w:fill="FFFFFF"/>
          <w:lang w:val="en-US"/>
        </w:rPr>
        <w:t xml:space="preserve">Influence of plant growth promoting bacteria and Cr 6+ on the growth of Indian mustard. </w:t>
      </w:r>
      <w:proofErr w:type="spellStart"/>
      <w:r w:rsidRPr="00387231">
        <w:rPr>
          <w:i/>
          <w:color w:val="222222"/>
          <w:shd w:val="clear" w:color="auto" w:fill="FFFFFF"/>
        </w:rPr>
        <w:t>Chemosphere</w:t>
      </w:r>
      <w:proofErr w:type="spellEnd"/>
      <w:r w:rsidRPr="00387231">
        <w:rPr>
          <w:i/>
          <w:color w:val="222222"/>
          <w:shd w:val="clear" w:color="auto" w:fill="FFFFFF"/>
        </w:rPr>
        <w:t xml:space="preserve">, </w:t>
      </w:r>
      <w:r w:rsidRPr="00575956">
        <w:rPr>
          <w:color w:val="222222"/>
          <w:shd w:val="clear" w:color="auto" w:fill="FFFFFF"/>
        </w:rPr>
        <w:t xml:space="preserve">62 </w:t>
      </w:r>
      <w:r w:rsidRPr="00387231">
        <w:rPr>
          <w:color w:val="222222"/>
          <w:shd w:val="clear" w:color="auto" w:fill="FFFFFF"/>
        </w:rPr>
        <w:t>(5), 741-748.</w:t>
      </w:r>
    </w:p>
    <w:p w:rsidR="00845447" w:rsidRPr="000509B8" w:rsidRDefault="00845447" w:rsidP="00610464">
      <w:pPr>
        <w:pStyle w:val="Default"/>
        <w:ind w:left="426"/>
        <w:jc w:val="both"/>
        <w:rPr>
          <w:color w:val="auto"/>
        </w:rPr>
      </w:pPr>
    </w:p>
    <w:p w:rsidR="00845447" w:rsidRPr="00387231" w:rsidRDefault="00845447" w:rsidP="00610464">
      <w:pPr>
        <w:pStyle w:val="Ttulo2"/>
        <w:shd w:val="clear" w:color="auto" w:fill="FFFFFF"/>
        <w:spacing w:before="0" w:beforeAutospacing="0" w:after="0" w:afterAutospacing="0"/>
        <w:ind w:left="426"/>
        <w:rPr>
          <w:sz w:val="24"/>
          <w:szCs w:val="24"/>
        </w:rPr>
      </w:pPr>
      <w:r w:rsidRPr="00387231">
        <w:rPr>
          <w:b w:val="0"/>
          <w:sz w:val="24"/>
          <w:szCs w:val="24"/>
        </w:rPr>
        <w:t xml:space="preserve">Ramirez, R., y Perez, A. (2006). Evaluación del potencial de los </w:t>
      </w:r>
      <w:proofErr w:type="spellStart"/>
      <w:r w:rsidRPr="00387231">
        <w:rPr>
          <w:b w:val="0"/>
          <w:sz w:val="24"/>
          <w:szCs w:val="24"/>
        </w:rPr>
        <w:t>biosólidos</w:t>
      </w:r>
      <w:proofErr w:type="spellEnd"/>
      <w:r w:rsidRPr="00387231">
        <w:rPr>
          <w:b w:val="0"/>
          <w:sz w:val="24"/>
          <w:szCs w:val="24"/>
        </w:rPr>
        <w:t xml:space="preserve"> procedentes del tratamiento de aguas residuales para uso </w:t>
      </w:r>
      <w:proofErr w:type="spellStart"/>
      <w:r w:rsidRPr="00387231">
        <w:rPr>
          <w:b w:val="0"/>
          <w:sz w:val="24"/>
          <w:szCs w:val="24"/>
        </w:rPr>
        <w:t>agricola</w:t>
      </w:r>
      <w:proofErr w:type="spellEnd"/>
      <w:r w:rsidRPr="00387231">
        <w:rPr>
          <w:b w:val="0"/>
          <w:sz w:val="24"/>
          <w:szCs w:val="24"/>
        </w:rPr>
        <w:t xml:space="preserve"> y su efecto sobre el cultivo de rábano rojo (</w:t>
      </w:r>
      <w:proofErr w:type="spellStart"/>
      <w:r w:rsidRPr="00387231">
        <w:rPr>
          <w:b w:val="0"/>
          <w:i/>
          <w:sz w:val="24"/>
          <w:szCs w:val="24"/>
        </w:rPr>
        <w:t>Rahanus</w:t>
      </w:r>
      <w:proofErr w:type="spellEnd"/>
      <w:r w:rsidRPr="00387231">
        <w:rPr>
          <w:b w:val="0"/>
          <w:i/>
          <w:sz w:val="24"/>
          <w:szCs w:val="24"/>
        </w:rPr>
        <w:t xml:space="preserve"> sativas </w:t>
      </w:r>
      <w:r w:rsidRPr="00387231">
        <w:rPr>
          <w:b w:val="0"/>
          <w:sz w:val="24"/>
          <w:szCs w:val="24"/>
        </w:rPr>
        <w:t xml:space="preserve">L). </w:t>
      </w:r>
      <w:r w:rsidRPr="00387231">
        <w:rPr>
          <w:b w:val="0"/>
          <w:bCs w:val="0"/>
          <w:i/>
          <w:sz w:val="24"/>
          <w:szCs w:val="24"/>
        </w:rPr>
        <w:t>Revista Facultad Nacional de Agronomía, Medellín</w:t>
      </w:r>
      <w:r w:rsidRPr="00387231">
        <w:rPr>
          <w:b w:val="0"/>
          <w:bCs w:val="0"/>
          <w:sz w:val="24"/>
          <w:szCs w:val="24"/>
        </w:rPr>
        <w:t>,</w:t>
      </w:r>
      <w:r w:rsidRPr="00387231">
        <w:rPr>
          <w:b w:val="0"/>
          <w:bCs w:val="0"/>
          <w:i/>
          <w:sz w:val="24"/>
          <w:szCs w:val="24"/>
        </w:rPr>
        <w:t xml:space="preserve"> </w:t>
      </w:r>
      <w:r w:rsidRPr="00575956">
        <w:rPr>
          <w:b w:val="0"/>
          <w:sz w:val="24"/>
          <w:szCs w:val="24"/>
        </w:rPr>
        <w:t>59 (</w:t>
      </w:r>
      <w:r w:rsidRPr="00387231">
        <w:rPr>
          <w:b w:val="0"/>
          <w:sz w:val="24"/>
          <w:szCs w:val="24"/>
        </w:rPr>
        <w:t>2):3543-3556.</w:t>
      </w:r>
    </w:p>
    <w:p w:rsidR="00845447" w:rsidRPr="000509B8" w:rsidRDefault="00845447" w:rsidP="00610464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45447" w:rsidRPr="000509B8" w:rsidRDefault="00845447" w:rsidP="006104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87231">
        <w:rPr>
          <w:rFonts w:ascii="Times New Roman" w:hAnsi="Times New Roman"/>
          <w:sz w:val="24"/>
          <w:szCs w:val="24"/>
        </w:rPr>
        <w:t xml:space="preserve">Santillana, </w:t>
      </w:r>
      <w:r w:rsidRPr="000509B8">
        <w:rPr>
          <w:rFonts w:ascii="Times New Roman" w:hAnsi="Times New Roman"/>
          <w:sz w:val="24"/>
          <w:szCs w:val="24"/>
        </w:rPr>
        <w:t>N</w:t>
      </w:r>
      <w:r w:rsidRPr="00387231">
        <w:rPr>
          <w:rFonts w:ascii="Times New Roman" w:hAnsi="Times New Roman"/>
          <w:sz w:val="24"/>
          <w:szCs w:val="24"/>
        </w:rPr>
        <w:t xml:space="preserve">. </w:t>
      </w:r>
      <w:r w:rsidRPr="000509B8">
        <w:rPr>
          <w:rFonts w:ascii="Times New Roman" w:hAnsi="Times New Roman"/>
          <w:sz w:val="24"/>
          <w:szCs w:val="24"/>
        </w:rPr>
        <w:t>(</w:t>
      </w:r>
      <w:r w:rsidRPr="00387231">
        <w:rPr>
          <w:rFonts w:ascii="Times New Roman" w:hAnsi="Times New Roman"/>
          <w:sz w:val="24"/>
          <w:szCs w:val="24"/>
        </w:rPr>
        <w:t>2006</w:t>
      </w:r>
      <w:r w:rsidRPr="000509B8">
        <w:rPr>
          <w:rFonts w:ascii="Times New Roman" w:hAnsi="Times New Roman"/>
          <w:sz w:val="24"/>
          <w:szCs w:val="24"/>
        </w:rPr>
        <w:t>)</w:t>
      </w:r>
      <w:r w:rsidRPr="00387231">
        <w:rPr>
          <w:rFonts w:ascii="Times New Roman" w:hAnsi="Times New Roman"/>
          <w:sz w:val="24"/>
          <w:szCs w:val="24"/>
        </w:rPr>
        <w:t xml:space="preserve">. Producción de </w:t>
      </w:r>
      <w:proofErr w:type="spellStart"/>
      <w:r w:rsidRPr="00387231">
        <w:rPr>
          <w:rFonts w:ascii="Times New Roman" w:hAnsi="Times New Roman"/>
          <w:sz w:val="24"/>
          <w:szCs w:val="24"/>
        </w:rPr>
        <w:t>biofertilizantes</w:t>
      </w:r>
      <w:proofErr w:type="spellEnd"/>
      <w:r w:rsidRPr="00387231">
        <w:rPr>
          <w:rFonts w:ascii="Times New Roman" w:hAnsi="Times New Roman"/>
          <w:sz w:val="24"/>
          <w:szCs w:val="24"/>
        </w:rPr>
        <w:t xml:space="preserve"> utilizando </w:t>
      </w:r>
      <w:proofErr w:type="spellStart"/>
      <w:r w:rsidRPr="00387231">
        <w:rPr>
          <w:rFonts w:ascii="Times New Roman" w:hAnsi="Times New Roman"/>
          <w:i/>
          <w:iCs/>
          <w:sz w:val="24"/>
          <w:szCs w:val="24"/>
        </w:rPr>
        <w:t>Pseudomonas</w:t>
      </w:r>
      <w:proofErr w:type="spellEnd"/>
      <w:r w:rsidRPr="0038723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87231">
        <w:rPr>
          <w:rFonts w:ascii="Times New Roman" w:hAnsi="Times New Roman"/>
          <w:sz w:val="24"/>
          <w:szCs w:val="24"/>
        </w:rPr>
        <w:t>sp.</w:t>
      </w:r>
      <w:proofErr w:type="spellEnd"/>
      <w:r w:rsidRPr="00387231">
        <w:rPr>
          <w:rFonts w:ascii="Times New Roman" w:hAnsi="Times New Roman"/>
          <w:sz w:val="24"/>
          <w:szCs w:val="24"/>
        </w:rPr>
        <w:t xml:space="preserve"> </w:t>
      </w:r>
      <w:r w:rsidRPr="0038723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Ecología aplicada</w:t>
      </w: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Pr="00387231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610464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5</w:t>
      </w: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(1-2), 87-91.</w:t>
      </w:r>
    </w:p>
    <w:p w:rsidR="00845447" w:rsidRPr="00387231" w:rsidRDefault="00845447" w:rsidP="00845447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845447" w:rsidRPr="00252A7A" w:rsidRDefault="00845447" w:rsidP="00845447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52A7A">
        <w:rPr>
          <w:rFonts w:ascii="Times New Roman" w:hAnsi="Times New Roman"/>
          <w:sz w:val="24"/>
          <w:szCs w:val="24"/>
          <w:lang w:val="es-ES"/>
        </w:rPr>
        <w:t>Seeley</w:t>
      </w:r>
      <w:proofErr w:type="spellEnd"/>
      <w:r w:rsidRPr="00252A7A">
        <w:rPr>
          <w:rFonts w:ascii="Times New Roman" w:hAnsi="Times New Roman"/>
          <w:sz w:val="24"/>
          <w:szCs w:val="24"/>
          <w:lang w:val="es-ES"/>
        </w:rPr>
        <w:t xml:space="preserve">, H., </w:t>
      </w:r>
      <w:r w:rsidR="00575956">
        <w:rPr>
          <w:rFonts w:ascii="Times New Roman" w:hAnsi="Times New Roman"/>
          <w:sz w:val="24"/>
          <w:szCs w:val="24"/>
          <w:lang w:val="es-ES"/>
        </w:rPr>
        <w:t>y</w:t>
      </w:r>
      <w:r w:rsidRPr="00252A7A">
        <w:rPr>
          <w:rFonts w:ascii="Times New Roman" w:hAnsi="Times New Roman"/>
          <w:sz w:val="24"/>
          <w:szCs w:val="24"/>
          <w:lang w:val="es-ES"/>
        </w:rPr>
        <w:t xml:space="preserve"> Van </w:t>
      </w:r>
      <w:proofErr w:type="spellStart"/>
      <w:r w:rsidRPr="00252A7A">
        <w:rPr>
          <w:rFonts w:ascii="Times New Roman" w:hAnsi="Times New Roman"/>
          <w:sz w:val="24"/>
          <w:szCs w:val="24"/>
          <w:lang w:val="es-ES"/>
        </w:rPr>
        <w:t>demark</w:t>
      </w:r>
      <w:proofErr w:type="spellEnd"/>
      <w:r w:rsidRPr="00252A7A">
        <w:rPr>
          <w:rFonts w:ascii="Times New Roman" w:hAnsi="Times New Roman"/>
          <w:sz w:val="24"/>
          <w:szCs w:val="24"/>
          <w:lang w:val="es-ES"/>
        </w:rPr>
        <w:t xml:space="preserve">, P. (1973). </w:t>
      </w:r>
      <w:r w:rsidRPr="00387231">
        <w:rPr>
          <w:rFonts w:ascii="Times New Roman" w:hAnsi="Times New Roman"/>
          <w:sz w:val="24"/>
          <w:szCs w:val="24"/>
        </w:rPr>
        <w:t xml:space="preserve">Microbios en acción: Manual de Laboratorio para Microbiología. </w:t>
      </w:r>
      <w:r w:rsidRPr="00252A7A">
        <w:rPr>
          <w:rFonts w:ascii="Times New Roman" w:hAnsi="Times New Roman"/>
          <w:sz w:val="24"/>
          <w:szCs w:val="24"/>
          <w:lang w:val="en-US"/>
        </w:rPr>
        <w:t xml:space="preserve">Madrid, </w:t>
      </w:r>
      <w:proofErr w:type="spellStart"/>
      <w:r w:rsidRPr="00252A7A">
        <w:rPr>
          <w:rFonts w:ascii="Times New Roman" w:hAnsi="Times New Roman"/>
          <w:sz w:val="24"/>
          <w:szCs w:val="24"/>
          <w:lang w:val="en-US"/>
        </w:rPr>
        <w:t>España</w:t>
      </w:r>
      <w:proofErr w:type="spellEnd"/>
      <w:r w:rsidRPr="00252A7A">
        <w:rPr>
          <w:rFonts w:ascii="Times New Roman" w:hAnsi="Times New Roman"/>
          <w:sz w:val="24"/>
          <w:szCs w:val="24"/>
          <w:lang w:val="en-US"/>
        </w:rPr>
        <w:t xml:space="preserve">: Editorial </w:t>
      </w:r>
      <w:proofErr w:type="spellStart"/>
      <w:r w:rsidRPr="00252A7A">
        <w:rPr>
          <w:rFonts w:ascii="Times New Roman" w:hAnsi="Times New Roman"/>
          <w:sz w:val="24"/>
          <w:szCs w:val="24"/>
          <w:lang w:val="en-US"/>
        </w:rPr>
        <w:t>Blume</w:t>
      </w:r>
      <w:proofErr w:type="spellEnd"/>
      <w:r w:rsidRPr="00252A7A">
        <w:rPr>
          <w:rFonts w:ascii="Times New Roman" w:hAnsi="Times New Roman"/>
          <w:sz w:val="24"/>
          <w:szCs w:val="24"/>
          <w:lang w:val="en-US"/>
        </w:rPr>
        <w:t>.</w:t>
      </w:r>
    </w:p>
    <w:p w:rsidR="00845447" w:rsidRPr="00252A7A" w:rsidRDefault="00845447" w:rsidP="00845447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45447" w:rsidRPr="00252A7A" w:rsidRDefault="00845447" w:rsidP="00845447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87231">
        <w:rPr>
          <w:rFonts w:ascii="Times New Roman" w:hAnsi="Times New Roman"/>
          <w:sz w:val="24"/>
          <w:szCs w:val="24"/>
          <w:lang w:val="en-US"/>
        </w:rPr>
        <w:t>Tekalign</w:t>
      </w:r>
      <w:proofErr w:type="spellEnd"/>
      <w:r w:rsidRPr="00387231">
        <w:rPr>
          <w:rFonts w:ascii="Times New Roman" w:hAnsi="Times New Roman"/>
          <w:sz w:val="24"/>
          <w:szCs w:val="24"/>
          <w:lang w:val="en-US"/>
        </w:rPr>
        <w:t>, T.,</w:t>
      </w:r>
      <w:r w:rsidRPr="000509B8">
        <w:rPr>
          <w:rFonts w:ascii="Times New Roman" w:hAnsi="Times New Roman"/>
          <w:sz w:val="24"/>
          <w:szCs w:val="24"/>
          <w:lang w:val="en-US"/>
        </w:rPr>
        <w:t xml:space="preserve"> y</w:t>
      </w:r>
      <w:r w:rsidR="0057595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7231">
        <w:rPr>
          <w:rFonts w:ascii="Times New Roman" w:hAnsi="Times New Roman"/>
          <w:sz w:val="24"/>
          <w:szCs w:val="24"/>
          <w:lang w:val="en-US"/>
        </w:rPr>
        <w:t>Hammes</w:t>
      </w:r>
      <w:proofErr w:type="spellEnd"/>
      <w:r w:rsidRPr="00387231">
        <w:rPr>
          <w:rFonts w:ascii="Times New Roman" w:hAnsi="Times New Roman"/>
          <w:sz w:val="24"/>
          <w:szCs w:val="24"/>
          <w:lang w:val="en-US"/>
        </w:rPr>
        <w:t xml:space="preserve">, P. </w:t>
      </w:r>
      <w:r w:rsidR="00575956">
        <w:rPr>
          <w:rFonts w:ascii="Times New Roman" w:hAnsi="Times New Roman"/>
          <w:sz w:val="24"/>
          <w:szCs w:val="24"/>
          <w:lang w:val="en-US"/>
        </w:rPr>
        <w:t>S. (</w:t>
      </w:r>
      <w:r w:rsidRPr="00387231">
        <w:rPr>
          <w:rFonts w:ascii="Times New Roman" w:hAnsi="Times New Roman"/>
          <w:sz w:val="24"/>
          <w:szCs w:val="24"/>
          <w:lang w:val="en-US"/>
        </w:rPr>
        <w:t>2005</w:t>
      </w:r>
      <w:r w:rsidR="00575956">
        <w:rPr>
          <w:rFonts w:ascii="Times New Roman" w:hAnsi="Times New Roman"/>
          <w:sz w:val="24"/>
          <w:szCs w:val="24"/>
          <w:lang w:val="en-US"/>
        </w:rPr>
        <w:t>)</w:t>
      </w:r>
      <w:r w:rsidRPr="00387231">
        <w:rPr>
          <w:rFonts w:ascii="Times New Roman" w:hAnsi="Times New Roman"/>
          <w:sz w:val="24"/>
          <w:szCs w:val="24"/>
          <w:lang w:val="en-US"/>
        </w:rPr>
        <w:t>. Growth and productivity of potato as influenced by cultivar and reproductive growth</w:t>
      </w:r>
      <w:r w:rsidR="00575956">
        <w:rPr>
          <w:rFonts w:ascii="Times New Roman" w:hAnsi="Times New Roman"/>
          <w:sz w:val="24"/>
          <w:szCs w:val="24"/>
          <w:lang w:val="en-US"/>
        </w:rPr>
        <w:t>:</w:t>
      </w:r>
      <w:r w:rsidRPr="00387231">
        <w:rPr>
          <w:rFonts w:ascii="Times New Roman" w:hAnsi="Times New Roman"/>
          <w:sz w:val="24"/>
          <w:szCs w:val="24"/>
          <w:lang w:val="en-US"/>
        </w:rPr>
        <w:t xml:space="preserve"> II. </w:t>
      </w:r>
      <w:proofErr w:type="gramStart"/>
      <w:r w:rsidRPr="00252A7A">
        <w:rPr>
          <w:rFonts w:ascii="Times New Roman" w:hAnsi="Times New Roman"/>
          <w:sz w:val="24"/>
          <w:szCs w:val="24"/>
          <w:lang w:val="en-US"/>
        </w:rPr>
        <w:t>Growth analysis, tuber yield and quality.</w:t>
      </w:r>
      <w:proofErr w:type="gramEnd"/>
      <w:r w:rsidRPr="00252A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2A7A">
        <w:rPr>
          <w:rFonts w:ascii="Times New Roman" w:hAnsi="Times New Roman"/>
          <w:i/>
          <w:sz w:val="24"/>
          <w:szCs w:val="24"/>
          <w:lang w:val="en-US"/>
        </w:rPr>
        <w:t>Scientia</w:t>
      </w:r>
      <w:proofErr w:type="spellEnd"/>
      <w:r w:rsidRPr="00252A7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52A7A">
        <w:rPr>
          <w:rFonts w:ascii="Times New Roman" w:hAnsi="Times New Roman"/>
          <w:i/>
          <w:sz w:val="24"/>
          <w:szCs w:val="24"/>
          <w:lang w:val="en-US"/>
        </w:rPr>
        <w:t>Horticulturae</w:t>
      </w:r>
      <w:proofErr w:type="spellEnd"/>
      <w:r w:rsidRPr="00252A7A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575956">
        <w:rPr>
          <w:rFonts w:ascii="Times New Roman" w:hAnsi="Times New Roman"/>
          <w:sz w:val="24"/>
          <w:szCs w:val="24"/>
          <w:lang w:val="en-US"/>
        </w:rPr>
        <w:t>105</w:t>
      </w:r>
      <w:r w:rsidRPr="00252A7A">
        <w:rPr>
          <w:rFonts w:ascii="Times New Roman" w:hAnsi="Times New Roman"/>
          <w:sz w:val="24"/>
          <w:szCs w:val="24"/>
          <w:lang w:val="en-US"/>
        </w:rPr>
        <w:t xml:space="preserve"> (1),</w:t>
      </w:r>
      <w:r w:rsidR="0057595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52A7A">
        <w:rPr>
          <w:rFonts w:ascii="Times New Roman" w:hAnsi="Times New Roman"/>
          <w:sz w:val="24"/>
          <w:szCs w:val="24"/>
          <w:lang w:val="en-US"/>
        </w:rPr>
        <w:t>29–44.</w:t>
      </w:r>
    </w:p>
    <w:p w:rsidR="00845447" w:rsidRPr="00252A7A" w:rsidRDefault="00845447" w:rsidP="00845447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45447" w:rsidRPr="000509B8" w:rsidRDefault="00845447" w:rsidP="00845447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87231">
        <w:rPr>
          <w:rFonts w:ascii="Times New Roman" w:hAnsi="Times New Roman"/>
          <w:sz w:val="24"/>
          <w:szCs w:val="24"/>
          <w:lang w:val="en-US"/>
        </w:rPr>
        <w:t xml:space="preserve">Wu, S., Cao, Z., Li, Z., Cheung, M., Wong, W. </w:t>
      </w:r>
      <w:r w:rsidR="00575956">
        <w:rPr>
          <w:rFonts w:ascii="Times New Roman" w:hAnsi="Times New Roman"/>
          <w:sz w:val="24"/>
          <w:szCs w:val="24"/>
          <w:lang w:val="en-US"/>
        </w:rPr>
        <w:t>(</w:t>
      </w:r>
      <w:r w:rsidRPr="00387231">
        <w:rPr>
          <w:rFonts w:ascii="Times New Roman" w:hAnsi="Times New Roman"/>
          <w:sz w:val="24"/>
          <w:szCs w:val="24"/>
          <w:lang w:val="en-US"/>
        </w:rPr>
        <w:t>2005</w:t>
      </w:r>
      <w:r w:rsidR="00575956">
        <w:rPr>
          <w:rFonts w:ascii="Times New Roman" w:hAnsi="Times New Roman"/>
          <w:sz w:val="24"/>
          <w:szCs w:val="24"/>
          <w:lang w:val="en-US"/>
        </w:rPr>
        <w:t>)</w:t>
      </w:r>
      <w:r w:rsidRPr="00387231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0509B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Wu, Effects of </w:t>
      </w:r>
      <w:proofErr w:type="spellStart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biofertilizer</w:t>
      </w:r>
      <w:proofErr w:type="spellEnd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containing N-fixer, P and K </w:t>
      </w:r>
      <w:proofErr w:type="spellStart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solubilizers</w:t>
      </w:r>
      <w:proofErr w:type="spellEnd"/>
      <w:r w:rsidRPr="00252A7A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and AM fungi on maize growth: a greenhouse trial.</w:t>
      </w:r>
      <w:r w:rsidRPr="00252A7A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 </w:t>
      </w:r>
      <w:proofErr w:type="spellStart"/>
      <w:r w:rsidRPr="00387231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Geoderma</w:t>
      </w:r>
      <w:proofErr w:type="spellEnd"/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Pr="00387231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575956">
        <w:rPr>
          <w:rFonts w:ascii="Times New Roman" w:hAnsi="Times New Roman"/>
          <w:iCs/>
          <w:color w:val="222222"/>
          <w:sz w:val="24"/>
          <w:szCs w:val="24"/>
          <w:shd w:val="clear" w:color="auto" w:fill="FFFFFF"/>
        </w:rPr>
        <w:t>125</w:t>
      </w:r>
      <w:r w:rsidRPr="0038723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(1), 155-166.</w:t>
      </w:r>
      <w:r w:rsidRPr="0038723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45447" w:rsidRDefault="00845447" w:rsidP="00845447"/>
    <w:p w:rsidR="002A689C" w:rsidRPr="0057121A" w:rsidRDefault="002A689C" w:rsidP="005E0EC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2A689C" w:rsidRPr="0057121A" w:rsidSect="004810B5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E68B7"/>
    <w:multiLevelType w:val="hybridMultilevel"/>
    <w:tmpl w:val="99C23574"/>
    <w:lvl w:ilvl="0" w:tplc="AE42A12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524DC"/>
    <w:multiLevelType w:val="hybridMultilevel"/>
    <w:tmpl w:val="5EFEB1B6"/>
    <w:lvl w:ilvl="0" w:tplc="173830E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B0A1B"/>
    <w:multiLevelType w:val="hybridMultilevel"/>
    <w:tmpl w:val="277E7122"/>
    <w:lvl w:ilvl="0" w:tplc="839EC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75450"/>
    <w:multiLevelType w:val="multilevel"/>
    <w:tmpl w:val="26B08136"/>
    <w:lvl w:ilvl="0">
      <w:start w:val="1"/>
      <w:numFmt w:val="decimal"/>
      <w:lvlText w:val="%1."/>
      <w:lvlJc w:val="left"/>
      <w:pPr>
        <w:ind w:left="4896" w:hanging="360"/>
      </w:p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565077C3"/>
    <w:multiLevelType w:val="hybridMultilevel"/>
    <w:tmpl w:val="3F82DC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C785E"/>
    <w:multiLevelType w:val="hybridMultilevel"/>
    <w:tmpl w:val="99C23574"/>
    <w:lvl w:ilvl="0" w:tplc="AE42A12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D2EFE"/>
    <w:multiLevelType w:val="hybridMultilevel"/>
    <w:tmpl w:val="2A44D3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E651C"/>
    <w:multiLevelType w:val="hybridMultilevel"/>
    <w:tmpl w:val="4D58B438"/>
    <w:lvl w:ilvl="0" w:tplc="839EC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622BB"/>
    <w:multiLevelType w:val="hybridMultilevel"/>
    <w:tmpl w:val="99C23574"/>
    <w:lvl w:ilvl="0" w:tplc="AE42A126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A0445BC"/>
    <w:multiLevelType w:val="hybridMultilevel"/>
    <w:tmpl w:val="99C23574"/>
    <w:lvl w:ilvl="0" w:tplc="AE42A126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1E91"/>
    <w:rsid w:val="00000172"/>
    <w:rsid w:val="00003E79"/>
    <w:rsid w:val="00007066"/>
    <w:rsid w:val="000110FC"/>
    <w:rsid w:val="00015F34"/>
    <w:rsid w:val="000217FE"/>
    <w:rsid w:val="00023D28"/>
    <w:rsid w:val="00024132"/>
    <w:rsid w:val="00030D64"/>
    <w:rsid w:val="00032DD7"/>
    <w:rsid w:val="00032F1F"/>
    <w:rsid w:val="00033B69"/>
    <w:rsid w:val="00033BFA"/>
    <w:rsid w:val="00035193"/>
    <w:rsid w:val="000416C0"/>
    <w:rsid w:val="0004649A"/>
    <w:rsid w:val="00060D8B"/>
    <w:rsid w:val="000672D0"/>
    <w:rsid w:val="00076943"/>
    <w:rsid w:val="0007753C"/>
    <w:rsid w:val="00081028"/>
    <w:rsid w:val="00081C25"/>
    <w:rsid w:val="00083E3E"/>
    <w:rsid w:val="00086EE8"/>
    <w:rsid w:val="00090153"/>
    <w:rsid w:val="00092BB5"/>
    <w:rsid w:val="000942A9"/>
    <w:rsid w:val="00094A10"/>
    <w:rsid w:val="00097D57"/>
    <w:rsid w:val="000A1B9C"/>
    <w:rsid w:val="000A2FDE"/>
    <w:rsid w:val="000A61FD"/>
    <w:rsid w:val="000B03F8"/>
    <w:rsid w:val="000B5037"/>
    <w:rsid w:val="000B5D61"/>
    <w:rsid w:val="000B7A1C"/>
    <w:rsid w:val="000C78E4"/>
    <w:rsid w:val="000C79A2"/>
    <w:rsid w:val="000D1F9E"/>
    <w:rsid w:val="000D3CCB"/>
    <w:rsid w:val="000E481E"/>
    <w:rsid w:val="000E4B79"/>
    <w:rsid w:val="000F36DC"/>
    <w:rsid w:val="000F373E"/>
    <w:rsid w:val="000F3A89"/>
    <w:rsid w:val="000F5A1A"/>
    <w:rsid w:val="000F784C"/>
    <w:rsid w:val="00102341"/>
    <w:rsid w:val="00104C00"/>
    <w:rsid w:val="00105456"/>
    <w:rsid w:val="00110600"/>
    <w:rsid w:val="001142E8"/>
    <w:rsid w:val="001210AF"/>
    <w:rsid w:val="00125D72"/>
    <w:rsid w:val="00141FE7"/>
    <w:rsid w:val="00143EA1"/>
    <w:rsid w:val="001444B3"/>
    <w:rsid w:val="001447A1"/>
    <w:rsid w:val="00147B10"/>
    <w:rsid w:val="00153183"/>
    <w:rsid w:val="00155C37"/>
    <w:rsid w:val="001611D3"/>
    <w:rsid w:val="0016545C"/>
    <w:rsid w:val="001655CC"/>
    <w:rsid w:val="00166772"/>
    <w:rsid w:val="00167506"/>
    <w:rsid w:val="00172811"/>
    <w:rsid w:val="00172BB1"/>
    <w:rsid w:val="00180432"/>
    <w:rsid w:val="00181171"/>
    <w:rsid w:val="00184B35"/>
    <w:rsid w:val="00186E4E"/>
    <w:rsid w:val="00187EEA"/>
    <w:rsid w:val="00191304"/>
    <w:rsid w:val="001966E8"/>
    <w:rsid w:val="001A5FEF"/>
    <w:rsid w:val="001B1D11"/>
    <w:rsid w:val="001D230E"/>
    <w:rsid w:val="001D3399"/>
    <w:rsid w:val="001D6F53"/>
    <w:rsid w:val="001D752A"/>
    <w:rsid w:val="001E4062"/>
    <w:rsid w:val="001F1C58"/>
    <w:rsid w:val="001F3FE4"/>
    <w:rsid w:val="001F46FF"/>
    <w:rsid w:val="001F4B34"/>
    <w:rsid w:val="0020094E"/>
    <w:rsid w:val="002064F1"/>
    <w:rsid w:val="002065C2"/>
    <w:rsid w:val="00213CE2"/>
    <w:rsid w:val="002177AA"/>
    <w:rsid w:val="00217B7A"/>
    <w:rsid w:val="0022282D"/>
    <w:rsid w:val="00233EC0"/>
    <w:rsid w:val="00237AB9"/>
    <w:rsid w:val="002415D8"/>
    <w:rsid w:val="00241BDD"/>
    <w:rsid w:val="0024317C"/>
    <w:rsid w:val="0024395E"/>
    <w:rsid w:val="00243FC9"/>
    <w:rsid w:val="00245B9C"/>
    <w:rsid w:val="002470AA"/>
    <w:rsid w:val="0025171A"/>
    <w:rsid w:val="002548DF"/>
    <w:rsid w:val="00257BE1"/>
    <w:rsid w:val="002657B8"/>
    <w:rsid w:val="00273435"/>
    <w:rsid w:val="00274463"/>
    <w:rsid w:val="002771A9"/>
    <w:rsid w:val="002779C6"/>
    <w:rsid w:val="00284AF6"/>
    <w:rsid w:val="00284B39"/>
    <w:rsid w:val="002902AC"/>
    <w:rsid w:val="0029155B"/>
    <w:rsid w:val="00294534"/>
    <w:rsid w:val="00294733"/>
    <w:rsid w:val="00297AA1"/>
    <w:rsid w:val="002A66E7"/>
    <w:rsid w:val="002A689C"/>
    <w:rsid w:val="002B2B1A"/>
    <w:rsid w:val="002B7423"/>
    <w:rsid w:val="002B7C53"/>
    <w:rsid w:val="002C4001"/>
    <w:rsid w:val="002D66F4"/>
    <w:rsid w:val="002D7301"/>
    <w:rsid w:val="002D7593"/>
    <w:rsid w:val="002E06A0"/>
    <w:rsid w:val="002E77AA"/>
    <w:rsid w:val="002F1629"/>
    <w:rsid w:val="002F57EA"/>
    <w:rsid w:val="003112BE"/>
    <w:rsid w:val="003117B8"/>
    <w:rsid w:val="00315686"/>
    <w:rsid w:val="00316B14"/>
    <w:rsid w:val="00323902"/>
    <w:rsid w:val="0032407B"/>
    <w:rsid w:val="0032447E"/>
    <w:rsid w:val="00327E14"/>
    <w:rsid w:val="00343503"/>
    <w:rsid w:val="00345BEF"/>
    <w:rsid w:val="0035082B"/>
    <w:rsid w:val="0035403B"/>
    <w:rsid w:val="003543CC"/>
    <w:rsid w:val="0035635A"/>
    <w:rsid w:val="003611D4"/>
    <w:rsid w:val="00374036"/>
    <w:rsid w:val="0038326A"/>
    <w:rsid w:val="00385407"/>
    <w:rsid w:val="003939BC"/>
    <w:rsid w:val="00396181"/>
    <w:rsid w:val="003968B4"/>
    <w:rsid w:val="00396AC3"/>
    <w:rsid w:val="003A1F03"/>
    <w:rsid w:val="003A61D5"/>
    <w:rsid w:val="003B4582"/>
    <w:rsid w:val="003B59ED"/>
    <w:rsid w:val="003C0E2E"/>
    <w:rsid w:val="003C2580"/>
    <w:rsid w:val="003C3466"/>
    <w:rsid w:val="003C48E1"/>
    <w:rsid w:val="003C5684"/>
    <w:rsid w:val="003C741F"/>
    <w:rsid w:val="003C7B60"/>
    <w:rsid w:val="003C7D9D"/>
    <w:rsid w:val="003D2C36"/>
    <w:rsid w:val="003D368D"/>
    <w:rsid w:val="003D63B5"/>
    <w:rsid w:val="003E2F3D"/>
    <w:rsid w:val="003E349F"/>
    <w:rsid w:val="003E3CA3"/>
    <w:rsid w:val="003E53B7"/>
    <w:rsid w:val="003E6909"/>
    <w:rsid w:val="003E6ADE"/>
    <w:rsid w:val="003E7324"/>
    <w:rsid w:val="003F46DB"/>
    <w:rsid w:val="003F5947"/>
    <w:rsid w:val="003F7CB7"/>
    <w:rsid w:val="0040033B"/>
    <w:rsid w:val="00402D13"/>
    <w:rsid w:val="004037B2"/>
    <w:rsid w:val="00403AD3"/>
    <w:rsid w:val="0041056E"/>
    <w:rsid w:val="0041656E"/>
    <w:rsid w:val="00424CD1"/>
    <w:rsid w:val="00430329"/>
    <w:rsid w:val="00435B75"/>
    <w:rsid w:val="00436FDA"/>
    <w:rsid w:val="00437F57"/>
    <w:rsid w:val="00446BBD"/>
    <w:rsid w:val="0044724C"/>
    <w:rsid w:val="0045037F"/>
    <w:rsid w:val="00450A1E"/>
    <w:rsid w:val="0045180C"/>
    <w:rsid w:val="0045268B"/>
    <w:rsid w:val="00454422"/>
    <w:rsid w:val="00464EB3"/>
    <w:rsid w:val="0047223D"/>
    <w:rsid w:val="00480641"/>
    <w:rsid w:val="004810B5"/>
    <w:rsid w:val="0049302D"/>
    <w:rsid w:val="004954F6"/>
    <w:rsid w:val="004A177D"/>
    <w:rsid w:val="004B24AC"/>
    <w:rsid w:val="004B2A4E"/>
    <w:rsid w:val="004B54DA"/>
    <w:rsid w:val="004B6B22"/>
    <w:rsid w:val="004C501E"/>
    <w:rsid w:val="004C594E"/>
    <w:rsid w:val="004C668B"/>
    <w:rsid w:val="004C7914"/>
    <w:rsid w:val="004D65E1"/>
    <w:rsid w:val="004F0271"/>
    <w:rsid w:val="004F18ED"/>
    <w:rsid w:val="004F7312"/>
    <w:rsid w:val="00500C02"/>
    <w:rsid w:val="00502491"/>
    <w:rsid w:val="0050330C"/>
    <w:rsid w:val="00506A61"/>
    <w:rsid w:val="00506AC4"/>
    <w:rsid w:val="005073BC"/>
    <w:rsid w:val="005105A1"/>
    <w:rsid w:val="00513F60"/>
    <w:rsid w:val="00520BAE"/>
    <w:rsid w:val="00521B1B"/>
    <w:rsid w:val="005236B7"/>
    <w:rsid w:val="00524D88"/>
    <w:rsid w:val="00527A5F"/>
    <w:rsid w:val="00527E51"/>
    <w:rsid w:val="005303F4"/>
    <w:rsid w:val="005322F9"/>
    <w:rsid w:val="00532CAD"/>
    <w:rsid w:val="00542C74"/>
    <w:rsid w:val="00544AA8"/>
    <w:rsid w:val="00546141"/>
    <w:rsid w:val="005535D9"/>
    <w:rsid w:val="00553720"/>
    <w:rsid w:val="00553CA5"/>
    <w:rsid w:val="00554C72"/>
    <w:rsid w:val="00556AE6"/>
    <w:rsid w:val="00561E56"/>
    <w:rsid w:val="00564004"/>
    <w:rsid w:val="00566759"/>
    <w:rsid w:val="0057121A"/>
    <w:rsid w:val="00571683"/>
    <w:rsid w:val="00575956"/>
    <w:rsid w:val="005773B7"/>
    <w:rsid w:val="005813D5"/>
    <w:rsid w:val="00584852"/>
    <w:rsid w:val="0058796E"/>
    <w:rsid w:val="00591223"/>
    <w:rsid w:val="00592FC9"/>
    <w:rsid w:val="00594DC0"/>
    <w:rsid w:val="005952C8"/>
    <w:rsid w:val="005A3401"/>
    <w:rsid w:val="005A4FC4"/>
    <w:rsid w:val="005A6BC3"/>
    <w:rsid w:val="005B0555"/>
    <w:rsid w:val="005B1B29"/>
    <w:rsid w:val="005B6D40"/>
    <w:rsid w:val="005C1362"/>
    <w:rsid w:val="005C2E3E"/>
    <w:rsid w:val="005C3950"/>
    <w:rsid w:val="005C70B8"/>
    <w:rsid w:val="005D173A"/>
    <w:rsid w:val="005D3A20"/>
    <w:rsid w:val="005D3CCB"/>
    <w:rsid w:val="005D4F55"/>
    <w:rsid w:val="005E0DFB"/>
    <w:rsid w:val="005E0EC9"/>
    <w:rsid w:val="005E3F49"/>
    <w:rsid w:val="005E4248"/>
    <w:rsid w:val="005E49B7"/>
    <w:rsid w:val="005E5C3A"/>
    <w:rsid w:val="005F074C"/>
    <w:rsid w:val="005F7E51"/>
    <w:rsid w:val="00603260"/>
    <w:rsid w:val="00603969"/>
    <w:rsid w:val="00610464"/>
    <w:rsid w:val="00615485"/>
    <w:rsid w:val="00616EFC"/>
    <w:rsid w:val="00620539"/>
    <w:rsid w:val="00621F1C"/>
    <w:rsid w:val="00625248"/>
    <w:rsid w:val="00626D35"/>
    <w:rsid w:val="00627721"/>
    <w:rsid w:val="00631FCE"/>
    <w:rsid w:val="006368A5"/>
    <w:rsid w:val="00636AA9"/>
    <w:rsid w:val="0063742F"/>
    <w:rsid w:val="00642897"/>
    <w:rsid w:val="00642CAC"/>
    <w:rsid w:val="006453B1"/>
    <w:rsid w:val="006526F0"/>
    <w:rsid w:val="006632A5"/>
    <w:rsid w:val="0066404A"/>
    <w:rsid w:val="006665F9"/>
    <w:rsid w:val="00667D2E"/>
    <w:rsid w:val="00670EB2"/>
    <w:rsid w:val="006748F9"/>
    <w:rsid w:val="0068708B"/>
    <w:rsid w:val="006932BA"/>
    <w:rsid w:val="00694945"/>
    <w:rsid w:val="00695A76"/>
    <w:rsid w:val="006A1787"/>
    <w:rsid w:val="006A3CA7"/>
    <w:rsid w:val="006A5ACB"/>
    <w:rsid w:val="006A5B46"/>
    <w:rsid w:val="006A7426"/>
    <w:rsid w:val="006A78D1"/>
    <w:rsid w:val="006B51F5"/>
    <w:rsid w:val="006B684D"/>
    <w:rsid w:val="006C6AC5"/>
    <w:rsid w:val="006D1EDF"/>
    <w:rsid w:val="006D57C2"/>
    <w:rsid w:val="006E1C95"/>
    <w:rsid w:val="006E4698"/>
    <w:rsid w:val="006F11FC"/>
    <w:rsid w:val="006F2408"/>
    <w:rsid w:val="006F38A0"/>
    <w:rsid w:val="006F7D77"/>
    <w:rsid w:val="007026FF"/>
    <w:rsid w:val="007050EC"/>
    <w:rsid w:val="00706D57"/>
    <w:rsid w:val="00707686"/>
    <w:rsid w:val="00711CF5"/>
    <w:rsid w:val="00717E0B"/>
    <w:rsid w:val="00720502"/>
    <w:rsid w:val="00724283"/>
    <w:rsid w:val="00726ACF"/>
    <w:rsid w:val="007303A9"/>
    <w:rsid w:val="00731158"/>
    <w:rsid w:val="00735F24"/>
    <w:rsid w:val="00737AB2"/>
    <w:rsid w:val="00737E48"/>
    <w:rsid w:val="007414F3"/>
    <w:rsid w:val="00747A2D"/>
    <w:rsid w:val="00750A20"/>
    <w:rsid w:val="00750FF0"/>
    <w:rsid w:val="00752DB5"/>
    <w:rsid w:val="0075437A"/>
    <w:rsid w:val="007612BB"/>
    <w:rsid w:val="007662F9"/>
    <w:rsid w:val="00766690"/>
    <w:rsid w:val="00767B1D"/>
    <w:rsid w:val="007778F6"/>
    <w:rsid w:val="0078547B"/>
    <w:rsid w:val="007865F9"/>
    <w:rsid w:val="00790091"/>
    <w:rsid w:val="00791261"/>
    <w:rsid w:val="00792D85"/>
    <w:rsid w:val="00793697"/>
    <w:rsid w:val="0079424B"/>
    <w:rsid w:val="007960B6"/>
    <w:rsid w:val="00796C69"/>
    <w:rsid w:val="007A1A33"/>
    <w:rsid w:val="007A600F"/>
    <w:rsid w:val="007B025D"/>
    <w:rsid w:val="007C5F1F"/>
    <w:rsid w:val="007C7C6C"/>
    <w:rsid w:val="007C7FB3"/>
    <w:rsid w:val="007D124F"/>
    <w:rsid w:val="007D13A0"/>
    <w:rsid w:val="007D2F33"/>
    <w:rsid w:val="007D3A46"/>
    <w:rsid w:val="007E2022"/>
    <w:rsid w:val="007E59D0"/>
    <w:rsid w:val="007E6975"/>
    <w:rsid w:val="007E6D99"/>
    <w:rsid w:val="007E7225"/>
    <w:rsid w:val="007F4C5B"/>
    <w:rsid w:val="00800621"/>
    <w:rsid w:val="008007E5"/>
    <w:rsid w:val="00801C6E"/>
    <w:rsid w:val="008025BE"/>
    <w:rsid w:val="008056EE"/>
    <w:rsid w:val="00807B63"/>
    <w:rsid w:val="0081098E"/>
    <w:rsid w:val="00810D31"/>
    <w:rsid w:val="00811B83"/>
    <w:rsid w:val="008157F2"/>
    <w:rsid w:val="0081792D"/>
    <w:rsid w:val="00820142"/>
    <w:rsid w:val="00830A59"/>
    <w:rsid w:val="00833F38"/>
    <w:rsid w:val="00841D5A"/>
    <w:rsid w:val="00845447"/>
    <w:rsid w:val="00847216"/>
    <w:rsid w:val="00851A10"/>
    <w:rsid w:val="00853FA7"/>
    <w:rsid w:val="00863CC4"/>
    <w:rsid w:val="008641F4"/>
    <w:rsid w:val="00876C8D"/>
    <w:rsid w:val="0088167B"/>
    <w:rsid w:val="00881CBB"/>
    <w:rsid w:val="0088240E"/>
    <w:rsid w:val="00891D9B"/>
    <w:rsid w:val="00891E46"/>
    <w:rsid w:val="008931FA"/>
    <w:rsid w:val="00893809"/>
    <w:rsid w:val="008A67A9"/>
    <w:rsid w:val="008B582C"/>
    <w:rsid w:val="008C1E48"/>
    <w:rsid w:val="008C436F"/>
    <w:rsid w:val="008C717A"/>
    <w:rsid w:val="008D1408"/>
    <w:rsid w:val="008D51F3"/>
    <w:rsid w:val="008E4846"/>
    <w:rsid w:val="008E697E"/>
    <w:rsid w:val="008E6CA5"/>
    <w:rsid w:val="008E6FEB"/>
    <w:rsid w:val="008E766F"/>
    <w:rsid w:val="008E7E53"/>
    <w:rsid w:val="008F15C1"/>
    <w:rsid w:val="008F5BDD"/>
    <w:rsid w:val="008F6B8F"/>
    <w:rsid w:val="008F6D7E"/>
    <w:rsid w:val="009003CC"/>
    <w:rsid w:val="009012DE"/>
    <w:rsid w:val="00901F11"/>
    <w:rsid w:val="00904F78"/>
    <w:rsid w:val="00907FD4"/>
    <w:rsid w:val="00914F1C"/>
    <w:rsid w:val="00915728"/>
    <w:rsid w:val="00917557"/>
    <w:rsid w:val="00921BBB"/>
    <w:rsid w:val="0092208B"/>
    <w:rsid w:val="009228FF"/>
    <w:rsid w:val="00922F7B"/>
    <w:rsid w:val="009262EA"/>
    <w:rsid w:val="00926D49"/>
    <w:rsid w:val="00932596"/>
    <w:rsid w:val="009325DF"/>
    <w:rsid w:val="00942662"/>
    <w:rsid w:val="00943666"/>
    <w:rsid w:val="009444CC"/>
    <w:rsid w:val="00945B1D"/>
    <w:rsid w:val="0094704E"/>
    <w:rsid w:val="00951C1B"/>
    <w:rsid w:val="00954B85"/>
    <w:rsid w:val="00955D7F"/>
    <w:rsid w:val="00956308"/>
    <w:rsid w:val="00956A16"/>
    <w:rsid w:val="00956FF5"/>
    <w:rsid w:val="00957861"/>
    <w:rsid w:val="0096333A"/>
    <w:rsid w:val="009658C8"/>
    <w:rsid w:val="00970F72"/>
    <w:rsid w:val="00971166"/>
    <w:rsid w:val="009728E0"/>
    <w:rsid w:val="00977B56"/>
    <w:rsid w:val="009833CB"/>
    <w:rsid w:val="009874B1"/>
    <w:rsid w:val="00995202"/>
    <w:rsid w:val="009A060D"/>
    <w:rsid w:val="009A53F6"/>
    <w:rsid w:val="009B2555"/>
    <w:rsid w:val="009B5A68"/>
    <w:rsid w:val="009B5B8B"/>
    <w:rsid w:val="009C60AC"/>
    <w:rsid w:val="009C7850"/>
    <w:rsid w:val="009D1CB7"/>
    <w:rsid w:val="009D5D46"/>
    <w:rsid w:val="009E12B1"/>
    <w:rsid w:val="009E2409"/>
    <w:rsid w:val="009E3C38"/>
    <w:rsid w:val="009E71D6"/>
    <w:rsid w:val="009F016C"/>
    <w:rsid w:val="00A0231B"/>
    <w:rsid w:val="00A1108C"/>
    <w:rsid w:val="00A128FB"/>
    <w:rsid w:val="00A17FB5"/>
    <w:rsid w:val="00A23BDE"/>
    <w:rsid w:val="00A30453"/>
    <w:rsid w:val="00A36D83"/>
    <w:rsid w:val="00A37A61"/>
    <w:rsid w:val="00A40078"/>
    <w:rsid w:val="00A41521"/>
    <w:rsid w:val="00A41D09"/>
    <w:rsid w:val="00A44418"/>
    <w:rsid w:val="00A54085"/>
    <w:rsid w:val="00A549BA"/>
    <w:rsid w:val="00A5695D"/>
    <w:rsid w:val="00A6007C"/>
    <w:rsid w:val="00A60D77"/>
    <w:rsid w:val="00A647A0"/>
    <w:rsid w:val="00A65746"/>
    <w:rsid w:val="00A71EA9"/>
    <w:rsid w:val="00A7314F"/>
    <w:rsid w:val="00A81575"/>
    <w:rsid w:val="00A82544"/>
    <w:rsid w:val="00A917B2"/>
    <w:rsid w:val="00A943F1"/>
    <w:rsid w:val="00AA1487"/>
    <w:rsid w:val="00AA5D75"/>
    <w:rsid w:val="00AA6E55"/>
    <w:rsid w:val="00AA74A7"/>
    <w:rsid w:val="00AB10E1"/>
    <w:rsid w:val="00AB4399"/>
    <w:rsid w:val="00AC4D7F"/>
    <w:rsid w:val="00AC6D56"/>
    <w:rsid w:val="00AC78C4"/>
    <w:rsid w:val="00AC7EFD"/>
    <w:rsid w:val="00AD1389"/>
    <w:rsid w:val="00AD399D"/>
    <w:rsid w:val="00AD76D8"/>
    <w:rsid w:val="00AE28D0"/>
    <w:rsid w:val="00AF117B"/>
    <w:rsid w:val="00AF3B05"/>
    <w:rsid w:val="00AF6AB6"/>
    <w:rsid w:val="00B00063"/>
    <w:rsid w:val="00B0018D"/>
    <w:rsid w:val="00B0224B"/>
    <w:rsid w:val="00B06686"/>
    <w:rsid w:val="00B10E5D"/>
    <w:rsid w:val="00B10F50"/>
    <w:rsid w:val="00B151E8"/>
    <w:rsid w:val="00B16445"/>
    <w:rsid w:val="00B166C1"/>
    <w:rsid w:val="00B177BB"/>
    <w:rsid w:val="00B2387A"/>
    <w:rsid w:val="00B262BB"/>
    <w:rsid w:val="00B3066B"/>
    <w:rsid w:val="00B32689"/>
    <w:rsid w:val="00B36618"/>
    <w:rsid w:val="00B41B1D"/>
    <w:rsid w:val="00B45FDF"/>
    <w:rsid w:val="00B47784"/>
    <w:rsid w:val="00B47FAC"/>
    <w:rsid w:val="00B517C7"/>
    <w:rsid w:val="00B624F4"/>
    <w:rsid w:val="00B64FB4"/>
    <w:rsid w:val="00B668B3"/>
    <w:rsid w:val="00B80F36"/>
    <w:rsid w:val="00B82D82"/>
    <w:rsid w:val="00B8381E"/>
    <w:rsid w:val="00B83CE3"/>
    <w:rsid w:val="00B8412C"/>
    <w:rsid w:val="00B8416E"/>
    <w:rsid w:val="00B9458C"/>
    <w:rsid w:val="00B95D1B"/>
    <w:rsid w:val="00BA36BC"/>
    <w:rsid w:val="00BA4A45"/>
    <w:rsid w:val="00BA667E"/>
    <w:rsid w:val="00BA6788"/>
    <w:rsid w:val="00BA6987"/>
    <w:rsid w:val="00BC28AD"/>
    <w:rsid w:val="00BC31B0"/>
    <w:rsid w:val="00BC6666"/>
    <w:rsid w:val="00BC6A78"/>
    <w:rsid w:val="00BC6E94"/>
    <w:rsid w:val="00BD3AA0"/>
    <w:rsid w:val="00BD6646"/>
    <w:rsid w:val="00BF0662"/>
    <w:rsid w:val="00BF3652"/>
    <w:rsid w:val="00BF5B34"/>
    <w:rsid w:val="00C02D70"/>
    <w:rsid w:val="00C04741"/>
    <w:rsid w:val="00C04D18"/>
    <w:rsid w:val="00C06F42"/>
    <w:rsid w:val="00C11E6C"/>
    <w:rsid w:val="00C16678"/>
    <w:rsid w:val="00C20108"/>
    <w:rsid w:val="00C252CB"/>
    <w:rsid w:val="00C2598E"/>
    <w:rsid w:val="00C317AC"/>
    <w:rsid w:val="00C32BE6"/>
    <w:rsid w:val="00C3426D"/>
    <w:rsid w:val="00C34BBE"/>
    <w:rsid w:val="00C34EDB"/>
    <w:rsid w:val="00C4003E"/>
    <w:rsid w:val="00C43B7C"/>
    <w:rsid w:val="00C47CC8"/>
    <w:rsid w:val="00C54330"/>
    <w:rsid w:val="00C61462"/>
    <w:rsid w:val="00C633C8"/>
    <w:rsid w:val="00C7153E"/>
    <w:rsid w:val="00C71BCF"/>
    <w:rsid w:val="00C75B62"/>
    <w:rsid w:val="00C76BBB"/>
    <w:rsid w:val="00C81EB5"/>
    <w:rsid w:val="00C84EC5"/>
    <w:rsid w:val="00C86557"/>
    <w:rsid w:val="00C87F99"/>
    <w:rsid w:val="00C91641"/>
    <w:rsid w:val="00C93402"/>
    <w:rsid w:val="00CA1919"/>
    <w:rsid w:val="00CA4206"/>
    <w:rsid w:val="00CA5B6A"/>
    <w:rsid w:val="00CB089D"/>
    <w:rsid w:val="00CB21FB"/>
    <w:rsid w:val="00CB5A3E"/>
    <w:rsid w:val="00CB78D9"/>
    <w:rsid w:val="00CC0114"/>
    <w:rsid w:val="00CC3EB2"/>
    <w:rsid w:val="00CD17EB"/>
    <w:rsid w:val="00CD38EF"/>
    <w:rsid w:val="00CE07B5"/>
    <w:rsid w:val="00CF0D8E"/>
    <w:rsid w:val="00CF46F8"/>
    <w:rsid w:val="00D019DD"/>
    <w:rsid w:val="00D042B5"/>
    <w:rsid w:val="00D10598"/>
    <w:rsid w:val="00D12BB6"/>
    <w:rsid w:val="00D1305B"/>
    <w:rsid w:val="00D20F9B"/>
    <w:rsid w:val="00D341E4"/>
    <w:rsid w:val="00D3482E"/>
    <w:rsid w:val="00D349C1"/>
    <w:rsid w:val="00D42C45"/>
    <w:rsid w:val="00D46D22"/>
    <w:rsid w:val="00D51378"/>
    <w:rsid w:val="00D53E19"/>
    <w:rsid w:val="00D55E58"/>
    <w:rsid w:val="00D619FC"/>
    <w:rsid w:val="00D70A94"/>
    <w:rsid w:val="00D73936"/>
    <w:rsid w:val="00D74430"/>
    <w:rsid w:val="00D802F5"/>
    <w:rsid w:val="00D8213C"/>
    <w:rsid w:val="00D8452A"/>
    <w:rsid w:val="00D86F14"/>
    <w:rsid w:val="00D91470"/>
    <w:rsid w:val="00D921B1"/>
    <w:rsid w:val="00D9340D"/>
    <w:rsid w:val="00D9468B"/>
    <w:rsid w:val="00D94969"/>
    <w:rsid w:val="00D973BA"/>
    <w:rsid w:val="00D97789"/>
    <w:rsid w:val="00DB0130"/>
    <w:rsid w:val="00DB0E6A"/>
    <w:rsid w:val="00DB61BA"/>
    <w:rsid w:val="00DC439F"/>
    <w:rsid w:val="00DC46E8"/>
    <w:rsid w:val="00DC5EF4"/>
    <w:rsid w:val="00DC6ED9"/>
    <w:rsid w:val="00DC78AE"/>
    <w:rsid w:val="00DD310F"/>
    <w:rsid w:val="00DD37C8"/>
    <w:rsid w:val="00DD4F25"/>
    <w:rsid w:val="00DE513F"/>
    <w:rsid w:val="00DE5E0E"/>
    <w:rsid w:val="00DE5ED1"/>
    <w:rsid w:val="00DE67A3"/>
    <w:rsid w:val="00DF40E7"/>
    <w:rsid w:val="00DF5C81"/>
    <w:rsid w:val="00DF5EDE"/>
    <w:rsid w:val="00DF60A6"/>
    <w:rsid w:val="00DF708F"/>
    <w:rsid w:val="00DF71DC"/>
    <w:rsid w:val="00E019C7"/>
    <w:rsid w:val="00E07D64"/>
    <w:rsid w:val="00E149F3"/>
    <w:rsid w:val="00E252CC"/>
    <w:rsid w:val="00E3193B"/>
    <w:rsid w:val="00E35E7B"/>
    <w:rsid w:val="00E37183"/>
    <w:rsid w:val="00E408EB"/>
    <w:rsid w:val="00E42300"/>
    <w:rsid w:val="00E4267A"/>
    <w:rsid w:val="00E43237"/>
    <w:rsid w:val="00E43285"/>
    <w:rsid w:val="00E4656D"/>
    <w:rsid w:val="00E471EF"/>
    <w:rsid w:val="00E56DB1"/>
    <w:rsid w:val="00E6026E"/>
    <w:rsid w:val="00E625C0"/>
    <w:rsid w:val="00E654E5"/>
    <w:rsid w:val="00E669A9"/>
    <w:rsid w:val="00E75E77"/>
    <w:rsid w:val="00E85A29"/>
    <w:rsid w:val="00E878FE"/>
    <w:rsid w:val="00E90576"/>
    <w:rsid w:val="00E90DE8"/>
    <w:rsid w:val="00E90DED"/>
    <w:rsid w:val="00E92038"/>
    <w:rsid w:val="00E930DB"/>
    <w:rsid w:val="00E94A0C"/>
    <w:rsid w:val="00E964E4"/>
    <w:rsid w:val="00EA261F"/>
    <w:rsid w:val="00EA5BF5"/>
    <w:rsid w:val="00EA689A"/>
    <w:rsid w:val="00EC61C1"/>
    <w:rsid w:val="00EC71A4"/>
    <w:rsid w:val="00ED04B6"/>
    <w:rsid w:val="00EE26B1"/>
    <w:rsid w:val="00EF19C2"/>
    <w:rsid w:val="00EF1AED"/>
    <w:rsid w:val="00EF3979"/>
    <w:rsid w:val="00EF6A25"/>
    <w:rsid w:val="00F00DD7"/>
    <w:rsid w:val="00F01F54"/>
    <w:rsid w:val="00F03915"/>
    <w:rsid w:val="00F07DF2"/>
    <w:rsid w:val="00F161E3"/>
    <w:rsid w:val="00F172DC"/>
    <w:rsid w:val="00F2062A"/>
    <w:rsid w:val="00F27522"/>
    <w:rsid w:val="00F320D5"/>
    <w:rsid w:val="00F32E11"/>
    <w:rsid w:val="00F346A1"/>
    <w:rsid w:val="00F36F01"/>
    <w:rsid w:val="00F44DE6"/>
    <w:rsid w:val="00F470D0"/>
    <w:rsid w:val="00F47F7F"/>
    <w:rsid w:val="00F5067C"/>
    <w:rsid w:val="00F537ED"/>
    <w:rsid w:val="00F54A43"/>
    <w:rsid w:val="00F57D64"/>
    <w:rsid w:val="00F60E50"/>
    <w:rsid w:val="00F61464"/>
    <w:rsid w:val="00F71E91"/>
    <w:rsid w:val="00F727E3"/>
    <w:rsid w:val="00F80913"/>
    <w:rsid w:val="00F82BAD"/>
    <w:rsid w:val="00F841E3"/>
    <w:rsid w:val="00F928C5"/>
    <w:rsid w:val="00F9508B"/>
    <w:rsid w:val="00FA03E2"/>
    <w:rsid w:val="00FA0690"/>
    <w:rsid w:val="00FA3AAB"/>
    <w:rsid w:val="00FA5C95"/>
    <w:rsid w:val="00FA689E"/>
    <w:rsid w:val="00FB52C5"/>
    <w:rsid w:val="00FC0740"/>
    <w:rsid w:val="00FC0E93"/>
    <w:rsid w:val="00FC2EAC"/>
    <w:rsid w:val="00FC5772"/>
    <w:rsid w:val="00FC76C5"/>
    <w:rsid w:val="00FD06F4"/>
    <w:rsid w:val="00FD0BC2"/>
    <w:rsid w:val="00FE6073"/>
    <w:rsid w:val="00FF4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E91"/>
    <w:pPr>
      <w:spacing w:after="200" w:line="276" w:lineRule="auto"/>
    </w:pPr>
    <w:rPr>
      <w:rFonts w:eastAsia="Times New Roman"/>
      <w:sz w:val="22"/>
      <w:szCs w:val="22"/>
    </w:rPr>
  </w:style>
  <w:style w:type="paragraph" w:styleId="Ttulo2">
    <w:name w:val="heading 2"/>
    <w:basedOn w:val="Normal"/>
    <w:link w:val="Ttulo2Car"/>
    <w:uiPriority w:val="9"/>
    <w:qFormat/>
    <w:rsid w:val="008454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71E9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E24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E67A3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67A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21">
    <w:name w:val="Tabla normal 21"/>
    <w:basedOn w:val="Tablanormal"/>
    <w:uiPriority w:val="42"/>
    <w:rsid w:val="00977B56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apple-converted-space">
    <w:name w:val="apple-converted-space"/>
    <w:basedOn w:val="Fuentedeprrafopredeter"/>
    <w:rsid w:val="008C1E48"/>
  </w:style>
  <w:style w:type="paragraph" w:styleId="Textodeglobo">
    <w:name w:val="Balloon Text"/>
    <w:basedOn w:val="Normal"/>
    <w:link w:val="TextodegloboCar"/>
    <w:uiPriority w:val="99"/>
    <w:semiHidden/>
    <w:unhideWhenUsed/>
    <w:rsid w:val="0056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759"/>
    <w:rPr>
      <w:rFonts w:ascii="Tahoma" w:eastAsia="Times New Roman" w:hAnsi="Tahoma" w:cs="Tahoma"/>
      <w:sz w:val="16"/>
      <w:szCs w:val="16"/>
      <w:lang w:val="es-CO"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3543CC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543CC"/>
    <w:rPr>
      <w:sz w:val="20"/>
      <w:szCs w:val="20"/>
      <w:lang w:val="es-CO"/>
    </w:rPr>
  </w:style>
  <w:style w:type="character" w:styleId="Nmerodelnea">
    <w:name w:val="line number"/>
    <w:basedOn w:val="Fuentedeprrafopredeter"/>
    <w:uiPriority w:val="99"/>
    <w:semiHidden/>
    <w:unhideWhenUsed/>
    <w:rsid w:val="006C6AC5"/>
  </w:style>
  <w:style w:type="character" w:styleId="Refdecomentario">
    <w:name w:val="annotation reference"/>
    <w:basedOn w:val="Fuentedeprrafopredeter"/>
    <w:uiPriority w:val="99"/>
    <w:semiHidden/>
    <w:unhideWhenUsed/>
    <w:rsid w:val="007865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65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65F9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65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65F9"/>
    <w:rPr>
      <w:rFonts w:eastAsia="Times New Roman"/>
      <w:b/>
      <w:bCs/>
    </w:rPr>
  </w:style>
  <w:style w:type="character" w:styleId="nfasis">
    <w:name w:val="Emphasis"/>
    <w:basedOn w:val="Fuentedeprrafopredeter"/>
    <w:uiPriority w:val="20"/>
    <w:qFormat/>
    <w:rsid w:val="004F0271"/>
    <w:rPr>
      <w:i/>
      <w:iCs/>
    </w:rPr>
  </w:style>
  <w:style w:type="paragraph" w:customStyle="1" w:styleId="Default">
    <w:name w:val="Default"/>
    <w:rsid w:val="0057121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4544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E9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71E9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E24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E67A3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67A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21">
    <w:name w:val="Tabla normal 21"/>
    <w:basedOn w:val="Tablanormal"/>
    <w:uiPriority w:val="42"/>
    <w:rsid w:val="00977B56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apple-converted-space">
    <w:name w:val="apple-converted-space"/>
    <w:basedOn w:val="Fuentedeprrafopredeter"/>
    <w:rsid w:val="008C1E48"/>
  </w:style>
  <w:style w:type="paragraph" w:styleId="Textodeglobo">
    <w:name w:val="Balloon Text"/>
    <w:basedOn w:val="Normal"/>
    <w:link w:val="TextodegloboCar"/>
    <w:uiPriority w:val="99"/>
    <w:semiHidden/>
    <w:unhideWhenUsed/>
    <w:rsid w:val="0056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759"/>
    <w:rPr>
      <w:rFonts w:ascii="Tahoma" w:eastAsia="Times New Roman" w:hAnsi="Tahoma" w:cs="Tahoma"/>
      <w:sz w:val="16"/>
      <w:szCs w:val="16"/>
      <w:lang w:val="es-CO"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3543CC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543CC"/>
    <w:rPr>
      <w:sz w:val="20"/>
      <w:szCs w:val="20"/>
      <w:lang w:val="es-CO"/>
    </w:rPr>
  </w:style>
  <w:style w:type="character" w:styleId="Nmerodelnea">
    <w:name w:val="line number"/>
    <w:basedOn w:val="Fuentedeprrafopredeter"/>
    <w:uiPriority w:val="99"/>
    <w:semiHidden/>
    <w:unhideWhenUsed/>
    <w:rsid w:val="006C6AC5"/>
  </w:style>
  <w:style w:type="character" w:styleId="Refdecomentario">
    <w:name w:val="annotation reference"/>
    <w:basedOn w:val="Fuentedeprrafopredeter"/>
    <w:uiPriority w:val="99"/>
    <w:semiHidden/>
    <w:unhideWhenUsed/>
    <w:rsid w:val="007865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65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65F9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65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65F9"/>
    <w:rPr>
      <w:rFonts w:eastAsia="Times New Roman"/>
      <w:b/>
      <w:bCs/>
    </w:rPr>
  </w:style>
  <w:style w:type="character" w:styleId="nfasis">
    <w:name w:val="Emphasis"/>
    <w:basedOn w:val="Fuentedeprrafopredeter"/>
    <w:uiPriority w:val="20"/>
    <w:qFormat/>
    <w:rsid w:val="004F0271"/>
    <w:rPr>
      <w:i/>
      <w:iCs/>
    </w:rPr>
  </w:style>
  <w:style w:type="paragraph" w:customStyle="1" w:styleId="Default">
    <w:name w:val="Default"/>
    <w:rsid w:val="0057121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kaett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ara.mantilla.cecilia@gmail.com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ra_mantilla_cecilia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A3370-A81A-44F9-921E-C7D42AAB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6185</Words>
  <Characters>34020</Characters>
  <Application>Microsoft Office Word</Application>
  <DocSecurity>0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40125</CharactersWithSpaces>
  <SharedDoc>false</SharedDoc>
  <HLinks>
    <vt:vector size="6" baseType="variant">
      <vt:variant>
        <vt:i4>4587542</vt:i4>
      </vt:variant>
      <vt:variant>
        <vt:i4>6</vt:i4>
      </vt:variant>
      <vt:variant>
        <vt:i4>0</vt:i4>
      </vt:variant>
      <vt:variant>
        <vt:i4>5</vt:i4>
      </vt:variant>
      <vt:variant>
        <vt:lpwstr>http://www.ugr.es/~eianez/Microbiologia/index.htm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Negrete</dc:creator>
  <cp:lastModifiedBy>revista</cp:lastModifiedBy>
  <cp:revision>39</cp:revision>
  <cp:lastPrinted>2014-08-13T19:23:00Z</cp:lastPrinted>
  <dcterms:created xsi:type="dcterms:W3CDTF">2015-04-11T13:50:00Z</dcterms:created>
  <dcterms:modified xsi:type="dcterms:W3CDTF">2015-04-28T16:22:00Z</dcterms:modified>
</cp:coreProperties>
</file>