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FD" w:rsidRPr="00AB3A8C" w:rsidRDefault="007F06A0" w:rsidP="00FE23C2">
      <w:pPr>
        <w:spacing w:line="360" w:lineRule="auto"/>
        <w:rPr>
          <w:rFonts w:ascii="Arial" w:hAnsi="Arial" w:cs="Arial"/>
          <w:b/>
          <w:sz w:val="24"/>
          <w:szCs w:val="24"/>
          <w:lang w:val="es-ES"/>
        </w:rPr>
      </w:pPr>
      <w:r w:rsidRPr="007F06A0">
        <w:rPr>
          <w:rFonts w:ascii="Arial" w:hAnsi="Arial" w:cs="Arial"/>
          <w:b/>
          <w:sz w:val="24"/>
          <w:szCs w:val="24"/>
          <w:lang w:val="es-ES"/>
        </w:rPr>
        <w:t>Co-digestión anaerobia de vinaza y gallinaza de jaula: alternativa para el manejo de residuos agrícolas colombianos</w:t>
      </w:r>
    </w:p>
    <w:p w:rsidR="00F501DB" w:rsidRPr="00AB3A8C" w:rsidRDefault="007F06A0" w:rsidP="00FE23C2">
      <w:pPr>
        <w:pStyle w:val="Ttulo6"/>
        <w:spacing w:line="360" w:lineRule="auto"/>
        <w:ind w:left="0" w:firstLine="0"/>
        <w:jc w:val="left"/>
        <w:rPr>
          <w:rFonts w:ascii="Arial" w:hAnsi="Arial" w:cs="Arial"/>
          <w:b/>
          <w:i w:val="0"/>
          <w:sz w:val="24"/>
          <w:szCs w:val="24"/>
          <w:lang w:val="en-US"/>
        </w:rPr>
      </w:pPr>
      <w:r w:rsidRPr="007F06A0">
        <w:rPr>
          <w:rFonts w:ascii="Arial" w:hAnsi="Arial" w:cs="Arial"/>
          <w:b/>
          <w:i w:val="0"/>
          <w:sz w:val="24"/>
          <w:szCs w:val="24"/>
          <w:lang w:val="en-US"/>
        </w:rPr>
        <w:t xml:space="preserve">Anaerobic co-digestion of </w:t>
      </w:r>
      <w:proofErr w:type="spellStart"/>
      <w:r w:rsidRPr="007F06A0">
        <w:rPr>
          <w:rFonts w:ascii="Arial" w:hAnsi="Arial" w:cs="Arial"/>
          <w:b/>
          <w:i w:val="0"/>
          <w:sz w:val="24"/>
          <w:szCs w:val="24"/>
          <w:lang w:val="en-US"/>
        </w:rPr>
        <w:t>vinasse</w:t>
      </w:r>
      <w:proofErr w:type="spellEnd"/>
      <w:r w:rsidRPr="007F06A0">
        <w:rPr>
          <w:rFonts w:ascii="Arial" w:hAnsi="Arial" w:cs="Arial"/>
          <w:b/>
          <w:i w:val="0"/>
          <w:sz w:val="24"/>
          <w:szCs w:val="24"/>
          <w:lang w:val="en-US"/>
        </w:rPr>
        <w:t xml:space="preserve"> and chicken manure: alternative for Colombian </w:t>
      </w:r>
      <w:proofErr w:type="spellStart"/>
      <w:r w:rsidRPr="007F06A0">
        <w:rPr>
          <w:rFonts w:ascii="Arial" w:hAnsi="Arial" w:cs="Arial"/>
          <w:b/>
          <w:i w:val="0"/>
          <w:sz w:val="24"/>
          <w:szCs w:val="24"/>
          <w:lang w:val="en-US"/>
        </w:rPr>
        <w:t>agrowaste</w:t>
      </w:r>
      <w:proofErr w:type="spellEnd"/>
      <w:r w:rsidRPr="007F06A0">
        <w:rPr>
          <w:rFonts w:ascii="Arial" w:hAnsi="Arial" w:cs="Arial"/>
          <w:b/>
          <w:i w:val="0"/>
          <w:sz w:val="24"/>
          <w:szCs w:val="24"/>
          <w:lang w:val="en-US"/>
        </w:rPr>
        <w:t xml:space="preserve"> management</w:t>
      </w:r>
    </w:p>
    <w:p w:rsidR="006C4339" w:rsidRPr="00AB3A8C" w:rsidRDefault="007F06A0" w:rsidP="00FE23C2">
      <w:pPr>
        <w:pStyle w:val="xmsonormal"/>
        <w:shd w:val="clear" w:color="auto" w:fill="FFFFFF"/>
        <w:spacing w:before="0" w:beforeAutospacing="0" w:after="0" w:afterAutospacing="0" w:line="360" w:lineRule="auto"/>
        <w:rPr>
          <w:rFonts w:ascii="Arial" w:hAnsi="Arial" w:cs="Arial"/>
        </w:rPr>
      </w:pPr>
      <w:r w:rsidRPr="007F06A0">
        <w:rPr>
          <w:rFonts w:ascii="Arial" w:hAnsi="Arial" w:cs="Arial"/>
          <w:b/>
        </w:rPr>
        <w:t xml:space="preserve">Titulo corto: </w:t>
      </w:r>
      <w:r w:rsidRPr="007F06A0">
        <w:rPr>
          <w:rFonts w:ascii="Arial" w:hAnsi="Arial" w:cs="Arial"/>
        </w:rPr>
        <w:t>Co-digestión anaerobia de vinaza con gallinaza de jaula</w:t>
      </w:r>
    </w:p>
    <w:p w:rsidR="00EC06B7" w:rsidRPr="00AB3A8C" w:rsidRDefault="007F06A0" w:rsidP="00FE23C2">
      <w:pPr>
        <w:pStyle w:val="noindent"/>
        <w:spacing w:before="0" w:beforeAutospacing="0" w:after="0" w:afterAutospacing="0" w:line="360" w:lineRule="auto"/>
        <w:contextualSpacing/>
        <w:jc w:val="both"/>
        <w:rPr>
          <w:rFonts w:ascii="Arial" w:hAnsi="Arial" w:cs="Arial"/>
          <w:b/>
          <w:bCs/>
          <w:i/>
          <w:sz w:val="22"/>
          <w:shd w:val="clear" w:color="auto" w:fill="FFFFFF"/>
          <w:lang w:val="es-CO"/>
        </w:rPr>
      </w:pPr>
      <w:r w:rsidRPr="007F06A0">
        <w:rPr>
          <w:rFonts w:ascii="Arial" w:hAnsi="Arial" w:cs="Arial"/>
          <w:b/>
          <w:bCs/>
          <w:i/>
          <w:sz w:val="22"/>
          <w:shd w:val="clear" w:color="auto" w:fill="FFFFFF"/>
          <w:lang w:val="es-CO"/>
        </w:rPr>
        <w:t>Marin-Batista José*, Salazar Luis**, Castro Liliana***, Escalante Humberto****</w:t>
      </w:r>
    </w:p>
    <w:p w:rsidR="00904068" w:rsidRPr="00AB3A8C" w:rsidRDefault="00904068" w:rsidP="00FE23C2">
      <w:pPr>
        <w:pStyle w:val="noindent"/>
        <w:spacing w:before="0" w:beforeAutospacing="0" w:after="0" w:afterAutospacing="0" w:line="360" w:lineRule="auto"/>
        <w:contextualSpacing/>
        <w:jc w:val="both"/>
        <w:rPr>
          <w:rFonts w:ascii="Arial" w:hAnsi="Arial" w:cs="Arial"/>
          <w:i/>
          <w:sz w:val="22"/>
          <w:lang w:val="es-CO" w:eastAsia="es-ES"/>
        </w:rPr>
      </w:pPr>
    </w:p>
    <w:p w:rsidR="00B16B95" w:rsidRPr="00AB3A8C" w:rsidRDefault="007F06A0" w:rsidP="00B16B95">
      <w:pPr>
        <w:pStyle w:val="Piedepgina"/>
        <w:spacing w:line="360" w:lineRule="auto"/>
        <w:jc w:val="both"/>
        <w:rPr>
          <w:rFonts w:ascii="Arial" w:hAnsi="Arial" w:cs="Arial"/>
          <w:sz w:val="16"/>
          <w:szCs w:val="16"/>
        </w:rPr>
      </w:pPr>
      <w:r w:rsidRPr="007F06A0">
        <w:rPr>
          <w:rFonts w:ascii="Arial" w:hAnsi="Arial" w:cs="Arial"/>
          <w:sz w:val="16"/>
          <w:szCs w:val="16"/>
        </w:rPr>
        <w:t xml:space="preserve">* </w:t>
      </w:r>
      <w:proofErr w:type="spellStart"/>
      <w:r w:rsidRPr="007F06A0">
        <w:rPr>
          <w:rFonts w:ascii="Arial" w:hAnsi="Arial" w:cs="Arial"/>
          <w:sz w:val="16"/>
          <w:szCs w:val="16"/>
        </w:rPr>
        <w:t>MSc</w:t>
      </w:r>
      <w:proofErr w:type="spellEnd"/>
      <w:r w:rsidRPr="007F06A0">
        <w:rPr>
          <w:rFonts w:ascii="Arial" w:hAnsi="Arial" w:cs="Arial"/>
          <w:sz w:val="16"/>
          <w:szCs w:val="16"/>
        </w:rPr>
        <w:t xml:space="preserve">, Universidad Industrial de Santander, Colombia. </w:t>
      </w:r>
      <w:hyperlink r:id="rId8" w:history="1">
        <w:r w:rsidRPr="007F06A0">
          <w:rPr>
            <w:rStyle w:val="Hipervnculo"/>
            <w:rFonts w:ascii="Arial" w:hAnsi="Arial" w:cs="Arial"/>
            <w:color w:val="auto"/>
            <w:sz w:val="16"/>
            <w:szCs w:val="16"/>
            <w:u w:val="none"/>
          </w:rPr>
          <w:t>jdmbatista05@gmail.com</w:t>
        </w:r>
      </w:hyperlink>
    </w:p>
    <w:p w:rsidR="00B16B95" w:rsidRPr="00AB3A8C" w:rsidRDefault="007F06A0" w:rsidP="00B16B95">
      <w:pPr>
        <w:pStyle w:val="Piedepgina"/>
        <w:spacing w:line="360" w:lineRule="auto"/>
        <w:jc w:val="both"/>
        <w:rPr>
          <w:rFonts w:ascii="Arial" w:hAnsi="Arial" w:cs="Arial"/>
          <w:sz w:val="16"/>
          <w:szCs w:val="16"/>
        </w:rPr>
      </w:pPr>
      <w:r w:rsidRPr="007F06A0">
        <w:rPr>
          <w:rFonts w:ascii="Arial" w:hAnsi="Arial" w:cs="Arial"/>
          <w:sz w:val="16"/>
          <w:szCs w:val="16"/>
        </w:rPr>
        <w:t xml:space="preserve">** </w:t>
      </w:r>
      <w:proofErr w:type="spellStart"/>
      <w:r w:rsidRPr="007F06A0">
        <w:rPr>
          <w:rFonts w:ascii="Arial" w:hAnsi="Arial" w:cs="Arial"/>
          <w:sz w:val="16"/>
          <w:szCs w:val="16"/>
        </w:rPr>
        <w:t>MSc</w:t>
      </w:r>
      <w:proofErr w:type="spellEnd"/>
      <w:r w:rsidRPr="007F06A0">
        <w:rPr>
          <w:rFonts w:ascii="Arial" w:hAnsi="Arial" w:cs="Arial"/>
          <w:sz w:val="16"/>
          <w:szCs w:val="16"/>
        </w:rPr>
        <w:t>, Universidad Industrial de Santander, Colombia. luissanantonio2010@hotmail.com</w:t>
      </w:r>
    </w:p>
    <w:p w:rsidR="00904068" w:rsidRPr="00AB3A8C" w:rsidRDefault="007F06A0" w:rsidP="00FE23C2">
      <w:pPr>
        <w:pStyle w:val="Default"/>
        <w:spacing w:line="360" w:lineRule="auto"/>
        <w:jc w:val="both"/>
        <w:rPr>
          <w:rFonts w:ascii="Arial" w:hAnsi="Arial" w:cs="Arial"/>
          <w:color w:val="auto"/>
          <w:lang w:val="es-CO"/>
        </w:rPr>
      </w:pPr>
      <w:r w:rsidRPr="007F06A0">
        <w:rPr>
          <w:rFonts w:ascii="Arial" w:hAnsi="Arial" w:cs="Arial"/>
          <w:color w:val="auto"/>
          <w:sz w:val="16"/>
          <w:szCs w:val="16"/>
          <w:lang w:val="es-CO"/>
        </w:rPr>
        <w:t>*** PhD, Profesora Escuela de Ingeniería Química, Universidad Industrial de Santander, Colombia licasmol@uis.edu.co.</w:t>
      </w:r>
    </w:p>
    <w:p w:rsidR="00904068" w:rsidRPr="00AB3A8C" w:rsidRDefault="007F06A0" w:rsidP="00FE23C2">
      <w:pPr>
        <w:pStyle w:val="Piedepgina"/>
        <w:spacing w:line="360" w:lineRule="auto"/>
        <w:jc w:val="both"/>
        <w:rPr>
          <w:rFonts w:ascii="Arial" w:hAnsi="Arial" w:cs="Arial"/>
          <w:sz w:val="16"/>
          <w:szCs w:val="16"/>
        </w:rPr>
      </w:pPr>
      <w:r w:rsidRPr="007F06A0">
        <w:rPr>
          <w:rFonts w:ascii="Arial" w:hAnsi="Arial" w:cs="Arial"/>
          <w:sz w:val="16"/>
          <w:szCs w:val="16"/>
        </w:rPr>
        <w:t xml:space="preserve">**** PhD, Profesor Escuela de Ingeniería Química, Universidad Industrial de Santander, Colombia </w:t>
      </w:r>
      <w:hyperlink r:id="rId9" w:history="1">
        <w:r w:rsidRPr="007F06A0">
          <w:rPr>
            <w:rStyle w:val="Hipervnculo"/>
            <w:rFonts w:ascii="Arial" w:hAnsi="Arial" w:cs="Arial"/>
            <w:color w:val="auto"/>
            <w:sz w:val="16"/>
            <w:szCs w:val="16"/>
            <w:u w:val="none"/>
          </w:rPr>
          <w:t>escala@uis.edu.co</w:t>
        </w:r>
      </w:hyperlink>
      <w:r w:rsidRPr="007F06A0">
        <w:rPr>
          <w:rFonts w:ascii="Arial" w:hAnsi="Arial" w:cs="Arial"/>
          <w:sz w:val="16"/>
          <w:szCs w:val="16"/>
        </w:rPr>
        <w:t>.</w:t>
      </w:r>
    </w:p>
    <w:p w:rsidR="00FE23C2" w:rsidRPr="00AB3A8C" w:rsidRDefault="00FE23C2" w:rsidP="00FE23C2">
      <w:pPr>
        <w:spacing w:line="360" w:lineRule="auto"/>
        <w:rPr>
          <w:rFonts w:ascii="Arial" w:hAnsi="Arial" w:cs="Arial"/>
          <w:b/>
          <w:sz w:val="24"/>
          <w:szCs w:val="24"/>
          <w:lang w:eastAsia="es-ES"/>
        </w:rPr>
      </w:pPr>
    </w:p>
    <w:p w:rsidR="00617F78" w:rsidRPr="00AB3A8C" w:rsidRDefault="007F06A0" w:rsidP="00FE23C2">
      <w:pPr>
        <w:spacing w:line="360" w:lineRule="auto"/>
        <w:rPr>
          <w:rFonts w:ascii="Arial" w:hAnsi="Arial" w:cs="Arial"/>
          <w:b/>
          <w:sz w:val="24"/>
          <w:szCs w:val="24"/>
          <w:lang w:eastAsia="es-ES"/>
        </w:rPr>
      </w:pPr>
      <w:r w:rsidRPr="007F06A0">
        <w:rPr>
          <w:rFonts w:ascii="Arial" w:hAnsi="Arial" w:cs="Arial"/>
          <w:b/>
          <w:sz w:val="24"/>
          <w:szCs w:val="24"/>
          <w:lang w:eastAsia="es-ES"/>
        </w:rPr>
        <w:t>Resumen</w:t>
      </w:r>
    </w:p>
    <w:p w:rsidR="00617F78" w:rsidRPr="00AB3A8C" w:rsidRDefault="007F06A0" w:rsidP="00FE23C2">
      <w:pPr>
        <w:spacing w:line="360" w:lineRule="auto"/>
        <w:jc w:val="both"/>
        <w:rPr>
          <w:rFonts w:ascii="Arial" w:hAnsi="Arial" w:cs="Arial"/>
          <w:sz w:val="24"/>
          <w:szCs w:val="24"/>
          <w:lang w:eastAsia="es-ES"/>
        </w:rPr>
      </w:pPr>
      <w:r w:rsidRPr="007F06A0">
        <w:rPr>
          <w:rFonts w:ascii="Arial" w:hAnsi="Arial" w:cs="Arial"/>
          <w:sz w:val="24"/>
          <w:szCs w:val="24"/>
          <w:lang w:eastAsia="es-ES"/>
        </w:rPr>
        <w:t xml:space="preserve">La digestión anaerobia es una tecnología atractiva para el manejo de residuos al producir energía en forma de biogás y estabilizar la materia orgánica. En este estudio, se evaluó el proceso de </w:t>
      </w:r>
      <w:proofErr w:type="spellStart"/>
      <w:r w:rsidRPr="007F06A0">
        <w:rPr>
          <w:rFonts w:ascii="Arial" w:hAnsi="Arial" w:cs="Arial"/>
          <w:sz w:val="24"/>
          <w:szCs w:val="24"/>
          <w:lang w:eastAsia="es-ES"/>
        </w:rPr>
        <w:t>co</w:t>
      </w:r>
      <w:proofErr w:type="spellEnd"/>
      <w:r w:rsidRPr="007F06A0">
        <w:rPr>
          <w:rFonts w:ascii="Arial" w:hAnsi="Arial" w:cs="Arial"/>
          <w:sz w:val="24"/>
          <w:szCs w:val="24"/>
          <w:lang w:eastAsia="es-ES"/>
        </w:rPr>
        <w:t xml:space="preserve">-digestión de vinaza y gallinaza de jaula como una alternativa de manejo y estabilización de residuos generados por la agroindustria colombiana. Se llevaron a cabo, ensayos de biometanización en relaciones de mezcla vinaza y gallinaza de 1:0, 3:1, 1:3 y 0:1 en base a VS. La relación de 3:1 de vinaza y gallinaza permitió </w:t>
      </w:r>
      <w:r w:rsidRPr="007F06A0">
        <w:rPr>
          <w:rFonts w:ascii="Arial" w:hAnsi="Arial" w:cs="Arial"/>
          <w:sz w:val="24"/>
          <w:szCs w:val="24"/>
          <w:lang w:val="es-ES"/>
        </w:rPr>
        <w:t>aumentar la producción específica de metano en un 55% respecto a la producción específica ponderada de 0.65 m</w:t>
      </w:r>
      <w:r w:rsidRPr="007F06A0">
        <w:rPr>
          <w:rFonts w:ascii="Arial" w:hAnsi="Arial" w:cs="Arial"/>
          <w:sz w:val="24"/>
          <w:szCs w:val="24"/>
          <w:vertAlign w:val="superscript"/>
          <w:lang w:val="es-ES"/>
        </w:rPr>
        <w:t xml:space="preserve">3 </w:t>
      </w:r>
      <w:r w:rsidRPr="007F06A0">
        <w:rPr>
          <w:rFonts w:ascii="Arial" w:hAnsi="Arial" w:cs="Arial"/>
          <w:sz w:val="24"/>
          <w:szCs w:val="24"/>
          <w:lang w:val="es-ES"/>
        </w:rPr>
        <w:t>CH</w:t>
      </w:r>
      <w:r w:rsidRPr="007F06A0">
        <w:rPr>
          <w:rFonts w:ascii="Arial" w:hAnsi="Arial" w:cs="Arial"/>
          <w:sz w:val="24"/>
          <w:szCs w:val="24"/>
          <w:vertAlign w:val="subscript"/>
          <w:lang w:val="es-ES"/>
        </w:rPr>
        <w:t>4</w:t>
      </w:r>
      <w:r w:rsidRPr="007F06A0">
        <w:rPr>
          <w:rFonts w:ascii="Arial" w:hAnsi="Arial" w:cs="Arial"/>
          <w:sz w:val="24"/>
          <w:szCs w:val="24"/>
          <w:lang w:val="es-ES"/>
        </w:rPr>
        <w:t xml:space="preserve">/kg VS. Las mezclas entre los sustratos presentaron un efecto sinérgico positivo. La gallinaza de jaula mejoró la capacidad de amortiguación de la mezcla, disminuyendo el riesgo de acidificación por cambio drástico en el pH durante la digestión de la vinaza. Por otra parte, la vinaza permitió diluir la concentración total de nitrógeno amoniacal evitando la inhibición de amoniaco. Dado el aumento de la producción de metano, el </w:t>
      </w:r>
      <w:proofErr w:type="spellStart"/>
      <w:r w:rsidRPr="007F06A0">
        <w:rPr>
          <w:rFonts w:ascii="Arial" w:hAnsi="Arial" w:cs="Arial"/>
          <w:sz w:val="24"/>
          <w:szCs w:val="24"/>
          <w:lang w:val="es-ES"/>
        </w:rPr>
        <w:t>co</w:t>
      </w:r>
      <w:proofErr w:type="spellEnd"/>
      <w:r w:rsidRPr="007F06A0">
        <w:rPr>
          <w:rFonts w:ascii="Arial" w:hAnsi="Arial" w:cs="Arial"/>
          <w:sz w:val="24"/>
          <w:szCs w:val="24"/>
          <w:lang w:val="es-ES"/>
        </w:rPr>
        <w:t>-tratamiento de vinaza y gallinaza mejora la recuperación de energía y la viabilidad económica de la instalación de la planta de biogás como parte de la cadena de producción de etanol.</w:t>
      </w:r>
    </w:p>
    <w:p w:rsidR="00617F78" w:rsidRPr="00AB3A8C" w:rsidRDefault="007F06A0" w:rsidP="00FE23C2">
      <w:pPr>
        <w:spacing w:line="360" w:lineRule="auto"/>
        <w:jc w:val="both"/>
        <w:rPr>
          <w:rFonts w:ascii="Arial" w:hAnsi="Arial" w:cs="Arial"/>
          <w:sz w:val="24"/>
          <w:szCs w:val="24"/>
          <w:lang w:val="es-ES"/>
        </w:rPr>
      </w:pPr>
      <w:r w:rsidRPr="007F06A0">
        <w:rPr>
          <w:rFonts w:ascii="Arial" w:hAnsi="Arial" w:cs="Arial"/>
          <w:b/>
          <w:sz w:val="24"/>
          <w:szCs w:val="24"/>
          <w:lang w:eastAsia="es-ES"/>
        </w:rPr>
        <w:t xml:space="preserve">Palabras clave: </w:t>
      </w:r>
      <w:r w:rsidRPr="007F06A0">
        <w:rPr>
          <w:rFonts w:ascii="Arial" w:hAnsi="Arial" w:cs="Arial"/>
          <w:sz w:val="24"/>
          <w:szCs w:val="24"/>
          <w:lang w:val="es-ES"/>
        </w:rPr>
        <w:t>digestión anaerobia, vinaza, gallinaza de jaula, prueba de potencial de biometanización, efecto sinérgico.</w:t>
      </w:r>
    </w:p>
    <w:p w:rsidR="00810186" w:rsidRPr="00AB3A8C" w:rsidRDefault="007F06A0" w:rsidP="00FE23C2">
      <w:pPr>
        <w:spacing w:line="360" w:lineRule="auto"/>
        <w:rPr>
          <w:rFonts w:ascii="Arial" w:hAnsi="Arial" w:cs="Arial"/>
          <w:b/>
          <w:sz w:val="24"/>
          <w:szCs w:val="24"/>
          <w:lang w:val="en-US" w:eastAsia="es-ES"/>
        </w:rPr>
      </w:pPr>
      <w:r w:rsidRPr="007F06A0">
        <w:rPr>
          <w:rFonts w:ascii="Arial" w:hAnsi="Arial" w:cs="Arial"/>
          <w:b/>
          <w:sz w:val="24"/>
          <w:szCs w:val="24"/>
          <w:lang w:val="en-AU" w:eastAsia="es-ES"/>
        </w:rPr>
        <w:lastRenderedPageBreak/>
        <w:t>Abstract</w:t>
      </w:r>
    </w:p>
    <w:p w:rsidR="00810186" w:rsidRPr="00AB3A8C" w:rsidRDefault="007F06A0" w:rsidP="00FE23C2">
      <w:pPr>
        <w:tabs>
          <w:tab w:val="left" w:pos="2290"/>
        </w:tabs>
        <w:spacing w:line="360" w:lineRule="auto"/>
        <w:jc w:val="both"/>
        <w:rPr>
          <w:rFonts w:ascii="Arial" w:hAnsi="Arial" w:cs="Arial"/>
          <w:sz w:val="24"/>
          <w:szCs w:val="24"/>
          <w:lang w:val="en-US" w:eastAsia="es-ES"/>
        </w:rPr>
      </w:pPr>
      <w:r w:rsidRPr="007F06A0">
        <w:rPr>
          <w:rFonts w:ascii="Arial" w:hAnsi="Arial" w:cs="Arial"/>
          <w:sz w:val="24"/>
          <w:szCs w:val="24"/>
          <w:lang w:val="en-US" w:eastAsia="es-ES"/>
        </w:rPr>
        <w:t xml:space="preserve">Anaerobic digestion is an attractive technology for waste management meanwhile energy is recovering. This study evaluated the feasibility of </w:t>
      </w:r>
      <w:proofErr w:type="spellStart"/>
      <w:r w:rsidRPr="007F06A0">
        <w:rPr>
          <w:rFonts w:ascii="Arial" w:hAnsi="Arial" w:cs="Arial"/>
          <w:sz w:val="24"/>
          <w:szCs w:val="24"/>
          <w:lang w:val="en-US" w:eastAsia="es-ES"/>
        </w:rPr>
        <w:t>codigesting</w:t>
      </w:r>
      <w:proofErr w:type="spellEnd"/>
      <w:r w:rsidRPr="007F06A0">
        <w:rPr>
          <w:rFonts w:ascii="Arial" w:hAnsi="Arial" w:cs="Arial"/>
          <w:sz w:val="24"/>
          <w:szCs w:val="24"/>
          <w:lang w:val="en-US" w:eastAsia="es-ES"/>
        </w:rPr>
        <w:t xml:space="preserve">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and chicken manure (CM) as management alternative for Colombian agro industries. Biochemical methane potential was tested for different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to CM ratios of 1:0, 3:1, 1:3 and 0:1 on VS basis.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and CM ratio of 3:1 increased the specific methane production up to 55% regard to the weighted specific methane production of 0.65 m</w:t>
      </w:r>
      <w:r w:rsidRPr="007F06A0">
        <w:rPr>
          <w:rFonts w:ascii="Arial" w:hAnsi="Arial" w:cs="Arial"/>
          <w:sz w:val="24"/>
          <w:szCs w:val="24"/>
          <w:vertAlign w:val="superscript"/>
          <w:lang w:val="en-US" w:eastAsia="es-ES"/>
        </w:rPr>
        <w:t>3</w:t>
      </w:r>
      <w:r w:rsidRPr="007F06A0">
        <w:rPr>
          <w:rFonts w:ascii="Arial" w:hAnsi="Arial" w:cs="Arial"/>
          <w:sz w:val="24"/>
          <w:szCs w:val="24"/>
          <w:lang w:val="en-US" w:eastAsia="es-ES"/>
        </w:rPr>
        <w:t>CH</w:t>
      </w:r>
      <w:r w:rsidRPr="007F06A0">
        <w:rPr>
          <w:rFonts w:ascii="Arial" w:hAnsi="Arial" w:cs="Arial"/>
          <w:sz w:val="24"/>
          <w:szCs w:val="24"/>
          <w:vertAlign w:val="subscript"/>
          <w:lang w:val="en-US" w:eastAsia="es-ES"/>
        </w:rPr>
        <w:t>4</w:t>
      </w:r>
      <w:r w:rsidRPr="007F06A0">
        <w:rPr>
          <w:rFonts w:ascii="Arial" w:hAnsi="Arial" w:cs="Arial"/>
          <w:sz w:val="24"/>
          <w:szCs w:val="24"/>
          <w:lang w:val="en-US" w:eastAsia="es-ES"/>
        </w:rPr>
        <w:t xml:space="preserve">/kg VS. Mixtures between the substrates had a positive synergistic effect. CM improved buffer capacity diminishing the risk on acidification by drastic pH shift during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digestion. Furthermore,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allowed dilution of total ammonia nitrogen concentration avoiding ammonia inhibition. Since a higher methane production,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and CM co-treatment improves the energy-recovery and economic feasibility of installing biogas plant as part of the ethanol production chain.</w:t>
      </w:r>
    </w:p>
    <w:p w:rsidR="00EC06B7" w:rsidRPr="00AB3A8C" w:rsidRDefault="007F06A0" w:rsidP="00FE23C2">
      <w:pPr>
        <w:spacing w:after="0" w:line="360" w:lineRule="auto"/>
        <w:jc w:val="both"/>
        <w:rPr>
          <w:rFonts w:ascii="Arial" w:hAnsi="Arial" w:cs="Arial"/>
          <w:sz w:val="24"/>
          <w:szCs w:val="24"/>
          <w:lang w:val="en-US"/>
        </w:rPr>
      </w:pPr>
      <w:r w:rsidRPr="007F06A0">
        <w:rPr>
          <w:rFonts w:ascii="Arial" w:hAnsi="Arial" w:cs="Arial"/>
          <w:b/>
          <w:sz w:val="24"/>
          <w:szCs w:val="24"/>
          <w:lang w:val="en-US"/>
        </w:rPr>
        <w:t>Keywords:</w:t>
      </w:r>
      <w:r w:rsidRPr="007F06A0">
        <w:rPr>
          <w:rFonts w:ascii="Arial" w:hAnsi="Arial" w:cs="Arial"/>
          <w:sz w:val="24"/>
          <w:szCs w:val="24"/>
          <w:lang w:val="en-US"/>
        </w:rPr>
        <w:t xml:space="preserve"> anaerobic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chicken manure, </w:t>
      </w:r>
      <w:proofErr w:type="spellStart"/>
      <w:r w:rsidRPr="007F06A0">
        <w:rPr>
          <w:rFonts w:ascii="Arial" w:hAnsi="Arial" w:cs="Arial"/>
          <w:sz w:val="24"/>
          <w:szCs w:val="24"/>
          <w:lang w:val="en-US"/>
        </w:rPr>
        <w:t>biomethane</w:t>
      </w:r>
      <w:proofErr w:type="spellEnd"/>
      <w:r w:rsidRPr="007F06A0">
        <w:rPr>
          <w:rFonts w:ascii="Arial" w:hAnsi="Arial" w:cs="Arial"/>
          <w:sz w:val="24"/>
          <w:szCs w:val="24"/>
          <w:lang w:val="en-US"/>
        </w:rPr>
        <w:t xml:space="preserve"> potential test, synergistic effect.</w:t>
      </w:r>
    </w:p>
    <w:p w:rsidR="00EC06B7" w:rsidRDefault="00EC06B7" w:rsidP="00FE23C2">
      <w:pPr>
        <w:spacing w:after="0" w:line="360" w:lineRule="auto"/>
        <w:jc w:val="both"/>
        <w:rPr>
          <w:rFonts w:ascii="Arial" w:hAnsi="Arial" w:cs="Arial"/>
          <w:b/>
          <w:sz w:val="24"/>
          <w:szCs w:val="24"/>
          <w:lang w:val="en-US"/>
        </w:rPr>
      </w:pPr>
    </w:p>
    <w:p w:rsidR="000F1E5E" w:rsidRPr="000F1E5E" w:rsidRDefault="000F1E5E" w:rsidP="00FE23C2">
      <w:pPr>
        <w:spacing w:after="0" w:line="360" w:lineRule="auto"/>
        <w:jc w:val="both"/>
        <w:rPr>
          <w:rFonts w:ascii="Arial" w:hAnsi="Arial" w:cs="Arial"/>
          <w:sz w:val="24"/>
          <w:szCs w:val="24"/>
        </w:rPr>
      </w:pPr>
      <w:r w:rsidRPr="000F1E5E">
        <w:rPr>
          <w:rFonts w:ascii="Arial" w:hAnsi="Arial" w:cs="Arial"/>
          <w:b/>
          <w:sz w:val="24"/>
          <w:szCs w:val="24"/>
        </w:rPr>
        <w:t xml:space="preserve">Recibido: </w:t>
      </w:r>
      <w:r w:rsidRPr="000F1E5E">
        <w:rPr>
          <w:rFonts w:ascii="Arial" w:hAnsi="Arial" w:cs="Arial"/>
          <w:sz w:val="24"/>
          <w:szCs w:val="24"/>
        </w:rPr>
        <w:t>marzo 16 de 2016</w:t>
      </w:r>
      <w:r w:rsidRPr="000F1E5E">
        <w:rPr>
          <w:rFonts w:ascii="Arial" w:hAnsi="Arial" w:cs="Arial"/>
          <w:b/>
          <w:sz w:val="24"/>
          <w:szCs w:val="24"/>
        </w:rPr>
        <w:tab/>
        <w:t xml:space="preserve">Aprobado: </w:t>
      </w:r>
      <w:r w:rsidRPr="000F1E5E">
        <w:rPr>
          <w:rFonts w:ascii="Arial" w:hAnsi="Arial" w:cs="Arial"/>
          <w:sz w:val="24"/>
          <w:szCs w:val="24"/>
        </w:rPr>
        <w:t>o</w:t>
      </w:r>
      <w:r>
        <w:rPr>
          <w:rFonts w:ascii="Arial" w:hAnsi="Arial" w:cs="Arial"/>
          <w:sz w:val="24"/>
          <w:szCs w:val="24"/>
        </w:rPr>
        <w:t>ctubre 19 de 2016</w:t>
      </w:r>
    </w:p>
    <w:p w:rsidR="000F1E5E" w:rsidRPr="00480096" w:rsidRDefault="000F1E5E" w:rsidP="00FE23C2">
      <w:pPr>
        <w:tabs>
          <w:tab w:val="left" w:pos="2290"/>
          <w:tab w:val="left" w:pos="3165"/>
        </w:tabs>
        <w:spacing w:line="360" w:lineRule="auto"/>
        <w:rPr>
          <w:rFonts w:ascii="Arial" w:hAnsi="Arial" w:cs="Arial"/>
          <w:b/>
          <w:sz w:val="24"/>
          <w:szCs w:val="24"/>
        </w:rPr>
      </w:pPr>
    </w:p>
    <w:p w:rsidR="00EC06B7" w:rsidRPr="00AB3A8C" w:rsidRDefault="007F06A0" w:rsidP="00FE23C2">
      <w:pPr>
        <w:tabs>
          <w:tab w:val="left" w:pos="2290"/>
          <w:tab w:val="left" w:pos="3165"/>
        </w:tabs>
        <w:spacing w:line="360" w:lineRule="auto"/>
        <w:rPr>
          <w:rFonts w:ascii="Arial" w:hAnsi="Arial" w:cs="Arial"/>
          <w:b/>
          <w:sz w:val="24"/>
          <w:szCs w:val="24"/>
          <w:lang w:val="en-US"/>
        </w:rPr>
      </w:pPr>
      <w:r w:rsidRPr="007F06A0">
        <w:rPr>
          <w:rFonts w:ascii="Arial" w:hAnsi="Arial" w:cs="Arial"/>
          <w:b/>
          <w:sz w:val="24"/>
          <w:szCs w:val="24"/>
          <w:lang w:val="en-US"/>
        </w:rPr>
        <w:t xml:space="preserve">Introduction </w:t>
      </w:r>
    </w:p>
    <w:p w:rsidR="00F75B63" w:rsidRPr="00AB3A8C" w:rsidRDefault="007F06A0" w:rsidP="009809F6">
      <w:pPr>
        <w:tabs>
          <w:tab w:val="left" w:pos="2290"/>
          <w:tab w:val="left" w:pos="3165"/>
        </w:tabs>
        <w:spacing w:after="0" w:line="360" w:lineRule="auto"/>
        <w:jc w:val="both"/>
        <w:rPr>
          <w:rFonts w:ascii="Arial" w:hAnsi="Arial" w:cs="Arial"/>
          <w:b/>
          <w:sz w:val="24"/>
          <w:szCs w:val="24"/>
          <w:lang w:val="en-US"/>
        </w:rPr>
      </w:pPr>
      <w:r w:rsidRPr="007F06A0">
        <w:rPr>
          <w:rFonts w:ascii="Arial" w:hAnsi="Arial" w:cs="Arial"/>
          <w:sz w:val="24"/>
          <w:szCs w:val="24"/>
          <w:lang w:val="en-US"/>
        </w:rPr>
        <w:t xml:space="preserve">The expansion of ethanol distilleries in Colombian sugarcane refineries has increased the production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the main waste stream of ethanol distillation process (</w:t>
      </w:r>
      <w:proofErr w:type="spellStart"/>
      <w:r w:rsidRPr="007F06A0">
        <w:rPr>
          <w:rFonts w:ascii="Arial" w:hAnsi="Arial" w:cs="Arial"/>
          <w:sz w:val="24"/>
          <w:szCs w:val="24"/>
          <w:lang w:val="en-US"/>
        </w:rPr>
        <w:t>Dávila</w:t>
      </w:r>
      <w:proofErr w:type="spellEnd"/>
      <w:r w:rsidRPr="007F06A0">
        <w:rPr>
          <w:rFonts w:ascii="Arial" w:hAnsi="Arial" w:cs="Arial"/>
          <w:sz w:val="24"/>
          <w:szCs w:val="24"/>
          <w:lang w:val="en-US"/>
        </w:rPr>
        <w:t xml:space="preserve">-Rincón </w:t>
      </w:r>
      <w:r w:rsidRPr="007F06A0">
        <w:rPr>
          <w:rFonts w:ascii="Arial" w:hAnsi="Arial" w:cs="Arial"/>
          <w:i/>
          <w:sz w:val="24"/>
          <w:szCs w:val="24"/>
          <w:lang w:val="en-US"/>
        </w:rPr>
        <w:t>et al</w:t>
      </w:r>
      <w:r w:rsidRPr="007F06A0">
        <w:rPr>
          <w:rFonts w:ascii="Arial" w:hAnsi="Arial" w:cs="Arial"/>
          <w:sz w:val="24"/>
          <w:szCs w:val="24"/>
          <w:lang w:val="en-US"/>
        </w:rPr>
        <w:t xml:space="preserve">., 2009). Production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varies from 8 to 15 L per liter of ethanol obtained (</w:t>
      </w:r>
      <w:proofErr w:type="spellStart"/>
      <w:r w:rsidRPr="007F06A0">
        <w:rPr>
          <w:rFonts w:ascii="Arial" w:hAnsi="Arial" w:cs="Arial"/>
          <w:sz w:val="24"/>
          <w:szCs w:val="24"/>
          <w:lang w:val="en-US"/>
        </w:rPr>
        <w:t>Zieminski</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2015).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is characterized by acid pH (4.0–5.0) and high potentially polluting organic matter (76 - 110g COD L</w:t>
      </w:r>
      <w:r w:rsidRPr="007F06A0">
        <w:rPr>
          <w:rFonts w:ascii="Arial" w:hAnsi="Arial" w:cs="Arial"/>
          <w:sz w:val="24"/>
          <w:szCs w:val="24"/>
          <w:vertAlign w:val="superscript"/>
          <w:lang w:val="en-US"/>
        </w:rPr>
        <w:t>-1</w:t>
      </w:r>
      <w:r w:rsidRPr="007F06A0">
        <w:rPr>
          <w:rFonts w:ascii="Arial" w:hAnsi="Arial" w:cs="Arial"/>
          <w:sz w:val="24"/>
          <w:szCs w:val="24"/>
          <w:lang w:val="en-US"/>
        </w:rPr>
        <w:t>) in form of soluble sugars (9.5-7.9gL</w:t>
      </w:r>
      <w:r w:rsidRPr="007F06A0">
        <w:rPr>
          <w:rFonts w:ascii="Arial" w:hAnsi="Arial" w:cs="Arial"/>
          <w:sz w:val="24"/>
          <w:szCs w:val="24"/>
          <w:vertAlign w:val="superscript"/>
          <w:lang w:val="en-US"/>
        </w:rPr>
        <w:t>-1</w:t>
      </w:r>
      <w:r w:rsidRPr="007F06A0">
        <w:rPr>
          <w:rFonts w:ascii="Arial" w:hAnsi="Arial" w:cs="Arial"/>
          <w:sz w:val="24"/>
          <w:szCs w:val="24"/>
          <w:lang w:val="en-US"/>
        </w:rPr>
        <w:t>) and phenols (0.4–12.4 gL</w:t>
      </w:r>
      <w:r w:rsidRPr="007F06A0">
        <w:rPr>
          <w:rFonts w:ascii="Arial" w:hAnsi="Arial" w:cs="Arial"/>
          <w:sz w:val="24"/>
          <w:szCs w:val="24"/>
          <w:vertAlign w:val="superscript"/>
          <w:lang w:val="en-US"/>
        </w:rPr>
        <w:t>-1</w:t>
      </w:r>
      <w:r w:rsidRPr="007F06A0">
        <w:rPr>
          <w:rFonts w:ascii="Arial" w:hAnsi="Arial" w:cs="Arial"/>
          <w:sz w:val="24"/>
          <w:szCs w:val="24"/>
          <w:lang w:val="en-US"/>
        </w:rPr>
        <w:t>) (</w:t>
      </w:r>
      <w:proofErr w:type="spellStart"/>
      <w:r w:rsidRPr="007F06A0">
        <w:rPr>
          <w:rFonts w:ascii="Arial" w:hAnsi="Arial" w:cs="Arial"/>
          <w:sz w:val="24"/>
          <w:szCs w:val="24"/>
          <w:lang w:val="en-US"/>
        </w:rPr>
        <w:t>Moraes</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2015). Several treatments such as aerobic conventional methods (trickling filters, lagoon), evaporation–condensation (with and without combustion), </w:t>
      </w:r>
      <w:proofErr w:type="spellStart"/>
      <w:r w:rsidRPr="007F06A0">
        <w:rPr>
          <w:rFonts w:ascii="Arial" w:hAnsi="Arial" w:cs="Arial"/>
          <w:sz w:val="24"/>
          <w:szCs w:val="24"/>
          <w:lang w:val="en-US"/>
        </w:rPr>
        <w:t>ozonation</w:t>
      </w:r>
      <w:proofErr w:type="spellEnd"/>
      <w:r w:rsidRPr="007F06A0">
        <w:rPr>
          <w:rFonts w:ascii="Arial" w:hAnsi="Arial" w:cs="Arial"/>
          <w:sz w:val="24"/>
          <w:szCs w:val="24"/>
          <w:lang w:val="en-US"/>
        </w:rPr>
        <w:t xml:space="preserve"> and direct dispersion on soil as a fertilizer have been proven for purification, utilization </w:t>
      </w:r>
      <w:r w:rsidRPr="007F06A0">
        <w:rPr>
          <w:rFonts w:ascii="Arial" w:hAnsi="Arial" w:cs="Arial"/>
          <w:sz w:val="24"/>
          <w:szCs w:val="24"/>
          <w:lang w:val="en-US"/>
        </w:rPr>
        <w:lastRenderedPageBreak/>
        <w:t>and disposal of these wastewaters (</w:t>
      </w:r>
      <w:proofErr w:type="spellStart"/>
      <w:r w:rsidRPr="007F06A0">
        <w:rPr>
          <w:rFonts w:ascii="Arial" w:hAnsi="Arial" w:cs="Arial"/>
          <w:sz w:val="24"/>
          <w:szCs w:val="24"/>
          <w:lang w:val="en-US"/>
        </w:rPr>
        <w:t>Jáuregui-Jáuregui</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2014; Jimenez </w:t>
      </w:r>
      <w:r w:rsidRPr="007F06A0">
        <w:rPr>
          <w:rFonts w:ascii="Arial" w:hAnsi="Arial" w:cs="Arial"/>
          <w:i/>
          <w:sz w:val="24"/>
          <w:szCs w:val="24"/>
          <w:lang w:val="en-US"/>
        </w:rPr>
        <w:t>et al</w:t>
      </w:r>
      <w:r w:rsidRPr="007F06A0">
        <w:rPr>
          <w:rFonts w:ascii="Arial" w:hAnsi="Arial" w:cs="Arial"/>
          <w:sz w:val="24"/>
          <w:szCs w:val="24"/>
          <w:lang w:val="en-US"/>
        </w:rPr>
        <w:t>., 2006). Those methods are high costly and simultaneously generate other pollutants.</w:t>
      </w:r>
    </w:p>
    <w:p w:rsidR="005E7C05" w:rsidRPr="00AB3A8C" w:rsidRDefault="005E7C05" w:rsidP="009809F6">
      <w:pPr>
        <w:tabs>
          <w:tab w:val="left" w:pos="2290"/>
        </w:tabs>
        <w:spacing w:after="0" w:line="360" w:lineRule="auto"/>
        <w:jc w:val="both"/>
        <w:rPr>
          <w:rFonts w:ascii="Arial" w:hAnsi="Arial" w:cs="Arial"/>
          <w:sz w:val="24"/>
          <w:szCs w:val="24"/>
          <w:lang w:val="en-US"/>
        </w:rPr>
      </w:pPr>
    </w:p>
    <w:p w:rsidR="00F75B63" w:rsidRPr="00AB3A8C" w:rsidRDefault="007F06A0" w:rsidP="00BC28EE">
      <w:pPr>
        <w:tabs>
          <w:tab w:val="left" w:pos="0"/>
        </w:tabs>
        <w:spacing w:after="0" w:line="360" w:lineRule="auto"/>
        <w:jc w:val="both"/>
        <w:rPr>
          <w:rFonts w:ascii="Arial" w:hAnsi="Arial" w:cs="Arial"/>
          <w:sz w:val="24"/>
          <w:szCs w:val="24"/>
          <w:lang w:val="en-US"/>
        </w:rPr>
      </w:pPr>
      <w:r w:rsidRPr="007F06A0">
        <w:rPr>
          <w:rFonts w:ascii="Arial" w:hAnsi="Arial" w:cs="Arial"/>
          <w:sz w:val="24"/>
          <w:szCs w:val="24"/>
          <w:lang w:val="en-US"/>
        </w:rPr>
        <w:t xml:space="preserve">In other hands, poultry industries in Colombia produce chicken manure (CM) as main biomass of the sector. With an annual production of 31,592 ton of CM per million of birds, the valley becomes the third poultry region in the nation (Marin-Batista </w:t>
      </w:r>
      <w:r w:rsidRPr="007F06A0">
        <w:rPr>
          <w:rFonts w:ascii="Arial" w:hAnsi="Arial" w:cs="Arial"/>
          <w:i/>
          <w:sz w:val="24"/>
          <w:szCs w:val="24"/>
          <w:lang w:val="en-US"/>
        </w:rPr>
        <w:t>et al</w:t>
      </w:r>
      <w:r w:rsidRPr="007F06A0">
        <w:rPr>
          <w:rFonts w:ascii="Arial" w:hAnsi="Arial" w:cs="Arial"/>
          <w:sz w:val="24"/>
          <w:szCs w:val="24"/>
          <w:lang w:val="en-US"/>
        </w:rPr>
        <w:t xml:space="preserve">., 2015; Escalante </w:t>
      </w:r>
      <w:r w:rsidRPr="007F06A0">
        <w:rPr>
          <w:rFonts w:ascii="Arial" w:hAnsi="Arial" w:cs="Arial"/>
          <w:i/>
          <w:sz w:val="24"/>
          <w:szCs w:val="24"/>
          <w:lang w:val="en-US"/>
        </w:rPr>
        <w:t>et al</w:t>
      </w:r>
      <w:r w:rsidRPr="007F06A0">
        <w:rPr>
          <w:rFonts w:ascii="Arial" w:hAnsi="Arial" w:cs="Arial"/>
          <w:sz w:val="24"/>
          <w:szCs w:val="24"/>
          <w:lang w:val="en-US"/>
        </w:rPr>
        <w:t xml:space="preserve">., 2010). CM present a high content of organic matter, mainly in form of proteins (15.6 %), cellulose (20 %), </w:t>
      </w:r>
      <w:proofErr w:type="spellStart"/>
      <w:r w:rsidRPr="007F06A0">
        <w:rPr>
          <w:rFonts w:ascii="Arial" w:hAnsi="Arial" w:cs="Arial"/>
          <w:sz w:val="24"/>
          <w:szCs w:val="24"/>
          <w:lang w:val="en-US"/>
        </w:rPr>
        <w:t>hemicellulose</w:t>
      </w:r>
      <w:proofErr w:type="spellEnd"/>
      <w:r w:rsidRPr="007F06A0">
        <w:rPr>
          <w:rFonts w:ascii="Arial" w:hAnsi="Arial" w:cs="Arial"/>
          <w:sz w:val="24"/>
          <w:szCs w:val="24"/>
          <w:lang w:val="en-US"/>
        </w:rPr>
        <w:t xml:space="preserve"> (23.2 %) and lignin (2.3 g/L) (Li </w:t>
      </w:r>
      <w:r w:rsidRPr="007F06A0">
        <w:rPr>
          <w:rFonts w:ascii="Arial" w:hAnsi="Arial" w:cs="Arial"/>
          <w:i/>
          <w:sz w:val="24"/>
          <w:szCs w:val="24"/>
          <w:lang w:val="en-US"/>
        </w:rPr>
        <w:t>et al</w:t>
      </w:r>
      <w:r w:rsidRPr="007F06A0">
        <w:rPr>
          <w:rFonts w:ascii="Arial" w:hAnsi="Arial" w:cs="Arial"/>
          <w:sz w:val="24"/>
          <w:szCs w:val="24"/>
          <w:lang w:val="en-US"/>
        </w:rPr>
        <w:t xml:space="preserve">., 2013). Composition of CM enable obtaining new products such as compost and meat meal (Huang </w:t>
      </w:r>
      <w:r w:rsidRPr="007F06A0">
        <w:rPr>
          <w:rFonts w:ascii="Arial" w:hAnsi="Arial" w:cs="Arial"/>
          <w:i/>
          <w:sz w:val="24"/>
          <w:szCs w:val="24"/>
          <w:lang w:val="en-US"/>
        </w:rPr>
        <w:t>et al</w:t>
      </w:r>
      <w:r w:rsidRPr="007F06A0">
        <w:rPr>
          <w:rFonts w:ascii="Arial" w:hAnsi="Arial" w:cs="Arial"/>
          <w:sz w:val="24"/>
          <w:szCs w:val="24"/>
          <w:lang w:val="en-US"/>
        </w:rPr>
        <w:t xml:space="preserve">., 2011; Rosales </w:t>
      </w:r>
      <w:r w:rsidRPr="007F06A0">
        <w:rPr>
          <w:rFonts w:ascii="Arial" w:hAnsi="Arial" w:cs="Arial"/>
          <w:i/>
          <w:sz w:val="24"/>
          <w:szCs w:val="24"/>
          <w:lang w:val="en-US"/>
        </w:rPr>
        <w:t>et al</w:t>
      </w:r>
      <w:r w:rsidRPr="007F06A0">
        <w:rPr>
          <w:rFonts w:ascii="Arial" w:hAnsi="Arial" w:cs="Arial"/>
          <w:sz w:val="24"/>
          <w:szCs w:val="24"/>
          <w:lang w:val="en-US"/>
        </w:rPr>
        <w:t xml:space="preserve">., 2007), but those methods are not enough to dispose the CM produced annually. </w:t>
      </w:r>
    </w:p>
    <w:p w:rsidR="005E7C05" w:rsidRPr="00AB3A8C" w:rsidRDefault="005E7C05" w:rsidP="009809F6">
      <w:pPr>
        <w:spacing w:after="0" w:line="360" w:lineRule="auto"/>
        <w:jc w:val="both"/>
        <w:rPr>
          <w:rFonts w:ascii="Arial" w:hAnsi="Arial" w:cs="Arial"/>
          <w:sz w:val="24"/>
          <w:szCs w:val="24"/>
          <w:lang w:val="en-US"/>
        </w:rPr>
      </w:pPr>
    </w:p>
    <w:p w:rsidR="00411A2A" w:rsidRPr="00AB3A8C" w:rsidRDefault="007F06A0" w:rsidP="009809F6">
      <w:pPr>
        <w:spacing w:after="0" w:line="360" w:lineRule="auto"/>
        <w:jc w:val="both"/>
        <w:rPr>
          <w:rFonts w:ascii="Arial" w:hAnsi="Arial" w:cs="Arial"/>
          <w:sz w:val="24"/>
          <w:szCs w:val="24"/>
          <w:lang w:val="en-US"/>
        </w:rPr>
      </w:pPr>
      <w:r w:rsidRPr="007F06A0">
        <w:rPr>
          <w:rFonts w:ascii="Arial" w:hAnsi="Arial" w:cs="Arial"/>
          <w:sz w:val="24"/>
          <w:szCs w:val="24"/>
          <w:lang w:val="en-US"/>
        </w:rPr>
        <w:t xml:space="preserve">Anaerobic digestion (AD) is a biotechnological process that enables the stabilization of waste meanwhile the organic matter is converted into methane-rich biogas. During AD more than 90% of the energy available for direct oxidation is transformed in methane and only 10% of the energy is consumed in bacterial growth (Kumar, 2008). AD process offers the possibility of recycling nutrients such as nitrogen and phosphorus contained in the effluent, which is feasible to apply as </w:t>
      </w:r>
      <w:proofErr w:type="spellStart"/>
      <w:r w:rsidRPr="007F06A0">
        <w:rPr>
          <w:rFonts w:ascii="Arial" w:hAnsi="Arial" w:cs="Arial"/>
          <w:sz w:val="24"/>
          <w:szCs w:val="24"/>
          <w:lang w:val="en-US"/>
        </w:rPr>
        <w:t>biofertilizers</w:t>
      </w:r>
      <w:proofErr w:type="spellEnd"/>
      <w:r w:rsidRPr="007F06A0">
        <w:rPr>
          <w:rFonts w:ascii="Arial" w:hAnsi="Arial" w:cs="Arial"/>
          <w:sz w:val="24"/>
          <w:szCs w:val="24"/>
          <w:lang w:val="en-US"/>
        </w:rPr>
        <w:t xml:space="preserve"> (Fernandez </w:t>
      </w:r>
      <w:r w:rsidRPr="007F06A0">
        <w:rPr>
          <w:rFonts w:ascii="Arial" w:hAnsi="Arial" w:cs="Arial"/>
          <w:i/>
          <w:sz w:val="24"/>
          <w:szCs w:val="24"/>
          <w:lang w:val="en-US"/>
        </w:rPr>
        <w:t>et al</w:t>
      </w:r>
      <w:r w:rsidRPr="007F06A0">
        <w:rPr>
          <w:rFonts w:ascii="Arial" w:hAnsi="Arial" w:cs="Arial"/>
          <w:sz w:val="24"/>
          <w:szCs w:val="24"/>
          <w:lang w:val="en-US"/>
        </w:rPr>
        <w:t xml:space="preserve">., 2008). Among the process advantages there are the reduction of environmental impact (odors and greenhouse gases emission), low by-products generation, not utilization of chemical compounds, low operational costs and positive energy balance (Ward </w:t>
      </w:r>
      <w:r w:rsidRPr="007F06A0">
        <w:rPr>
          <w:rFonts w:ascii="Arial" w:hAnsi="Arial" w:cs="Arial"/>
          <w:i/>
          <w:sz w:val="24"/>
          <w:szCs w:val="24"/>
          <w:lang w:val="en-US"/>
        </w:rPr>
        <w:t>et al</w:t>
      </w:r>
      <w:r w:rsidRPr="007F06A0">
        <w:rPr>
          <w:rFonts w:ascii="Arial" w:hAnsi="Arial" w:cs="Arial"/>
          <w:sz w:val="24"/>
          <w:szCs w:val="24"/>
          <w:lang w:val="en-US"/>
        </w:rPr>
        <w:t xml:space="preserve">., 2008). </w:t>
      </w:r>
    </w:p>
    <w:p w:rsidR="005E7C05" w:rsidRPr="00AB3A8C" w:rsidRDefault="005E7C05" w:rsidP="0076196A">
      <w:pPr>
        <w:spacing w:after="0" w:line="360" w:lineRule="auto"/>
        <w:jc w:val="both"/>
        <w:rPr>
          <w:rFonts w:ascii="Arial" w:hAnsi="Arial" w:cs="Arial"/>
          <w:sz w:val="24"/>
          <w:szCs w:val="24"/>
          <w:lang w:val="en-US"/>
        </w:rPr>
      </w:pPr>
    </w:p>
    <w:p w:rsidR="005E7C05" w:rsidRPr="00AB3A8C" w:rsidRDefault="007F06A0" w:rsidP="0076196A">
      <w:pPr>
        <w:spacing w:after="0" w:line="360" w:lineRule="auto"/>
        <w:jc w:val="both"/>
        <w:rPr>
          <w:rFonts w:ascii="Arial" w:hAnsi="Arial" w:cs="Arial"/>
          <w:sz w:val="24"/>
          <w:szCs w:val="24"/>
          <w:lang w:val="en-US"/>
        </w:rPr>
      </w:pPr>
      <w:r w:rsidRPr="007F06A0">
        <w:rPr>
          <w:rFonts w:ascii="Arial" w:hAnsi="Arial" w:cs="Arial"/>
          <w:sz w:val="24"/>
          <w:szCs w:val="24"/>
          <w:lang w:val="en-US"/>
        </w:rPr>
        <w:t xml:space="preserve">Recently,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CM have increased its attractiveness as substrate for anaerobic digestion due to their high available and easy degradable organic matter (</w:t>
      </w:r>
      <w:proofErr w:type="spellStart"/>
      <w:r w:rsidRPr="007F06A0">
        <w:rPr>
          <w:rFonts w:ascii="Arial" w:hAnsi="Arial" w:cs="Arial"/>
          <w:sz w:val="24"/>
          <w:szCs w:val="24"/>
          <w:lang w:val="en-US"/>
        </w:rPr>
        <w:t>Moraes</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2015; Nui </w:t>
      </w:r>
      <w:r w:rsidRPr="007F06A0">
        <w:rPr>
          <w:rFonts w:ascii="Arial" w:hAnsi="Arial" w:cs="Arial"/>
          <w:i/>
          <w:sz w:val="24"/>
          <w:szCs w:val="24"/>
          <w:lang w:val="en-US"/>
        </w:rPr>
        <w:t>et al</w:t>
      </w:r>
      <w:r w:rsidRPr="007F06A0">
        <w:rPr>
          <w:rFonts w:ascii="Arial" w:hAnsi="Arial" w:cs="Arial"/>
          <w:sz w:val="24"/>
          <w:szCs w:val="24"/>
          <w:lang w:val="en-US"/>
        </w:rPr>
        <w:t xml:space="preserve">., 2013). However, inherent drawbacks during anaerobic mono digestion involve operations with high hydraulic retention time that is economically unfeasible for industrial application (Li </w:t>
      </w:r>
      <w:r w:rsidRPr="007F06A0">
        <w:rPr>
          <w:rFonts w:ascii="Arial" w:hAnsi="Arial" w:cs="Arial"/>
          <w:i/>
          <w:sz w:val="24"/>
          <w:szCs w:val="24"/>
          <w:lang w:val="en-US"/>
        </w:rPr>
        <w:t>et al</w:t>
      </w:r>
      <w:r w:rsidRPr="007F06A0">
        <w:rPr>
          <w:rFonts w:ascii="Arial" w:hAnsi="Arial" w:cs="Arial"/>
          <w:sz w:val="24"/>
          <w:szCs w:val="24"/>
          <w:lang w:val="en-US"/>
        </w:rPr>
        <w:t xml:space="preserve">., 2014). Researches on AD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reveal drastic pH drop during the startup of the process (</w:t>
      </w:r>
      <w:proofErr w:type="spellStart"/>
      <w:r w:rsidRPr="007F06A0">
        <w:rPr>
          <w:rFonts w:ascii="Arial" w:hAnsi="Arial" w:cs="Arial"/>
          <w:sz w:val="24"/>
          <w:szCs w:val="24"/>
          <w:lang w:val="en-US"/>
        </w:rPr>
        <w:t>Syaichurrozi</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2013), pH shifts are correlated with volatile fatty acids (VFA) </w:t>
      </w:r>
      <w:r w:rsidRPr="007F06A0">
        <w:rPr>
          <w:rFonts w:ascii="Arial" w:hAnsi="Arial" w:cs="Arial"/>
          <w:sz w:val="24"/>
          <w:szCs w:val="24"/>
          <w:lang w:val="en-US"/>
        </w:rPr>
        <w:lastRenderedPageBreak/>
        <w:t xml:space="preserve">concentrations and depends on buffering capacity of the system. Moreover, drastic changes on pH affect directly the microbial population growth for </w:t>
      </w:r>
      <w:proofErr w:type="spellStart"/>
      <w:r w:rsidRPr="007F06A0">
        <w:rPr>
          <w:rFonts w:ascii="Arial" w:hAnsi="Arial" w:cs="Arial"/>
          <w:sz w:val="24"/>
          <w:szCs w:val="24"/>
          <w:lang w:val="en-US"/>
        </w:rPr>
        <w:t>methanogens</w:t>
      </w:r>
      <w:proofErr w:type="spellEnd"/>
      <w:r w:rsidRPr="007F06A0">
        <w:rPr>
          <w:rFonts w:ascii="Arial" w:hAnsi="Arial" w:cs="Arial"/>
          <w:sz w:val="24"/>
          <w:szCs w:val="24"/>
          <w:lang w:val="en-US"/>
        </w:rPr>
        <w:t xml:space="preserve"> and decreases methane yield (Espinoza-Escalante </w:t>
      </w:r>
      <w:r w:rsidRPr="007F06A0">
        <w:rPr>
          <w:rFonts w:ascii="Arial" w:hAnsi="Arial" w:cs="Arial"/>
          <w:i/>
          <w:sz w:val="24"/>
          <w:szCs w:val="24"/>
          <w:lang w:val="en-US"/>
        </w:rPr>
        <w:t>et al</w:t>
      </w:r>
      <w:r w:rsidRPr="007F06A0">
        <w:rPr>
          <w:rFonts w:ascii="Arial" w:hAnsi="Arial" w:cs="Arial"/>
          <w:sz w:val="24"/>
          <w:szCs w:val="24"/>
          <w:lang w:val="en-US"/>
        </w:rPr>
        <w:t xml:space="preserve">., 2009). In other hands, CM is a high nitrogen content organic waste. The main source of nitrogen on CM is its high content of proteins, which </w:t>
      </w:r>
      <w:proofErr w:type="spellStart"/>
      <w:r w:rsidRPr="007F06A0">
        <w:rPr>
          <w:rFonts w:ascii="Arial" w:hAnsi="Arial" w:cs="Arial"/>
          <w:sz w:val="24"/>
          <w:szCs w:val="24"/>
          <w:lang w:val="en-US"/>
        </w:rPr>
        <w:t>anaerobically</w:t>
      </w:r>
      <w:proofErr w:type="spellEnd"/>
      <w:r w:rsidRPr="007F06A0">
        <w:rPr>
          <w:rFonts w:ascii="Arial" w:hAnsi="Arial" w:cs="Arial"/>
          <w:sz w:val="24"/>
          <w:szCs w:val="24"/>
          <w:lang w:val="en-US"/>
        </w:rPr>
        <w:t xml:space="preserve"> degraded into ammonia (Li </w:t>
      </w:r>
      <w:r w:rsidRPr="007F06A0">
        <w:rPr>
          <w:rFonts w:ascii="Arial" w:hAnsi="Arial" w:cs="Arial"/>
          <w:i/>
          <w:sz w:val="24"/>
          <w:szCs w:val="24"/>
          <w:lang w:val="en-US"/>
        </w:rPr>
        <w:t>et al</w:t>
      </w:r>
      <w:r w:rsidRPr="007F06A0">
        <w:rPr>
          <w:rFonts w:ascii="Arial" w:hAnsi="Arial" w:cs="Arial"/>
          <w:sz w:val="24"/>
          <w:szCs w:val="24"/>
          <w:lang w:val="en-US"/>
        </w:rPr>
        <w:t xml:space="preserve">., 2013). Total ammonia nitrogen concentrations (TAN), over 2-4 g/L (Wang </w:t>
      </w:r>
      <w:r w:rsidRPr="007F06A0">
        <w:rPr>
          <w:rFonts w:ascii="Arial" w:hAnsi="Arial" w:cs="Arial"/>
          <w:i/>
          <w:sz w:val="24"/>
          <w:szCs w:val="24"/>
          <w:lang w:val="en-US"/>
        </w:rPr>
        <w:t>et al</w:t>
      </w:r>
      <w:r w:rsidRPr="007F06A0">
        <w:rPr>
          <w:rFonts w:ascii="Arial" w:hAnsi="Arial" w:cs="Arial"/>
          <w:sz w:val="24"/>
          <w:szCs w:val="24"/>
          <w:lang w:val="en-US"/>
        </w:rPr>
        <w:t xml:space="preserve">., 2014), reduce the population of </w:t>
      </w:r>
      <w:proofErr w:type="spellStart"/>
      <w:r w:rsidRPr="007F06A0">
        <w:rPr>
          <w:rFonts w:ascii="Arial" w:hAnsi="Arial" w:cs="Arial"/>
          <w:sz w:val="24"/>
          <w:szCs w:val="24"/>
          <w:lang w:val="en-US"/>
        </w:rPr>
        <w:t>methanogens</w:t>
      </w:r>
      <w:proofErr w:type="spellEnd"/>
      <w:r w:rsidRPr="007F06A0">
        <w:rPr>
          <w:rFonts w:ascii="Arial" w:hAnsi="Arial" w:cs="Arial"/>
          <w:sz w:val="24"/>
          <w:szCs w:val="24"/>
          <w:lang w:val="en-US"/>
        </w:rPr>
        <w:t xml:space="preserve"> and generate volatile fatty acids (VFA) accumulation (Nui </w:t>
      </w:r>
      <w:r w:rsidRPr="007F06A0">
        <w:rPr>
          <w:rFonts w:ascii="Arial" w:hAnsi="Arial" w:cs="Arial"/>
          <w:i/>
          <w:sz w:val="24"/>
          <w:szCs w:val="24"/>
          <w:lang w:val="en-US"/>
        </w:rPr>
        <w:t>et al</w:t>
      </w:r>
      <w:r w:rsidRPr="007F06A0">
        <w:rPr>
          <w:rFonts w:ascii="Arial" w:hAnsi="Arial" w:cs="Arial"/>
          <w:sz w:val="24"/>
          <w:szCs w:val="24"/>
          <w:lang w:val="en-US"/>
        </w:rPr>
        <w:t xml:space="preserve">., 2013). Consequently, it is presented a dynamic equilibrium between VFA and TAN known as a pseudo-steady state where the process operates at steady state but with low methane production (Lu </w:t>
      </w:r>
      <w:r w:rsidRPr="007F06A0">
        <w:rPr>
          <w:rFonts w:ascii="Arial" w:hAnsi="Arial" w:cs="Arial"/>
          <w:i/>
          <w:sz w:val="24"/>
          <w:szCs w:val="24"/>
          <w:lang w:val="en-US"/>
        </w:rPr>
        <w:t>et al.</w:t>
      </w:r>
      <w:r w:rsidRPr="007F06A0">
        <w:rPr>
          <w:rFonts w:ascii="Arial" w:hAnsi="Arial" w:cs="Arial"/>
          <w:sz w:val="24"/>
          <w:szCs w:val="24"/>
          <w:lang w:val="en-US"/>
        </w:rPr>
        <w:t>, 2013).</w:t>
      </w:r>
    </w:p>
    <w:p w:rsidR="00AA0FEC" w:rsidRPr="00AB3A8C" w:rsidRDefault="00AA0FEC" w:rsidP="0076196A">
      <w:pPr>
        <w:spacing w:after="0" w:line="360" w:lineRule="auto"/>
        <w:jc w:val="both"/>
        <w:rPr>
          <w:rFonts w:ascii="Arial" w:hAnsi="Arial" w:cs="Arial"/>
          <w:sz w:val="24"/>
          <w:szCs w:val="24"/>
          <w:lang w:val="en-US"/>
        </w:rPr>
      </w:pPr>
    </w:p>
    <w:p w:rsidR="003904A7"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Anaerobic co digestion (</w:t>
      </w:r>
      <w:proofErr w:type="spellStart"/>
      <w:r w:rsidRPr="007F06A0">
        <w:rPr>
          <w:rFonts w:ascii="Arial" w:hAnsi="Arial" w:cs="Arial"/>
          <w:sz w:val="24"/>
          <w:szCs w:val="24"/>
          <w:lang w:val="en-US"/>
        </w:rPr>
        <w:t>AcoD</w:t>
      </w:r>
      <w:proofErr w:type="spellEnd"/>
      <w:r w:rsidRPr="007F06A0">
        <w:rPr>
          <w:rFonts w:ascii="Arial" w:hAnsi="Arial" w:cs="Arial"/>
          <w:sz w:val="24"/>
          <w:szCs w:val="24"/>
          <w:lang w:val="en-US"/>
        </w:rPr>
        <w:t xml:space="preserve">), the simultaneous AD of two or more substrates, is a feasible option to overcome the drawbacks of mono-digestion as well to improve the plant economic feasibility due to higher methane production (Mata-Alvarez </w:t>
      </w:r>
      <w:r w:rsidRPr="007F06A0">
        <w:rPr>
          <w:rFonts w:ascii="Arial" w:hAnsi="Arial" w:cs="Arial"/>
          <w:i/>
          <w:sz w:val="24"/>
          <w:szCs w:val="24"/>
          <w:lang w:val="en-US"/>
        </w:rPr>
        <w:t>et al</w:t>
      </w:r>
      <w:r w:rsidRPr="007F06A0">
        <w:rPr>
          <w:rFonts w:ascii="Arial" w:hAnsi="Arial" w:cs="Arial"/>
          <w:sz w:val="24"/>
          <w:szCs w:val="24"/>
          <w:lang w:val="en-US"/>
        </w:rPr>
        <w:t>., 2014). This variant of AD consists on mixing two or more substrates with complementary characteristics for combined treatment (</w:t>
      </w:r>
      <w:proofErr w:type="spellStart"/>
      <w:r w:rsidRPr="007F06A0">
        <w:rPr>
          <w:rFonts w:ascii="Arial" w:hAnsi="Arial" w:cs="Arial"/>
          <w:sz w:val="24"/>
          <w:szCs w:val="24"/>
          <w:lang w:val="en-US"/>
        </w:rPr>
        <w:t>Astals</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2014). </w:t>
      </w:r>
      <w:proofErr w:type="spellStart"/>
      <w:r w:rsidRPr="007F06A0">
        <w:rPr>
          <w:rFonts w:ascii="Arial" w:hAnsi="Arial" w:cs="Arial"/>
          <w:sz w:val="24"/>
          <w:szCs w:val="24"/>
          <w:lang w:val="en-US"/>
        </w:rPr>
        <w:t>AcoD</w:t>
      </w:r>
      <w:proofErr w:type="spellEnd"/>
      <w:r w:rsidRPr="007F06A0">
        <w:rPr>
          <w:rFonts w:ascii="Arial" w:hAnsi="Arial" w:cs="Arial"/>
          <w:sz w:val="24"/>
          <w:szCs w:val="24"/>
          <w:lang w:val="en-US"/>
        </w:rPr>
        <w:t xml:space="preserve"> is known as a feasible solution to overcome inhibitions and improve process performance due to better carbon availability, nutrient balance and buffering capacity (Wang </w:t>
      </w:r>
      <w:r w:rsidRPr="007F06A0">
        <w:rPr>
          <w:rFonts w:ascii="Arial" w:hAnsi="Arial" w:cs="Arial"/>
          <w:i/>
          <w:sz w:val="24"/>
          <w:szCs w:val="24"/>
          <w:lang w:val="en-US"/>
        </w:rPr>
        <w:t>et al.,</w:t>
      </w:r>
      <w:r w:rsidRPr="007F06A0">
        <w:rPr>
          <w:rFonts w:ascii="Arial" w:hAnsi="Arial" w:cs="Arial"/>
          <w:sz w:val="24"/>
          <w:szCs w:val="24"/>
          <w:lang w:val="en-US"/>
        </w:rPr>
        <w:t xml:space="preserve"> 2014).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CM </w:t>
      </w:r>
      <w:proofErr w:type="gramStart"/>
      <w:r w:rsidRPr="007F06A0">
        <w:rPr>
          <w:rFonts w:ascii="Arial" w:hAnsi="Arial" w:cs="Arial"/>
          <w:sz w:val="24"/>
          <w:szCs w:val="24"/>
          <w:lang w:val="en-US"/>
        </w:rPr>
        <w:t>are</w:t>
      </w:r>
      <w:proofErr w:type="gramEnd"/>
      <w:r w:rsidRPr="007F06A0">
        <w:rPr>
          <w:rFonts w:ascii="Arial" w:hAnsi="Arial" w:cs="Arial"/>
          <w:sz w:val="24"/>
          <w:szCs w:val="24"/>
          <w:lang w:val="en-US"/>
        </w:rPr>
        <w:t xml:space="preserve"> potential candidate for </w:t>
      </w:r>
      <w:proofErr w:type="spellStart"/>
      <w:r w:rsidRPr="007F06A0">
        <w:rPr>
          <w:rFonts w:ascii="Arial" w:hAnsi="Arial" w:cs="Arial"/>
          <w:sz w:val="24"/>
          <w:szCs w:val="24"/>
          <w:lang w:val="en-US"/>
        </w:rPr>
        <w:t>cotreatment</w:t>
      </w:r>
      <w:proofErr w:type="spellEnd"/>
      <w:r w:rsidRPr="007F06A0">
        <w:rPr>
          <w:rFonts w:ascii="Arial" w:hAnsi="Arial" w:cs="Arial"/>
          <w:sz w:val="24"/>
          <w:szCs w:val="24"/>
          <w:lang w:val="en-US"/>
        </w:rPr>
        <w:t>. CM provides (</w:t>
      </w:r>
      <w:proofErr w:type="spellStart"/>
      <w:r w:rsidRPr="007F06A0">
        <w:rPr>
          <w:rFonts w:ascii="Arial" w:hAnsi="Arial" w:cs="Arial"/>
          <w:sz w:val="24"/>
          <w:szCs w:val="24"/>
          <w:lang w:val="en-US"/>
        </w:rPr>
        <w:t>i</w:t>
      </w:r>
      <w:proofErr w:type="spellEnd"/>
      <w:r w:rsidRPr="007F06A0">
        <w:rPr>
          <w:rFonts w:ascii="Arial" w:hAnsi="Arial" w:cs="Arial"/>
          <w:sz w:val="24"/>
          <w:szCs w:val="24"/>
          <w:lang w:val="en-US"/>
        </w:rPr>
        <w:t xml:space="preserve">) alkalinity and (ii) macro and micro nutrients (Marin-Batista </w:t>
      </w:r>
      <w:r w:rsidRPr="007F06A0">
        <w:rPr>
          <w:rFonts w:ascii="Arial" w:hAnsi="Arial" w:cs="Arial"/>
          <w:i/>
          <w:sz w:val="24"/>
          <w:szCs w:val="24"/>
          <w:lang w:val="en-US"/>
        </w:rPr>
        <w:t>et al</w:t>
      </w:r>
      <w:r w:rsidRPr="007F06A0">
        <w:rPr>
          <w:rFonts w:ascii="Arial" w:hAnsi="Arial" w:cs="Arial"/>
          <w:sz w:val="24"/>
          <w:szCs w:val="24"/>
          <w:lang w:val="en-US"/>
        </w:rPr>
        <w:t xml:space="preserve">., 2015) fostering pH buffering systems meanwhile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can help to dilute ammonia nitrogen accumulated by CM digestion. </w:t>
      </w:r>
    </w:p>
    <w:p w:rsidR="003D3E99"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 xml:space="preserve">This study aimed to evaluate synergistic effect of chicken manure (high nitrogen content) and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(high carbon content) during anaerobic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Both substrates proceed from Colombia agro industry and its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will work as energy-recovery and nutrients approach as part of the ethanol production chain.</w:t>
      </w:r>
    </w:p>
    <w:p w:rsidR="0068785D" w:rsidRPr="00AB3A8C" w:rsidRDefault="0068785D" w:rsidP="0076196A">
      <w:pPr>
        <w:tabs>
          <w:tab w:val="left" w:pos="2290"/>
        </w:tabs>
        <w:spacing w:after="0" w:line="360" w:lineRule="auto"/>
        <w:jc w:val="both"/>
        <w:rPr>
          <w:rFonts w:ascii="Arial" w:hAnsi="Arial" w:cs="Arial"/>
          <w:b/>
          <w:sz w:val="24"/>
          <w:szCs w:val="24"/>
          <w:lang w:val="en-US"/>
        </w:rPr>
      </w:pPr>
    </w:p>
    <w:p w:rsidR="00E01C98" w:rsidRPr="00AB3A8C" w:rsidRDefault="007F06A0">
      <w:pPr>
        <w:tabs>
          <w:tab w:val="left" w:pos="2290"/>
        </w:tabs>
        <w:spacing w:after="0" w:line="360" w:lineRule="auto"/>
        <w:jc w:val="both"/>
        <w:rPr>
          <w:rFonts w:ascii="Arial" w:hAnsi="Arial" w:cs="Arial"/>
          <w:b/>
          <w:sz w:val="24"/>
          <w:szCs w:val="24"/>
          <w:lang w:val="en-US"/>
        </w:rPr>
      </w:pPr>
      <w:r w:rsidRPr="007F06A0">
        <w:rPr>
          <w:rFonts w:ascii="Arial" w:hAnsi="Arial" w:cs="Arial"/>
          <w:b/>
          <w:sz w:val="24"/>
          <w:szCs w:val="24"/>
          <w:lang w:val="en-US"/>
        </w:rPr>
        <w:t>Material and Methods</w:t>
      </w:r>
    </w:p>
    <w:p w:rsidR="00E01C98" w:rsidRPr="00AB3A8C" w:rsidRDefault="007F06A0">
      <w:pPr>
        <w:tabs>
          <w:tab w:val="left" w:pos="2290"/>
        </w:tabs>
        <w:spacing w:line="360" w:lineRule="auto"/>
        <w:jc w:val="both"/>
        <w:rPr>
          <w:rFonts w:ascii="Arial" w:hAnsi="Arial" w:cs="Arial"/>
          <w:sz w:val="24"/>
          <w:szCs w:val="24"/>
          <w:lang w:val="en-US"/>
        </w:rPr>
      </w:pPr>
      <w:r w:rsidRPr="007F06A0">
        <w:rPr>
          <w:rFonts w:ascii="Arial" w:hAnsi="Arial" w:cs="Arial"/>
          <w:i/>
          <w:sz w:val="24"/>
          <w:szCs w:val="24"/>
          <w:lang w:val="en-US"/>
        </w:rPr>
        <w:t xml:space="preserve">Substrates and </w:t>
      </w:r>
      <w:proofErr w:type="spellStart"/>
      <w:r w:rsidRPr="007F06A0">
        <w:rPr>
          <w:rFonts w:ascii="Arial" w:hAnsi="Arial" w:cs="Arial"/>
          <w:i/>
          <w:sz w:val="24"/>
          <w:szCs w:val="24"/>
          <w:lang w:val="en-US"/>
        </w:rPr>
        <w:t>inoculum</w:t>
      </w:r>
      <w:proofErr w:type="spellEnd"/>
    </w:p>
    <w:p w:rsidR="00651FD3" w:rsidRPr="00AB3A8C" w:rsidRDefault="007F06A0" w:rsidP="0076196A">
      <w:pPr>
        <w:autoSpaceDE w:val="0"/>
        <w:autoSpaceDN w:val="0"/>
        <w:adjustRightInd w:val="0"/>
        <w:spacing w:after="0" w:line="360" w:lineRule="auto"/>
        <w:jc w:val="both"/>
        <w:rPr>
          <w:rFonts w:ascii="Arial" w:hAnsi="Arial" w:cs="Arial"/>
          <w:sz w:val="24"/>
          <w:szCs w:val="24"/>
          <w:lang w:val="en-US"/>
        </w:rPr>
      </w:pPr>
      <w:proofErr w:type="spellStart"/>
      <w:r w:rsidRPr="007F06A0">
        <w:rPr>
          <w:rFonts w:ascii="Arial" w:hAnsi="Arial" w:cs="Arial"/>
          <w:sz w:val="24"/>
          <w:szCs w:val="24"/>
          <w:lang w:val="en-US"/>
        </w:rPr>
        <w:lastRenderedPageBreak/>
        <w:t>Vinasse</w:t>
      </w:r>
      <w:proofErr w:type="spellEnd"/>
      <w:r w:rsidRPr="007F06A0">
        <w:rPr>
          <w:rFonts w:ascii="Arial" w:hAnsi="Arial" w:cs="Arial"/>
          <w:sz w:val="24"/>
          <w:szCs w:val="24"/>
          <w:lang w:val="en-US"/>
        </w:rPr>
        <w:t xml:space="preserve"> utilized in this study was produced following the most widely used steps in Colombian factories (Quintero </w:t>
      </w:r>
      <w:r w:rsidRPr="007F06A0">
        <w:rPr>
          <w:rFonts w:ascii="Arial" w:hAnsi="Arial" w:cs="Arial"/>
          <w:i/>
          <w:sz w:val="24"/>
          <w:szCs w:val="24"/>
          <w:lang w:val="en-US"/>
        </w:rPr>
        <w:t>et al</w:t>
      </w:r>
      <w:r w:rsidRPr="007F06A0">
        <w:rPr>
          <w:rFonts w:ascii="Arial" w:hAnsi="Arial" w:cs="Arial"/>
          <w:sz w:val="24"/>
          <w:szCs w:val="24"/>
          <w:lang w:val="en-US"/>
        </w:rPr>
        <w:t xml:space="preserve">., 2008).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production consisted on two stages: </w:t>
      </w:r>
      <w:proofErr w:type="spellStart"/>
      <w:r w:rsidRPr="007F06A0">
        <w:rPr>
          <w:rFonts w:ascii="Arial" w:hAnsi="Arial" w:cs="Arial"/>
          <w:sz w:val="24"/>
          <w:szCs w:val="24"/>
          <w:lang w:val="en-US"/>
        </w:rPr>
        <w:t>i</w:t>
      </w:r>
      <w:proofErr w:type="spellEnd"/>
      <w:r w:rsidRPr="007F06A0">
        <w:rPr>
          <w:rFonts w:ascii="Arial" w:hAnsi="Arial" w:cs="Arial"/>
          <w:sz w:val="24"/>
          <w:szCs w:val="24"/>
          <w:lang w:val="en-US"/>
        </w:rPr>
        <w:t>) sugarcane molasses fermentation and ii) alcohol separation. For sugarcane molasses fermentation were used molasses obtained from an agricultural inputs establishment. Previous fermentation molasses was diluted until 30°brix (300g of sucrose per liter), percentage (w/v) of soluble solids (</w:t>
      </w:r>
      <w:proofErr w:type="spellStart"/>
      <w:r w:rsidRPr="007F06A0">
        <w:rPr>
          <w:rFonts w:ascii="Arial" w:hAnsi="Arial" w:cs="Arial"/>
          <w:sz w:val="24"/>
          <w:szCs w:val="24"/>
          <w:lang w:val="en-US"/>
        </w:rPr>
        <w:t>Brix</w:t>
      </w:r>
      <w:proofErr w:type="spellEnd"/>
      <w:r w:rsidRPr="007F06A0">
        <w:rPr>
          <w:rFonts w:ascii="Arial" w:hAnsi="Arial" w:cs="Arial"/>
          <w:sz w:val="24"/>
          <w:szCs w:val="24"/>
          <w:lang w:val="en-US"/>
        </w:rPr>
        <w:t xml:space="preserve">) was determined with a portable </w:t>
      </w:r>
      <w:proofErr w:type="spellStart"/>
      <w:r w:rsidRPr="007F06A0">
        <w:rPr>
          <w:rFonts w:ascii="Arial" w:hAnsi="Arial" w:cs="Arial"/>
          <w:sz w:val="24"/>
          <w:szCs w:val="24"/>
          <w:lang w:val="en-US"/>
        </w:rPr>
        <w:t>refractometer</w:t>
      </w:r>
      <w:proofErr w:type="spellEnd"/>
      <w:r w:rsidRPr="007F06A0">
        <w:rPr>
          <w:rFonts w:ascii="Arial" w:hAnsi="Arial" w:cs="Arial"/>
          <w:sz w:val="24"/>
          <w:szCs w:val="24"/>
          <w:lang w:val="en-US"/>
        </w:rPr>
        <w:t xml:space="preserve"> for sugar – </w:t>
      </w:r>
      <w:proofErr w:type="spellStart"/>
      <w:r w:rsidRPr="007F06A0">
        <w:rPr>
          <w:rFonts w:ascii="Arial" w:hAnsi="Arial" w:cs="Arial"/>
          <w:sz w:val="24"/>
          <w:szCs w:val="24"/>
          <w:lang w:val="en-US"/>
        </w:rPr>
        <w:t>Brixco</w:t>
      </w:r>
      <w:proofErr w:type="spellEnd"/>
      <w:r w:rsidRPr="007F06A0">
        <w:rPr>
          <w:rFonts w:ascii="Arial" w:hAnsi="Arial" w:cs="Arial"/>
          <w:sz w:val="24"/>
          <w:szCs w:val="24"/>
          <w:lang w:val="en-US"/>
        </w:rPr>
        <w:t xml:space="preserve"> (0-80% ATC). Fermentation was carried out on batch mode using 80 L tank at environmental conditions (26±2°C and 0.98 </w:t>
      </w:r>
      <w:proofErr w:type="spellStart"/>
      <w:r w:rsidRPr="007F06A0">
        <w:rPr>
          <w:rFonts w:ascii="Arial" w:hAnsi="Arial" w:cs="Arial"/>
          <w:sz w:val="24"/>
          <w:szCs w:val="24"/>
          <w:lang w:val="en-US"/>
        </w:rPr>
        <w:t>atm</w:t>
      </w:r>
      <w:proofErr w:type="spellEnd"/>
      <w:r w:rsidRPr="007F06A0">
        <w:rPr>
          <w:rFonts w:ascii="Arial" w:hAnsi="Arial" w:cs="Arial"/>
          <w:sz w:val="24"/>
          <w:szCs w:val="24"/>
          <w:lang w:val="en-US"/>
        </w:rPr>
        <w:t xml:space="preserve">). The tank was loaded with the molasses juice until 70% of its total capacity. The yeast used for fermentation stage corresponded to strain of </w:t>
      </w:r>
      <w:proofErr w:type="spellStart"/>
      <w:r w:rsidRPr="007F06A0">
        <w:rPr>
          <w:rFonts w:ascii="Arial" w:hAnsi="Arial" w:cs="Arial"/>
          <w:i/>
          <w:sz w:val="24"/>
          <w:szCs w:val="24"/>
          <w:lang w:val="en-US"/>
        </w:rPr>
        <w:t>Saccharomyces</w:t>
      </w:r>
      <w:proofErr w:type="spellEnd"/>
      <w:r w:rsidRPr="007F06A0">
        <w:rPr>
          <w:rFonts w:ascii="Arial" w:hAnsi="Arial" w:cs="Arial"/>
          <w:i/>
          <w:sz w:val="24"/>
          <w:szCs w:val="24"/>
          <w:lang w:val="en-US"/>
        </w:rPr>
        <w:t xml:space="preserve"> </w:t>
      </w:r>
      <w:proofErr w:type="spellStart"/>
      <w:r w:rsidRPr="007F06A0">
        <w:rPr>
          <w:rFonts w:ascii="Arial" w:hAnsi="Arial" w:cs="Arial"/>
          <w:i/>
          <w:sz w:val="24"/>
          <w:szCs w:val="24"/>
          <w:lang w:val="en-US"/>
        </w:rPr>
        <w:t>cerevisiae</w:t>
      </w:r>
      <w:proofErr w:type="spellEnd"/>
      <w:r w:rsidRPr="007F06A0">
        <w:rPr>
          <w:rFonts w:ascii="Arial" w:hAnsi="Arial" w:cs="Arial"/>
          <w:sz w:val="24"/>
          <w:szCs w:val="24"/>
          <w:lang w:val="en-US"/>
        </w:rPr>
        <w:t xml:space="preserve"> named </w:t>
      </w:r>
      <w:r w:rsidRPr="007F06A0">
        <w:rPr>
          <w:rFonts w:ascii="Arial" w:hAnsi="Arial" w:cs="Arial"/>
          <w:i/>
          <w:sz w:val="24"/>
          <w:szCs w:val="24"/>
          <w:lang w:val="en-US"/>
        </w:rPr>
        <w:t xml:space="preserve">S. </w:t>
      </w:r>
      <w:proofErr w:type="spellStart"/>
      <w:r w:rsidRPr="007F06A0">
        <w:rPr>
          <w:rFonts w:ascii="Arial" w:hAnsi="Arial" w:cs="Arial"/>
          <w:i/>
          <w:sz w:val="24"/>
          <w:szCs w:val="24"/>
          <w:lang w:val="en-US"/>
        </w:rPr>
        <w:t>cerevisiae</w:t>
      </w:r>
      <w:proofErr w:type="spellEnd"/>
      <w:r w:rsidRPr="007F06A0">
        <w:rPr>
          <w:rFonts w:ascii="Arial" w:hAnsi="Arial" w:cs="Arial"/>
          <w:sz w:val="24"/>
          <w:szCs w:val="24"/>
          <w:lang w:val="en-US"/>
        </w:rPr>
        <w:t xml:space="preserve"> LPB. </w:t>
      </w:r>
      <w:proofErr w:type="gramStart"/>
      <w:r w:rsidRPr="007F06A0">
        <w:rPr>
          <w:rFonts w:ascii="Arial" w:hAnsi="Arial" w:cs="Arial"/>
          <w:sz w:val="24"/>
          <w:szCs w:val="24"/>
          <w:lang w:val="en-US"/>
        </w:rPr>
        <w:t>pH</w:t>
      </w:r>
      <w:proofErr w:type="gramEnd"/>
      <w:r w:rsidRPr="007F06A0">
        <w:rPr>
          <w:rFonts w:ascii="Arial" w:hAnsi="Arial" w:cs="Arial"/>
          <w:sz w:val="24"/>
          <w:szCs w:val="24"/>
          <w:lang w:val="en-US"/>
        </w:rPr>
        <w:t xml:space="preserve"> and additional supplementary nutrients such as magnesium (MgSO</w:t>
      </w:r>
      <w:r w:rsidRPr="007F06A0">
        <w:rPr>
          <w:rFonts w:ascii="Arial" w:hAnsi="Arial" w:cs="Arial"/>
          <w:sz w:val="24"/>
          <w:szCs w:val="24"/>
          <w:vertAlign w:val="subscript"/>
          <w:lang w:val="en-US"/>
        </w:rPr>
        <w:t>4ˑ</w:t>
      </w:r>
      <w:r w:rsidRPr="007F06A0">
        <w:rPr>
          <w:rFonts w:ascii="Arial" w:hAnsi="Arial" w:cs="Arial"/>
          <w:sz w:val="24"/>
          <w:szCs w:val="24"/>
          <w:lang w:val="en-US"/>
        </w:rPr>
        <w:t>7H</w:t>
      </w:r>
      <w:r w:rsidRPr="007F06A0">
        <w:rPr>
          <w:rFonts w:ascii="Arial" w:hAnsi="Arial" w:cs="Arial"/>
          <w:sz w:val="24"/>
          <w:szCs w:val="24"/>
          <w:vertAlign w:val="subscript"/>
          <w:lang w:val="en-US"/>
        </w:rPr>
        <w:t>2</w:t>
      </w:r>
      <w:r w:rsidRPr="007F06A0">
        <w:rPr>
          <w:rFonts w:ascii="Arial" w:hAnsi="Arial" w:cs="Arial"/>
          <w:sz w:val="24"/>
          <w:szCs w:val="24"/>
          <w:lang w:val="en-US"/>
        </w:rPr>
        <w:t>O) and nitrogen (NH</w:t>
      </w:r>
      <w:r w:rsidRPr="007F06A0">
        <w:rPr>
          <w:rFonts w:ascii="Arial" w:hAnsi="Arial" w:cs="Arial"/>
          <w:sz w:val="24"/>
          <w:szCs w:val="24"/>
          <w:vertAlign w:val="subscript"/>
          <w:lang w:val="en-US"/>
        </w:rPr>
        <w:t>4</w:t>
      </w:r>
      <w:r w:rsidRPr="007F06A0">
        <w:rPr>
          <w:rFonts w:ascii="Arial" w:hAnsi="Arial" w:cs="Arial"/>
          <w:sz w:val="24"/>
          <w:szCs w:val="24"/>
          <w:lang w:val="en-US"/>
        </w:rPr>
        <w:t>NO</w:t>
      </w:r>
      <w:r w:rsidRPr="007F06A0">
        <w:rPr>
          <w:rFonts w:ascii="Arial" w:hAnsi="Arial" w:cs="Arial"/>
          <w:sz w:val="24"/>
          <w:szCs w:val="24"/>
          <w:vertAlign w:val="subscript"/>
          <w:lang w:val="en-US"/>
        </w:rPr>
        <w:t>3</w:t>
      </w:r>
      <w:r w:rsidRPr="007F06A0">
        <w:rPr>
          <w:rFonts w:ascii="Arial" w:hAnsi="Arial" w:cs="Arial"/>
          <w:sz w:val="24"/>
          <w:szCs w:val="24"/>
          <w:lang w:val="en-US"/>
        </w:rPr>
        <w:t xml:space="preserve">) were conducted as recommended by </w:t>
      </w:r>
      <w:proofErr w:type="spellStart"/>
      <w:r w:rsidRPr="007F06A0">
        <w:rPr>
          <w:rFonts w:ascii="Arial" w:hAnsi="Arial" w:cs="Arial"/>
          <w:sz w:val="24"/>
          <w:szCs w:val="24"/>
          <w:lang w:val="en-US"/>
        </w:rPr>
        <w:t>Siqueira</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(2008). Fermentation was ended when CO</w:t>
      </w:r>
      <w:r w:rsidRPr="007F06A0">
        <w:rPr>
          <w:rFonts w:ascii="Arial" w:hAnsi="Arial" w:cs="Arial"/>
          <w:sz w:val="24"/>
          <w:szCs w:val="24"/>
          <w:vertAlign w:val="subscript"/>
          <w:lang w:val="en-US"/>
        </w:rPr>
        <w:t>2</w:t>
      </w:r>
      <w:r w:rsidRPr="007F06A0">
        <w:rPr>
          <w:rFonts w:ascii="Arial" w:hAnsi="Arial" w:cs="Arial"/>
          <w:sz w:val="24"/>
          <w:szCs w:val="24"/>
          <w:lang w:val="en-US"/>
        </w:rPr>
        <w:t xml:space="preserve"> liberation finished (20 days of visual observation) (</w:t>
      </w:r>
      <w:proofErr w:type="spellStart"/>
      <w:r w:rsidRPr="007F06A0">
        <w:rPr>
          <w:rFonts w:ascii="Arial" w:hAnsi="Arial" w:cs="Arial"/>
          <w:sz w:val="24"/>
          <w:szCs w:val="24"/>
          <w:lang w:val="en-US"/>
        </w:rPr>
        <w:t>Siqueira</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2008). Alcohol separation was performed on a pilot double-effect evaporator. The pilot operated to 2 </w:t>
      </w:r>
      <w:proofErr w:type="spellStart"/>
      <w:r w:rsidRPr="007F06A0">
        <w:rPr>
          <w:rFonts w:ascii="Arial" w:hAnsi="Arial" w:cs="Arial"/>
          <w:sz w:val="24"/>
          <w:szCs w:val="24"/>
          <w:lang w:val="en-US"/>
        </w:rPr>
        <w:t>Psia</w:t>
      </w:r>
      <w:proofErr w:type="spellEnd"/>
      <w:r w:rsidRPr="007F06A0">
        <w:rPr>
          <w:rFonts w:ascii="Arial" w:hAnsi="Arial" w:cs="Arial"/>
          <w:sz w:val="24"/>
          <w:szCs w:val="24"/>
          <w:lang w:val="en-US"/>
        </w:rPr>
        <w:t xml:space="preserve"> and capacity of 80 L. The evaporation process produced a vapor stream condensed and collected from the top. The condensed stream consisted of 30% alcohol (v/v) dissolution. The volumetric alcohol concentration (v/v) was determined with alcohol hydrometer - Bellwether. The remaining liquid in the evaporator corresponded to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used in this study, which was collected and storage (4°C) for further characterization. </w:t>
      </w:r>
    </w:p>
    <w:p w:rsidR="00C4699E" w:rsidRPr="00AB3A8C" w:rsidRDefault="00C4699E" w:rsidP="0076196A">
      <w:pPr>
        <w:tabs>
          <w:tab w:val="left" w:pos="2290"/>
        </w:tabs>
        <w:spacing w:after="0" w:line="360" w:lineRule="auto"/>
        <w:jc w:val="both"/>
        <w:rPr>
          <w:rFonts w:ascii="Arial" w:hAnsi="Arial" w:cs="Arial"/>
          <w:sz w:val="24"/>
          <w:szCs w:val="24"/>
          <w:lang w:val="en-US"/>
        </w:rPr>
      </w:pPr>
    </w:p>
    <w:p w:rsidR="00F7372F"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 xml:space="preserve">Chicken manure (CM) was collected from a local chicken layer farm located in </w:t>
      </w:r>
      <w:proofErr w:type="spellStart"/>
      <w:r w:rsidRPr="007F06A0">
        <w:rPr>
          <w:rFonts w:ascii="Arial" w:hAnsi="Arial" w:cs="Arial"/>
          <w:sz w:val="24"/>
          <w:szCs w:val="24"/>
          <w:lang w:val="en-US"/>
        </w:rPr>
        <w:t>Lebrija</w:t>
      </w:r>
      <w:proofErr w:type="spellEnd"/>
      <w:r w:rsidRPr="007F06A0">
        <w:rPr>
          <w:rFonts w:ascii="Arial" w:hAnsi="Arial" w:cs="Arial"/>
          <w:sz w:val="24"/>
          <w:szCs w:val="24"/>
          <w:lang w:val="en-US"/>
        </w:rPr>
        <w:t xml:space="preserve">-Santander, Colombia. CM consisted of a mixture among manure, thin feathers and eggshells. Table 1 shows CM and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physicochemical properties. The cattle slurry used as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was collected from slaughterhouse located in Rio Negro –Santander, Colombia. The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had a total solid (TS) concentration of 30.1 g/L, volatile solid (VS) concentration of 20.8 g/L and </w:t>
      </w:r>
      <w:proofErr w:type="spellStart"/>
      <w:r w:rsidRPr="007F06A0">
        <w:rPr>
          <w:rFonts w:ascii="Arial" w:hAnsi="Arial" w:cs="Arial"/>
          <w:sz w:val="24"/>
          <w:szCs w:val="24"/>
          <w:lang w:val="en-US"/>
        </w:rPr>
        <w:t>methanogenic</w:t>
      </w:r>
      <w:proofErr w:type="spellEnd"/>
      <w:r w:rsidRPr="007F06A0">
        <w:rPr>
          <w:rFonts w:ascii="Arial" w:hAnsi="Arial" w:cs="Arial"/>
          <w:sz w:val="24"/>
          <w:szCs w:val="24"/>
          <w:lang w:val="en-US"/>
        </w:rPr>
        <w:t xml:space="preserve"> activity of 2 COD CH4/</w:t>
      </w:r>
      <w:proofErr w:type="spellStart"/>
      <w:r w:rsidRPr="007F06A0">
        <w:rPr>
          <w:rFonts w:ascii="Arial" w:hAnsi="Arial" w:cs="Arial"/>
          <w:sz w:val="24"/>
          <w:szCs w:val="24"/>
          <w:lang w:val="en-US"/>
        </w:rPr>
        <w:t>gVSS·day</w:t>
      </w:r>
      <w:proofErr w:type="spellEnd"/>
      <w:r w:rsidRPr="007F06A0">
        <w:rPr>
          <w:rFonts w:ascii="Arial" w:hAnsi="Arial" w:cs="Arial"/>
          <w:sz w:val="24"/>
          <w:szCs w:val="24"/>
          <w:lang w:val="en-US"/>
        </w:rPr>
        <w:t>.</w:t>
      </w:r>
    </w:p>
    <w:p w:rsidR="00E54C47" w:rsidRPr="00AB3A8C" w:rsidRDefault="00E54C47" w:rsidP="00FE23C2">
      <w:pPr>
        <w:autoSpaceDE w:val="0"/>
        <w:autoSpaceDN w:val="0"/>
        <w:adjustRightInd w:val="0"/>
        <w:spacing w:after="0" w:line="360" w:lineRule="auto"/>
        <w:jc w:val="both"/>
        <w:rPr>
          <w:rFonts w:ascii="Arial" w:hAnsi="Arial" w:cs="Arial"/>
          <w:sz w:val="24"/>
          <w:szCs w:val="24"/>
          <w:lang w:val="en-US"/>
        </w:rPr>
      </w:pPr>
    </w:p>
    <w:p w:rsidR="00E01C98" w:rsidRPr="00AB3A8C" w:rsidRDefault="007F06A0">
      <w:pPr>
        <w:pStyle w:val="Sinespaciado"/>
        <w:spacing w:line="360" w:lineRule="auto"/>
        <w:rPr>
          <w:rFonts w:ascii="Arial" w:hAnsi="Arial" w:cs="Arial"/>
          <w:i/>
          <w:sz w:val="24"/>
          <w:szCs w:val="24"/>
          <w:lang w:val="en-US"/>
        </w:rPr>
      </w:pPr>
      <w:r w:rsidRPr="007F06A0">
        <w:rPr>
          <w:rFonts w:ascii="Arial" w:hAnsi="Arial" w:cs="Arial"/>
          <w:i/>
          <w:sz w:val="24"/>
          <w:szCs w:val="24"/>
          <w:lang w:val="en-US"/>
        </w:rPr>
        <w:t xml:space="preserve"> </w:t>
      </w:r>
      <w:proofErr w:type="gramStart"/>
      <w:r w:rsidRPr="007F06A0">
        <w:rPr>
          <w:rFonts w:ascii="Arial" w:hAnsi="Arial" w:cs="Arial"/>
          <w:i/>
          <w:sz w:val="24"/>
          <w:szCs w:val="24"/>
          <w:lang w:val="en-US"/>
        </w:rPr>
        <w:t>Biochemical methane potential test.</w:t>
      </w:r>
      <w:proofErr w:type="gramEnd"/>
    </w:p>
    <w:p w:rsidR="00D41EF0" w:rsidRPr="00AB3A8C" w:rsidRDefault="007F06A0" w:rsidP="00FE23C2">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lastRenderedPageBreak/>
        <w:t xml:space="preserve">Biochemical methane potential (BMP) test were carried out in triplicate at 37±2°C following the guidelines described by </w:t>
      </w:r>
      <w:proofErr w:type="spellStart"/>
      <w:r w:rsidRPr="007F06A0">
        <w:rPr>
          <w:rFonts w:ascii="Arial" w:hAnsi="Arial" w:cs="Arial"/>
          <w:sz w:val="24"/>
          <w:szCs w:val="24"/>
          <w:lang w:val="en-US"/>
        </w:rPr>
        <w:t>Angelidaki</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(2009). Tested mixtures between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CM were set at 1:0, 1:3, 3:1 and 0:1 on VS basis. The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to substrate ratio, on VS basis, was kept at 2 for all the mixtures. Each reactor had a 60 </w:t>
      </w:r>
      <w:proofErr w:type="spellStart"/>
      <w:r w:rsidRPr="007F06A0">
        <w:rPr>
          <w:rFonts w:ascii="Arial" w:hAnsi="Arial" w:cs="Arial"/>
          <w:sz w:val="24"/>
          <w:szCs w:val="24"/>
          <w:lang w:val="en-US"/>
        </w:rPr>
        <w:t>mL</w:t>
      </w:r>
      <w:proofErr w:type="spellEnd"/>
      <w:r w:rsidRPr="007F06A0">
        <w:rPr>
          <w:rFonts w:ascii="Arial" w:hAnsi="Arial" w:cs="Arial"/>
          <w:sz w:val="24"/>
          <w:szCs w:val="24"/>
          <w:lang w:val="en-US"/>
        </w:rPr>
        <w:t xml:space="preserve"> capacity, 12 </w:t>
      </w:r>
      <w:proofErr w:type="spellStart"/>
      <w:r w:rsidRPr="007F06A0">
        <w:rPr>
          <w:rFonts w:ascii="Arial" w:hAnsi="Arial" w:cs="Arial"/>
          <w:sz w:val="24"/>
          <w:szCs w:val="24"/>
          <w:lang w:val="en-US"/>
        </w:rPr>
        <w:t>mL</w:t>
      </w:r>
      <w:proofErr w:type="spellEnd"/>
      <w:r w:rsidRPr="007F06A0">
        <w:rPr>
          <w:rFonts w:ascii="Arial" w:hAnsi="Arial" w:cs="Arial"/>
          <w:sz w:val="24"/>
          <w:szCs w:val="24"/>
          <w:lang w:val="en-US"/>
        </w:rPr>
        <w:t xml:space="preserve"> of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and the same initial VS load of the substrate, in order to compare results. Distilled water was added to adjust a working volume of 35 </w:t>
      </w:r>
      <w:proofErr w:type="spellStart"/>
      <w:r w:rsidRPr="007F06A0">
        <w:rPr>
          <w:rFonts w:ascii="Arial" w:hAnsi="Arial" w:cs="Arial"/>
          <w:sz w:val="24"/>
          <w:szCs w:val="24"/>
          <w:lang w:val="en-US"/>
        </w:rPr>
        <w:t>mL</w:t>
      </w:r>
      <w:proofErr w:type="spellEnd"/>
      <w:r w:rsidRPr="007F06A0">
        <w:rPr>
          <w:rFonts w:ascii="Arial" w:hAnsi="Arial" w:cs="Arial"/>
          <w:sz w:val="24"/>
          <w:szCs w:val="24"/>
          <w:lang w:val="en-US"/>
        </w:rPr>
        <w:t xml:space="preserve"> for each reactor. Triplicate blank were used to determine the background methane yield of the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All digesters were manually shaken twice a day for about 1 min. Methane produced during BMP was quantified by the volumetric displacement of an alkaline solution. The volume of methane displaced was normalized and expressed in terms of specific methane production (SMP)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/kg VS added (</w:t>
      </w:r>
      <w:proofErr w:type="spellStart"/>
      <w:r w:rsidRPr="007F06A0">
        <w:rPr>
          <w:rFonts w:ascii="Arial" w:hAnsi="Arial" w:cs="Arial"/>
          <w:sz w:val="24"/>
          <w:szCs w:val="24"/>
          <w:lang w:val="en-US"/>
        </w:rPr>
        <w:t>Angelidaki</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2009).</w:t>
      </w:r>
    </w:p>
    <w:p w:rsidR="00D41EF0" w:rsidRPr="00AB3A8C" w:rsidRDefault="00D41EF0" w:rsidP="00FE23C2">
      <w:pPr>
        <w:pStyle w:val="Sinespaciado"/>
        <w:spacing w:line="360" w:lineRule="auto"/>
        <w:jc w:val="both"/>
        <w:rPr>
          <w:rFonts w:ascii="Arial" w:hAnsi="Arial" w:cs="Arial"/>
          <w:sz w:val="24"/>
          <w:szCs w:val="24"/>
          <w:lang w:val="en-US"/>
        </w:rPr>
      </w:pPr>
    </w:p>
    <w:p w:rsidR="00E01C98" w:rsidRPr="00AB3A8C" w:rsidRDefault="007F06A0">
      <w:pPr>
        <w:pStyle w:val="Sinespaciado"/>
        <w:spacing w:line="360" w:lineRule="auto"/>
        <w:jc w:val="both"/>
        <w:rPr>
          <w:rFonts w:ascii="Arial" w:hAnsi="Arial" w:cs="Arial"/>
          <w:i/>
          <w:sz w:val="24"/>
          <w:szCs w:val="24"/>
          <w:lang w:val="en-US"/>
        </w:rPr>
      </w:pPr>
      <w:r w:rsidRPr="007F06A0">
        <w:rPr>
          <w:rFonts w:ascii="Arial" w:hAnsi="Arial" w:cs="Arial"/>
          <w:i/>
          <w:sz w:val="24"/>
          <w:szCs w:val="24"/>
          <w:lang w:val="en-US"/>
        </w:rPr>
        <w:t xml:space="preserve"> </w:t>
      </w:r>
      <w:proofErr w:type="gramStart"/>
      <w:r w:rsidRPr="007F06A0">
        <w:rPr>
          <w:rFonts w:ascii="Arial" w:hAnsi="Arial" w:cs="Arial"/>
          <w:i/>
          <w:sz w:val="24"/>
          <w:szCs w:val="24"/>
          <w:lang w:val="en-US"/>
        </w:rPr>
        <w:t>Identification of synergistic effects.</w:t>
      </w:r>
      <w:proofErr w:type="gramEnd"/>
      <w:r w:rsidRPr="007F06A0">
        <w:rPr>
          <w:rFonts w:ascii="Arial" w:hAnsi="Arial" w:cs="Arial"/>
          <w:i/>
          <w:sz w:val="24"/>
          <w:szCs w:val="24"/>
          <w:lang w:val="en-US"/>
        </w:rPr>
        <w:t xml:space="preserve">  </w:t>
      </w:r>
    </w:p>
    <w:p w:rsidR="009B77D9" w:rsidRPr="00AB3A8C" w:rsidRDefault="007F06A0" w:rsidP="00FE23C2">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Synergistic effect was evaluated as an additional SMP obtained during co-digestion over the weighted average of the individual feedstock’s SMP (</w:t>
      </w:r>
      <w:proofErr w:type="spellStart"/>
      <w:r w:rsidRPr="007F06A0">
        <w:rPr>
          <w:rFonts w:ascii="Arial" w:hAnsi="Arial" w:cs="Arial"/>
          <w:sz w:val="24"/>
          <w:szCs w:val="24"/>
          <w:lang w:val="en-US"/>
        </w:rPr>
        <w:t>Labatut</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2011). Weighted specific methane production (WSMP) was calculated using the equation (1):  </w:t>
      </w:r>
    </w:p>
    <w:p w:rsidR="009B77D9" w:rsidRPr="00AB3A8C" w:rsidRDefault="009B77D9" w:rsidP="00FE23C2">
      <w:pPr>
        <w:pStyle w:val="Sinespaciado"/>
        <w:spacing w:line="360" w:lineRule="auto"/>
        <w:jc w:val="both"/>
        <w:rPr>
          <w:rFonts w:ascii="Arial" w:hAnsi="Arial" w:cs="Arial"/>
          <w:sz w:val="24"/>
          <w:szCs w:val="24"/>
          <w:lang w:val="en-US"/>
        </w:rPr>
      </w:pPr>
    </w:p>
    <w:p w:rsidR="009B77D9" w:rsidRPr="00AB3A8C" w:rsidRDefault="007F06A0" w:rsidP="00FE23C2">
      <w:pPr>
        <w:pStyle w:val="Sinespaciado"/>
        <w:spacing w:line="360" w:lineRule="auto"/>
        <w:jc w:val="center"/>
        <w:rPr>
          <w:rFonts w:ascii="Arial" w:hAnsi="Arial" w:cs="Arial"/>
          <w:sz w:val="24"/>
          <w:szCs w:val="24"/>
          <w:lang w:val="en-US"/>
        </w:rPr>
      </w:pPr>
      <m:oMath>
        <m:r>
          <w:rPr>
            <w:rFonts w:ascii="Cambria Math" w:hAnsi="Cambria Math" w:cs="Arial"/>
            <w:sz w:val="24"/>
            <w:szCs w:val="24"/>
            <w:lang w:val="en-US"/>
          </w:rPr>
          <m:t xml:space="preserve">WSMP= </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V</m:t>
                </m:r>
              </m:sub>
            </m:sSub>
            <m:r>
              <w:rPr>
                <w:rFonts w:ascii="Cambria Math" w:hAnsi="Cambria Math" w:cs="Arial"/>
                <w:sz w:val="24"/>
                <w:szCs w:val="24"/>
                <w:lang w:val="en-US"/>
              </w:rPr>
              <m:t xml:space="preserve">×∝+ </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CM</m:t>
                </m:r>
              </m:sub>
            </m:sSub>
            <m:r>
              <w:rPr>
                <w:rFonts w:ascii="Cambria Math" w:hAnsi="Cambria Math" w:cs="Arial"/>
                <w:sz w:val="24"/>
                <w:szCs w:val="24"/>
                <w:lang w:val="en-US"/>
              </w:rPr>
              <m:t>×β</m:t>
            </m:r>
          </m:num>
          <m:den>
            <m:r>
              <w:rPr>
                <w:rFonts w:ascii="Cambria Math" w:hAnsi="Cambria Math" w:cs="Arial"/>
                <w:sz w:val="24"/>
                <w:szCs w:val="24"/>
                <w:lang w:val="en-US"/>
              </w:rPr>
              <m:t>α+β</m:t>
            </m:r>
          </m:den>
        </m:f>
      </m:oMath>
      <w:r w:rsidRPr="007F06A0">
        <w:rPr>
          <w:rFonts w:ascii="Arial" w:hAnsi="Arial" w:cs="Arial"/>
          <w:sz w:val="24"/>
          <w:szCs w:val="24"/>
          <w:lang w:val="en-US"/>
        </w:rPr>
        <w:tab/>
      </w:r>
      <w:r w:rsidRPr="007F06A0">
        <w:rPr>
          <w:rFonts w:ascii="Arial" w:hAnsi="Arial" w:cs="Arial"/>
          <w:sz w:val="24"/>
          <w:szCs w:val="24"/>
          <w:lang w:val="en-US"/>
        </w:rPr>
        <w:tab/>
      </w:r>
      <w:r w:rsidRPr="007F06A0">
        <w:rPr>
          <w:rFonts w:ascii="Arial" w:hAnsi="Arial" w:cs="Arial"/>
          <w:sz w:val="24"/>
          <w:szCs w:val="24"/>
          <w:lang w:val="en-US"/>
        </w:rPr>
        <w:tab/>
      </w:r>
      <w:r w:rsidRPr="007F06A0">
        <w:rPr>
          <w:rFonts w:ascii="Arial" w:hAnsi="Arial" w:cs="Arial"/>
          <w:sz w:val="24"/>
          <w:szCs w:val="24"/>
          <w:lang w:val="en-US"/>
        </w:rPr>
        <w:tab/>
        <w:t>(1)</w:t>
      </w:r>
    </w:p>
    <w:p w:rsidR="009B77D9" w:rsidRPr="00AB3A8C" w:rsidRDefault="009B77D9" w:rsidP="0076196A">
      <w:pPr>
        <w:pStyle w:val="Sinespaciado"/>
        <w:spacing w:line="360" w:lineRule="auto"/>
        <w:jc w:val="both"/>
        <w:rPr>
          <w:rFonts w:ascii="Arial" w:hAnsi="Arial" w:cs="Arial"/>
          <w:sz w:val="24"/>
          <w:szCs w:val="24"/>
          <w:lang w:val="en-US"/>
        </w:rPr>
      </w:pPr>
    </w:p>
    <w:p w:rsidR="009B77D9" w:rsidRPr="00AB3A8C" w:rsidRDefault="007F06A0" w:rsidP="0076196A">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Where, Y</w:t>
      </w:r>
      <w:r w:rsidRPr="007F06A0">
        <w:rPr>
          <w:rFonts w:ascii="Arial" w:hAnsi="Arial" w:cs="Arial"/>
          <w:sz w:val="24"/>
          <w:szCs w:val="24"/>
          <w:vertAlign w:val="subscript"/>
          <w:lang w:val="en-US"/>
        </w:rPr>
        <w:t>V</w:t>
      </w:r>
      <w:r w:rsidRPr="007F06A0">
        <w:rPr>
          <w:rFonts w:ascii="Arial" w:hAnsi="Arial" w:cs="Arial"/>
          <w:sz w:val="24"/>
          <w:szCs w:val="24"/>
          <w:lang w:val="en-US"/>
        </w:rPr>
        <w:t xml:space="preserve"> correspond to SMP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digested as mono substrate, Y</w:t>
      </w:r>
      <w:r w:rsidRPr="007F06A0">
        <w:rPr>
          <w:rFonts w:ascii="Arial" w:hAnsi="Arial" w:cs="Arial"/>
          <w:sz w:val="24"/>
          <w:szCs w:val="24"/>
          <w:vertAlign w:val="subscript"/>
          <w:lang w:val="en-US"/>
        </w:rPr>
        <w:t xml:space="preserve">CM </w:t>
      </w:r>
      <w:r w:rsidRPr="007F06A0">
        <w:rPr>
          <w:rFonts w:ascii="Arial" w:hAnsi="Arial" w:cs="Arial"/>
          <w:sz w:val="24"/>
          <w:szCs w:val="24"/>
          <w:lang w:val="en-US"/>
        </w:rPr>
        <w:t xml:space="preserve">correspond to SMP for CM digested as mono substrate. </w:t>
      </w:r>
      <w:proofErr w:type="gramStart"/>
      <w:r w:rsidRPr="007F06A0">
        <w:rPr>
          <w:rFonts w:ascii="Arial" w:hAnsi="Arial" w:cs="Arial"/>
          <w:sz w:val="24"/>
          <w:szCs w:val="24"/>
          <w:lang w:val="en-US"/>
        </w:rPr>
        <w:t>α</w:t>
      </w:r>
      <w:proofErr w:type="gramEnd"/>
      <w:r w:rsidRPr="007F06A0">
        <w:rPr>
          <w:rFonts w:ascii="Arial" w:hAnsi="Arial" w:cs="Arial"/>
          <w:sz w:val="24"/>
          <w:szCs w:val="24"/>
          <w:lang w:val="en-US"/>
        </w:rPr>
        <w:t xml:space="preserve"> is the volatile solids fraction added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β the volatile solids fraction added of chicken manure. </w:t>
      </w:r>
    </w:p>
    <w:p w:rsidR="009B77D9" w:rsidRPr="00AB3A8C" w:rsidRDefault="009B77D9" w:rsidP="0076196A">
      <w:pPr>
        <w:pStyle w:val="Sinespaciado"/>
        <w:spacing w:line="360" w:lineRule="auto"/>
        <w:jc w:val="both"/>
        <w:rPr>
          <w:rFonts w:ascii="Arial" w:hAnsi="Arial" w:cs="Arial"/>
          <w:sz w:val="24"/>
          <w:szCs w:val="24"/>
          <w:lang w:val="en-US"/>
        </w:rPr>
      </w:pPr>
    </w:p>
    <w:p w:rsidR="009B77D9" w:rsidRPr="00AB3A8C" w:rsidRDefault="007F06A0" w:rsidP="0076196A">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Synergistic effects (</w:t>
      </w:r>
      <m:oMath>
        <m:r>
          <w:rPr>
            <w:rFonts w:ascii="Cambria Math" w:hAnsi="Cambria Math" w:cs="Arial"/>
            <w:sz w:val="24"/>
            <w:szCs w:val="24"/>
            <w:lang w:val="en-US"/>
          </w:rPr>
          <m:t>∅</m:t>
        </m:r>
      </m:oMath>
      <w:r w:rsidRPr="007F06A0">
        <w:rPr>
          <w:rFonts w:ascii="Arial" w:hAnsi="Arial" w:cs="Arial"/>
          <w:sz w:val="24"/>
          <w:szCs w:val="24"/>
          <w:lang w:val="en-US"/>
        </w:rPr>
        <w:t xml:space="preserve">) were identified as a qualitative parameter for evaluation of the process performance. Synergistic effects were determined using the equation (2): </w:t>
      </w:r>
    </w:p>
    <w:p w:rsidR="009B77D9" w:rsidRPr="00AB3A8C" w:rsidRDefault="009B77D9" w:rsidP="00FE23C2">
      <w:pPr>
        <w:pStyle w:val="Sinespaciado"/>
        <w:spacing w:line="360" w:lineRule="auto"/>
        <w:jc w:val="both"/>
        <w:rPr>
          <w:rFonts w:ascii="Arial" w:hAnsi="Arial" w:cs="Arial"/>
          <w:sz w:val="24"/>
          <w:szCs w:val="24"/>
          <w:lang w:val="en-US"/>
        </w:rPr>
      </w:pPr>
    </w:p>
    <w:p w:rsidR="009B77D9" w:rsidRPr="00AB3A8C" w:rsidRDefault="007F06A0" w:rsidP="00FE23C2">
      <w:pPr>
        <w:pStyle w:val="Sinespaciado"/>
        <w:spacing w:line="360" w:lineRule="auto"/>
        <w:ind w:left="720"/>
        <w:jc w:val="center"/>
        <w:rPr>
          <w:rFonts w:ascii="Arial" w:hAnsi="Arial" w:cs="Arial"/>
          <w:sz w:val="24"/>
          <w:szCs w:val="24"/>
          <w:lang w:val="en-US"/>
        </w:rPr>
      </w:pPr>
      <m:oMath>
        <m:r>
          <w:rPr>
            <w:rFonts w:ascii="Cambria Math" w:hAnsi="Cambria Math" w:cs="Arial"/>
            <w:sz w:val="24"/>
            <w:szCs w:val="24"/>
            <w:lang w:val="en-US"/>
          </w:rPr>
          <w:lastRenderedPageBreak/>
          <m:t>∅=</m:t>
        </m:r>
        <m:f>
          <m:fPr>
            <m:ctrlPr>
              <w:rPr>
                <w:rFonts w:ascii="Cambria Math" w:hAnsi="Cambria Math" w:cs="Arial"/>
                <w:i/>
                <w:sz w:val="24"/>
                <w:szCs w:val="24"/>
                <w:lang w:val="en-US"/>
              </w:rPr>
            </m:ctrlPr>
          </m:fPr>
          <m:num>
            <m:r>
              <w:rPr>
                <w:rFonts w:ascii="Cambria Math" w:hAnsi="Cambria Math" w:cs="Arial"/>
                <w:sz w:val="24"/>
                <w:szCs w:val="24"/>
                <w:lang w:val="en-US"/>
              </w:rPr>
              <m:t>SMP-WSMP</m:t>
            </m:r>
          </m:num>
          <m:den>
            <m:r>
              <w:rPr>
                <w:rFonts w:ascii="Cambria Math" w:hAnsi="Cambria Math" w:cs="Arial"/>
                <w:sz w:val="24"/>
                <w:szCs w:val="24"/>
                <w:lang w:val="en-US"/>
              </w:rPr>
              <m:t>|SMP- WSMP|</m:t>
            </m:r>
          </m:den>
        </m:f>
      </m:oMath>
      <w:r w:rsidRPr="007F06A0">
        <w:rPr>
          <w:rFonts w:ascii="Arial" w:hAnsi="Arial" w:cs="Arial"/>
          <w:sz w:val="24"/>
          <w:szCs w:val="24"/>
          <w:lang w:val="en-US"/>
        </w:rPr>
        <w:tab/>
      </w:r>
      <w:r w:rsidRPr="007F06A0">
        <w:rPr>
          <w:rFonts w:ascii="Arial" w:hAnsi="Arial" w:cs="Arial"/>
          <w:sz w:val="24"/>
          <w:szCs w:val="24"/>
          <w:lang w:val="en-US"/>
        </w:rPr>
        <w:tab/>
      </w:r>
      <w:r w:rsidRPr="007F06A0">
        <w:rPr>
          <w:rFonts w:ascii="Arial" w:hAnsi="Arial" w:cs="Arial"/>
          <w:sz w:val="24"/>
          <w:szCs w:val="24"/>
          <w:lang w:val="en-US"/>
        </w:rPr>
        <w:tab/>
      </w:r>
      <w:r w:rsidRPr="007F06A0">
        <w:rPr>
          <w:rFonts w:ascii="Arial" w:hAnsi="Arial" w:cs="Arial"/>
          <w:sz w:val="24"/>
          <w:szCs w:val="24"/>
          <w:lang w:val="en-US"/>
        </w:rPr>
        <w:tab/>
        <w:t>(2)</w:t>
      </w:r>
    </w:p>
    <w:p w:rsidR="009B77D9" w:rsidRPr="00AB3A8C" w:rsidRDefault="009B77D9" w:rsidP="00FE23C2">
      <w:pPr>
        <w:pStyle w:val="Sinespaciado"/>
        <w:spacing w:line="360" w:lineRule="auto"/>
        <w:jc w:val="both"/>
        <w:rPr>
          <w:rFonts w:ascii="Arial" w:hAnsi="Arial" w:cs="Arial"/>
          <w:i/>
          <w:sz w:val="24"/>
          <w:szCs w:val="24"/>
          <w:lang w:val="en-US"/>
        </w:rPr>
      </w:pPr>
    </w:p>
    <w:p w:rsidR="009B77D9" w:rsidRPr="00AB3A8C" w:rsidRDefault="007F06A0" w:rsidP="00FE23C2">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 xml:space="preserve">Where, SMP correspond to experimental SMP achieved for the ratio tested. WSMP correspond to the average of experimental SMP obtained by digestion of both </w:t>
      </w:r>
      <w:proofErr w:type="spellStart"/>
      <w:r w:rsidRPr="007F06A0">
        <w:rPr>
          <w:rFonts w:ascii="Arial" w:hAnsi="Arial" w:cs="Arial"/>
          <w:sz w:val="24"/>
          <w:szCs w:val="24"/>
          <w:lang w:val="en-US"/>
        </w:rPr>
        <w:t>feedstocks</w:t>
      </w:r>
      <w:proofErr w:type="spellEnd"/>
      <w:r w:rsidRPr="007F06A0">
        <w:rPr>
          <w:rFonts w:ascii="Arial" w:hAnsi="Arial" w:cs="Arial"/>
          <w:sz w:val="24"/>
          <w:szCs w:val="24"/>
          <w:lang w:val="en-US"/>
        </w:rPr>
        <w:t xml:space="preserve"> as mono- substrate. Finally, if the value of </w:t>
      </w:r>
      <m:oMath>
        <m:r>
          <w:rPr>
            <w:rFonts w:ascii="Cambria Math" w:hAnsi="Cambria Math" w:cs="Arial"/>
            <w:sz w:val="24"/>
            <w:szCs w:val="24"/>
            <w:lang w:val="en-US"/>
          </w:rPr>
          <m:t>∅</m:t>
        </m:r>
      </m:oMath>
      <w:r w:rsidRPr="007F06A0">
        <w:rPr>
          <w:rFonts w:ascii="Arial" w:hAnsi="Arial" w:cs="Arial"/>
          <w:sz w:val="24"/>
          <w:szCs w:val="24"/>
          <w:lang w:val="en-US"/>
        </w:rPr>
        <w:t xml:space="preserve"> is +1, the mixture presented synergistic effect. Otherwise, if the value of </w:t>
      </w:r>
      <m:oMath>
        <m:r>
          <w:rPr>
            <w:rFonts w:ascii="Cambria Math" w:hAnsi="Cambria Math" w:cs="Arial"/>
            <w:sz w:val="24"/>
            <w:szCs w:val="24"/>
            <w:lang w:val="en-US"/>
          </w:rPr>
          <m:t>∅</m:t>
        </m:r>
      </m:oMath>
      <w:r w:rsidRPr="007F06A0">
        <w:rPr>
          <w:rFonts w:ascii="Arial" w:hAnsi="Arial" w:cs="Arial"/>
          <w:sz w:val="24"/>
          <w:szCs w:val="24"/>
          <w:lang w:val="en-US"/>
        </w:rPr>
        <w:t xml:space="preserve"> is -1, the mixture presented antagonistic effects. </w:t>
      </w:r>
    </w:p>
    <w:p w:rsidR="008F3121" w:rsidRPr="00AB3A8C" w:rsidRDefault="008F3121" w:rsidP="00FE23C2">
      <w:pPr>
        <w:pStyle w:val="Sinespaciado"/>
        <w:spacing w:line="360" w:lineRule="auto"/>
        <w:jc w:val="both"/>
        <w:rPr>
          <w:rFonts w:ascii="Arial" w:hAnsi="Arial" w:cs="Arial"/>
          <w:sz w:val="24"/>
          <w:szCs w:val="24"/>
          <w:lang w:val="en-US"/>
        </w:rPr>
      </w:pPr>
    </w:p>
    <w:p w:rsidR="00E01C98" w:rsidRPr="00AB3A8C" w:rsidRDefault="007F06A0">
      <w:pPr>
        <w:pStyle w:val="Sinespaciado"/>
        <w:spacing w:line="360" w:lineRule="auto"/>
        <w:jc w:val="both"/>
        <w:rPr>
          <w:rFonts w:ascii="Arial" w:hAnsi="Arial" w:cs="Arial"/>
          <w:i/>
          <w:sz w:val="24"/>
          <w:szCs w:val="24"/>
          <w:lang w:val="en-US"/>
        </w:rPr>
      </w:pPr>
      <w:r w:rsidRPr="007F06A0">
        <w:rPr>
          <w:rFonts w:ascii="Arial" w:hAnsi="Arial" w:cs="Arial"/>
          <w:i/>
          <w:sz w:val="24"/>
          <w:szCs w:val="24"/>
          <w:lang w:val="en-US"/>
        </w:rPr>
        <w:t xml:space="preserve"> Analytical techniques</w:t>
      </w:r>
    </w:p>
    <w:p w:rsidR="00D73044" w:rsidRPr="00AB3A8C" w:rsidRDefault="007F06A0" w:rsidP="00FE23C2">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 xml:space="preserve">Analyses of total solids (TS), volatile solids (VS), chemical oxygen demand (COD), total </w:t>
      </w:r>
      <w:proofErr w:type="spellStart"/>
      <w:r w:rsidRPr="007F06A0">
        <w:rPr>
          <w:rFonts w:ascii="Arial" w:hAnsi="Arial" w:cs="Arial"/>
          <w:sz w:val="24"/>
          <w:szCs w:val="24"/>
          <w:lang w:val="en-US"/>
        </w:rPr>
        <w:t>Kjeldahl</w:t>
      </w:r>
      <w:proofErr w:type="spellEnd"/>
      <w:r w:rsidRPr="007F06A0">
        <w:rPr>
          <w:rFonts w:ascii="Arial" w:hAnsi="Arial" w:cs="Arial"/>
          <w:sz w:val="24"/>
          <w:szCs w:val="24"/>
          <w:lang w:val="en-US"/>
        </w:rPr>
        <w:t xml:space="preserve"> nitrogen (TKN), proteins and lipids were performed according to the Standard Methods for the examination of wastewater (APHA, 2005). Carbohydrates were estimated  by  subtracting  the  amount  of  protein  and  lipids  from  volatile solids (</w:t>
      </w:r>
      <w:proofErr w:type="spellStart"/>
      <w:r w:rsidRPr="007F06A0">
        <w:rPr>
          <w:rFonts w:ascii="Arial" w:hAnsi="Arial" w:cs="Arial"/>
          <w:sz w:val="24"/>
          <w:szCs w:val="24"/>
          <w:lang w:val="en-US"/>
        </w:rPr>
        <w:t>Galí</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2009). TRS was determined by colorimetric method (Miller, 1959). Total alkalinity (TA) and TVFA were quantified by titration (Anderson </w:t>
      </w:r>
      <w:r w:rsidRPr="007F06A0">
        <w:rPr>
          <w:rFonts w:ascii="Arial" w:hAnsi="Arial" w:cs="Arial"/>
          <w:i/>
          <w:sz w:val="24"/>
          <w:szCs w:val="24"/>
          <w:lang w:val="en-US"/>
        </w:rPr>
        <w:t>et al.</w:t>
      </w:r>
      <w:r w:rsidRPr="007F06A0">
        <w:rPr>
          <w:rFonts w:ascii="Arial" w:hAnsi="Arial" w:cs="Arial"/>
          <w:sz w:val="24"/>
          <w:szCs w:val="24"/>
          <w:lang w:val="en-US"/>
        </w:rPr>
        <w:t xml:space="preserve">, 1992). </w:t>
      </w:r>
      <w:proofErr w:type="gramStart"/>
      <w:r w:rsidRPr="007F06A0">
        <w:rPr>
          <w:rFonts w:ascii="Arial" w:hAnsi="Arial" w:cs="Arial"/>
          <w:sz w:val="24"/>
          <w:szCs w:val="24"/>
          <w:lang w:val="en-US"/>
        </w:rPr>
        <w:t>pH</w:t>
      </w:r>
      <w:proofErr w:type="gramEnd"/>
      <w:r w:rsidRPr="007F06A0">
        <w:rPr>
          <w:rFonts w:ascii="Arial" w:hAnsi="Arial" w:cs="Arial"/>
          <w:sz w:val="24"/>
          <w:szCs w:val="24"/>
          <w:lang w:val="en-US"/>
        </w:rPr>
        <w:t xml:space="preserve"> values were determined by a pH meter (691, </w:t>
      </w:r>
      <w:proofErr w:type="spellStart"/>
      <w:r w:rsidRPr="007F06A0">
        <w:rPr>
          <w:rFonts w:ascii="Arial" w:hAnsi="Arial" w:cs="Arial"/>
          <w:sz w:val="24"/>
          <w:szCs w:val="24"/>
          <w:lang w:val="en-US"/>
        </w:rPr>
        <w:t>Metrohm</w:t>
      </w:r>
      <w:proofErr w:type="spellEnd"/>
      <w:r w:rsidRPr="007F06A0">
        <w:rPr>
          <w:rFonts w:ascii="Arial" w:hAnsi="Arial" w:cs="Arial"/>
          <w:sz w:val="24"/>
          <w:szCs w:val="24"/>
          <w:lang w:val="en-US"/>
        </w:rPr>
        <w:t xml:space="preserve">) and total ammonia nitrogen according to the standard methods procedures (APHA, 2005). </w:t>
      </w:r>
    </w:p>
    <w:p w:rsidR="00D41EF0" w:rsidRPr="00AB3A8C" w:rsidRDefault="00D41EF0" w:rsidP="00FE23C2">
      <w:pPr>
        <w:pStyle w:val="Sinespaciado"/>
        <w:spacing w:line="360" w:lineRule="auto"/>
        <w:jc w:val="both"/>
        <w:rPr>
          <w:rFonts w:ascii="Arial" w:hAnsi="Arial" w:cs="Arial"/>
          <w:sz w:val="24"/>
          <w:szCs w:val="24"/>
          <w:lang w:val="en-US"/>
        </w:rPr>
      </w:pPr>
    </w:p>
    <w:p w:rsidR="00E01C98" w:rsidRPr="00AB3A8C" w:rsidRDefault="007F06A0">
      <w:pPr>
        <w:pStyle w:val="Sinespaciado"/>
        <w:spacing w:line="360" w:lineRule="auto"/>
        <w:jc w:val="both"/>
        <w:rPr>
          <w:rFonts w:ascii="Arial" w:hAnsi="Arial" w:cs="Arial"/>
          <w:i/>
          <w:sz w:val="24"/>
          <w:szCs w:val="24"/>
          <w:lang w:val="en-US"/>
        </w:rPr>
      </w:pPr>
      <w:r w:rsidRPr="007F06A0">
        <w:rPr>
          <w:rFonts w:ascii="Arial" w:hAnsi="Arial" w:cs="Arial"/>
          <w:i/>
          <w:sz w:val="24"/>
          <w:szCs w:val="24"/>
          <w:lang w:val="en-US"/>
        </w:rPr>
        <w:t xml:space="preserve"> Statistical analysis</w:t>
      </w:r>
    </w:p>
    <w:p w:rsidR="00D41EF0" w:rsidRPr="00AB3A8C" w:rsidRDefault="007F06A0" w:rsidP="00FE23C2">
      <w:pPr>
        <w:pStyle w:val="Sinespaciado"/>
        <w:spacing w:line="360" w:lineRule="auto"/>
        <w:jc w:val="both"/>
        <w:rPr>
          <w:rFonts w:ascii="Arial" w:hAnsi="Arial" w:cs="Arial"/>
          <w:sz w:val="24"/>
          <w:szCs w:val="24"/>
          <w:lang w:val="en-US"/>
        </w:rPr>
      </w:pPr>
      <w:r w:rsidRPr="007F06A0">
        <w:rPr>
          <w:rFonts w:ascii="Arial" w:hAnsi="Arial" w:cs="Arial"/>
          <w:sz w:val="24"/>
          <w:szCs w:val="24"/>
          <w:lang w:val="en-US"/>
        </w:rPr>
        <w:t xml:space="preserve">The experimental data was statistically analyzed using one way analysis of variance (ANOVA) by using MINITAB 17 (17.1.0.0). </w:t>
      </w:r>
      <w:proofErr w:type="spellStart"/>
      <w:r w:rsidRPr="007F06A0">
        <w:rPr>
          <w:rFonts w:ascii="Arial" w:hAnsi="Arial" w:cs="Arial"/>
          <w:sz w:val="24"/>
          <w:szCs w:val="24"/>
          <w:lang w:val="en-US"/>
        </w:rPr>
        <w:t>Pairwise</w:t>
      </w:r>
      <w:proofErr w:type="spellEnd"/>
      <w:r w:rsidRPr="007F06A0">
        <w:rPr>
          <w:rFonts w:ascii="Arial" w:hAnsi="Arial" w:cs="Arial"/>
          <w:sz w:val="24"/>
          <w:szCs w:val="24"/>
          <w:lang w:val="en-US"/>
        </w:rPr>
        <w:t xml:space="preserve"> comparisons of the means of SMP and TAN were conducted by the Fisher Least Significant Difference (LSD) calculated with 95% confidence. </w:t>
      </w:r>
    </w:p>
    <w:p w:rsidR="00435304" w:rsidRPr="00AB3A8C" w:rsidRDefault="00435304" w:rsidP="00FE23C2">
      <w:pPr>
        <w:pStyle w:val="Sinespaciado"/>
        <w:spacing w:line="360" w:lineRule="auto"/>
        <w:jc w:val="both"/>
        <w:rPr>
          <w:rFonts w:ascii="Arial" w:hAnsi="Arial" w:cs="Arial"/>
          <w:sz w:val="24"/>
          <w:szCs w:val="24"/>
          <w:lang w:val="en-US"/>
        </w:rPr>
      </w:pPr>
    </w:p>
    <w:p w:rsidR="0009250B" w:rsidRPr="00AB3A8C" w:rsidRDefault="007F06A0" w:rsidP="00275140">
      <w:pPr>
        <w:tabs>
          <w:tab w:val="left" w:pos="2290"/>
        </w:tabs>
        <w:spacing w:line="360" w:lineRule="auto"/>
        <w:jc w:val="both"/>
        <w:rPr>
          <w:rFonts w:ascii="Arial" w:hAnsi="Arial" w:cs="Arial"/>
          <w:b/>
          <w:i/>
          <w:sz w:val="24"/>
          <w:szCs w:val="24"/>
          <w:lang w:val="en-US"/>
        </w:rPr>
      </w:pPr>
      <w:r w:rsidRPr="007F06A0">
        <w:rPr>
          <w:rFonts w:ascii="Arial" w:hAnsi="Arial" w:cs="Arial"/>
          <w:b/>
          <w:i/>
          <w:sz w:val="24"/>
          <w:szCs w:val="24"/>
          <w:lang w:val="en-US"/>
        </w:rPr>
        <w:t>Results and discussion</w:t>
      </w:r>
    </w:p>
    <w:p w:rsidR="00E01C98" w:rsidRPr="00AB3A8C" w:rsidRDefault="007F06A0">
      <w:pPr>
        <w:tabs>
          <w:tab w:val="left" w:pos="2290"/>
        </w:tabs>
        <w:spacing w:line="360" w:lineRule="auto"/>
        <w:jc w:val="both"/>
        <w:rPr>
          <w:rFonts w:ascii="Arial" w:hAnsi="Arial" w:cs="Arial"/>
          <w:i/>
          <w:sz w:val="24"/>
          <w:szCs w:val="24"/>
          <w:lang w:val="en-US"/>
        </w:rPr>
      </w:pPr>
      <w:proofErr w:type="gramStart"/>
      <w:r w:rsidRPr="007F06A0">
        <w:rPr>
          <w:rFonts w:ascii="Arial" w:hAnsi="Arial" w:cs="Arial"/>
          <w:i/>
          <w:sz w:val="24"/>
          <w:szCs w:val="24"/>
          <w:lang w:val="en-US"/>
        </w:rPr>
        <w:t>Characterization of substrates.</w:t>
      </w:r>
      <w:proofErr w:type="gramEnd"/>
      <w:r w:rsidRPr="007F06A0">
        <w:rPr>
          <w:rFonts w:ascii="Arial" w:hAnsi="Arial" w:cs="Arial"/>
          <w:i/>
          <w:sz w:val="24"/>
          <w:szCs w:val="24"/>
          <w:lang w:val="en-US"/>
        </w:rPr>
        <w:t xml:space="preserve"> </w:t>
      </w:r>
    </w:p>
    <w:p w:rsidR="00F84FBE"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 xml:space="preserve">Substrates characterization is presented in table 1.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tested in this study showed values on COD, pH and TKN similar at industrial sugarcane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Moraes</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2015). Nevertheless,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prepared in this study correspond a </w:t>
      </w:r>
      <w:r w:rsidRPr="007F06A0">
        <w:rPr>
          <w:rFonts w:ascii="Arial" w:hAnsi="Arial" w:cs="Arial"/>
          <w:sz w:val="24"/>
          <w:szCs w:val="24"/>
          <w:lang w:val="en-US"/>
        </w:rPr>
        <w:lastRenderedPageBreak/>
        <w:t xml:space="preserve">feedstock viable to evaluate a model substrate for sugarcane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anaerobic digestion.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CM presented high organic matter contents available for the anaerobic process. Literature reported appropriate pH values for starting-up of AD process on range of 7 to 8 (Li </w:t>
      </w:r>
      <w:r w:rsidRPr="007F06A0">
        <w:rPr>
          <w:rFonts w:ascii="Arial" w:hAnsi="Arial" w:cs="Arial"/>
          <w:i/>
          <w:sz w:val="24"/>
          <w:szCs w:val="24"/>
          <w:lang w:val="en-US"/>
        </w:rPr>
        <w:t>et al</w:t>
      </w:r>
      <w:r w:rsidRPr="007F06A0">
        <w:rPr>
          <w:rFonts w:ascii="Arial" w:hAnsi="Arial" w:cs="Arial"/>
          <w:sz w:val="24"/>
          <w:szCs w:val="24"/>
          <w:lang w:val="en-US"/>
        </w:rPr>
        <w:t xml:space="preserve">., 2013).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presented an acid pH value of 4.2 and CM a basic pH value of 8.4. Basic pH value in CM must be to its high concentration of ammonia and trace element such as </w:t>
      </w:r>
      <w:proofErr w:type="spellStart"/>
      <w:r w:rsidRPr="007F06A0">
        <w:rPr>
          <w:rFonts w:ascii="Arial" w:hAnsi="Arial" w:cs="Arial"/>
          <w:sz w:val="24"/>
          <w:szCs w:val="24"/>
          <w:lang w:val="en-US"/>
        </w:rPr>
        <w:t>cd</w:t>
      </w:r>
      <w:proofErr w:type="spellEnd"/>
      <w:r w:rsidRPr="007F06A0">
        <w:rPr>
          <w:rFonts w:ascii="Arial" w:hAnsi="Arial" w:cs="Arial"/>
          <w:sz w:val="24"/>
          <w:szCs w:val="24"/>
          <w:lang w:val="en-US"/>
        </w:rPr>
        <w:t xml:space="preserve">, Co, Cr, Cu, Mo, Zn and Ni that raise alkalinity (Bolan </w:t>
      </w:r>
      <w:r w:rsidRPr="007F06A0">
        <w:rPr>
          <w:rFonts w:ascii="Arial" w:hAnsi="Arial" w:cs="Arial"/>
          <w:i/>
          <w:sz w:val="24"/>
          <w:szCs w:val="24"/>
          <w:lang w:val="en-US"/>
        </w:rPr>
        <w:t>et al</w:t>
      </w:r>
      <w:r w:rsidRPr="007F06A0">
        <w:rPr>
          <w:rFonts w:ascii="Arial" w:hAnsi="Arial" w:cs="Arial"/>
          <w:sz w:val="24"/>
          <w:szCs w:val="24"/>
          <w:lang w:val="en-US"/>
        </w:rPr>
        <w:t xml:space="preserve">., 2010). Then, it is expected that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mixing ratios accomplish suitable pH values for the AD process.</w:t>
      </w:r>
    </w:p>
    <w:p w:rsidR="00966ABE" w:rsidRPr="00AB3A8C" w:rsidRDefault="00966ABE" w:rsidP="0076196A">
      <w:pPr>
        <w:tabs>
          <w:tab w:val="left" w:pos="2290"/>
        </w:tabs>
        <w:spacing w:after="0" w:line="360" w:lineRule="auto"/>
        <w:rPr>
          <w:rFonts w:ascii="Arial" w:hAnsi="Arial" w:cs="Arial"/>
          <w:b/>
          <w:sz w:val="24"/>
          <w:szCs w:val="24"/>
          <w:lang w:val="en-US"/>
        </w:rPr>
      </w:pPr>
    </w:p>
    <w:p w:rsidR="00457638" w:rsidRPr="00AB3A8C" w:rsidRDefault="007F06A0" w:rsidP="0076196A">
      <w:pPr>
        <w:tabs>
          <w:tab w:val="left" w:pos="2290"/>
        </w:tabs>
        <w:spacing w:after="0" w:line="360" w:lineRule="auto"/>
        <w:jc w:val="both"/>
        <w:rPr>
          <w:rFonts w:ascii="Arial" w:hAnsi="Arial" w:cs="Arial"/>
          <w:sz w:val="24"/>
          <w:szCs w:val="24"/>
          <w:lang w:val="en-US"/>
        </w:rPr>
      </w:pPr>
      <w:proofErr w:type="gramStart"/>
      <w:r w:rsidRPr="007F06A0">
        <w:rPr>
          <w:rFonts w:ascii="Arial" w:hAnsi="Arial" w:cs="Arial"/>
          <w:b/>
          <w:sz w:val="24"/>
          <w:szCs w:val="24"/>
          <w:lang w:val="en-US"/>
        </w:rPr>
        <w:t>Table 1.</w:t>
      </w:r>
      <w:proofErr w:type="gramEnd"/>
      <w:r w:rsidRPr="007F06A0">
        <w:rPr>
          <w:rFonts w:ascii="Arial" w:hAnsi="Arial" w:cs="Arial"/>
          <w:b/>
          <w:sz w:val="24"/>
          <w:szCs w:val="24"/>
          <w:lang w:val="en-US"/>
        </w:rPr>
        <w:t xml:space="preserve"> </w:t>
      </w:r>
      <w:proofErr w:type="gramStart"/>
      <w:r w:rsidRPr="007F06A0">
        <w:rPr>
          <w:rFonts w:ascii="Arial" w:hAnsi="Arial" w:cs="Arial"/>
          <w:sz w:val="24"/>
          <w:szCs w:val="24"/>
          <w:lang w:val="en-US"/>
        </w:rPr>
        <w:t>Characterization of substrates.</w:t>
      </w:r>
      <w:proofErr w:type="gramEnd"/>
    </w:p>
    <w:tbl>
      <w:tblPr>
        <w:tblStyle w:val="Tablaconcuadrcula"/>
        <w:tblW w:w="8067" w:type="dxa"/>
        <w:jc w:val="center"/>
        <w:tblInd w:w="-493" w:type="dxa"/>
        <w:tblLayout w:type="fixed"/>
        <w:tblLook w:val="04A0"/>
      </w:tblPr>
      <w:tblGrid>
        <w:gridCol w:w="4174"/>
        <w:gridCol w:w="850"/>
        <w:gridCol w:w="1365"/>
        <w:gridCol w:w="1678"/>
      </w:tblGrid>
      <w:tr w:rsidR="00763F38" w:rsidRPr="00AB3A8C" w:rsidTr="00236123">
        <w:trPr>
          <w:trHeight w:val="574"/>
          <w:jc w:val="center"/>
        </w:trPr>
        <w:tc>
          <w:tcPr>
            <w:tcW w:w="4174" w:type="dxa"/>
            <w:vMerge w:val="restart"/>
            <w:vAlign w:val="center"/>
          </w:tcPr>
          <w:p w:rsidR="00763F38" w:rsidRPr="00AB3A8C" w:rsidRDefault="007F06A0" w:rsidP="00FE23C2">
            <w:pPr>
              <w:tabs>
                <w:tab w:val="left" w:pos="2290"/>
              </w:tabs>
              <w:spacing w:after="160" w:line="360" w:lineRule="auto"/>
              <w:jc w:val="center"/>
              <w:rPr>
                <w:rFonts w:ascii="Arial" w:hAnsi="Arial" w:cs="Arial"/>
                <w:b/>
                <w:sz w:val="24"/>
                <w:szCs w:val="24"/>
                <w:lang w:val="en-US"/>
              </w:rPr>
            </w:pPr>
            <w:r w:rsidRPr="007F06A0">
              <w:rPr>
                <w:rFonts w:ascii="Arial" w:hAnsi="Arial" w:cs="Arial"/>
                <w:b/>
                <w:sz w:val="24"/>
                <w:szCs w:val="24"/>
                <w:lang w:val="en-US"/>
              </w:rPr>
              <w:t>Material</w:t>
            </w:r>
          </w:p>
        </w:tc>
        <w:tc>
          <w:tcPr>
            <w:tcW w:w="850" w:type="dxa"/>
            <w:vMerge w:val="restart"/>
            <w:vAlign w:val="center"/>
          </w:tcPr>
          <w:p w:rsidR="00763F38" w:rsidRPr="00AB3A8C" w:rsidRDefault="007F06A0" w:rsidP="00FE23C2">
            <w:pPr>
              <w:tabs>
                <w:tab w:val="left" w:pos="2290"/>
              </w:tabs>
              <w:spacing w:after="160" w:line="360" w:lineRule="auto"/>
              <w:jc w:val="center"/>
              <w:rPr>
                <w:rFonts w:ascii="Arial" w:hAnsi="Arial" w:cs="Arial"/>
                <w:b/>
                <w:sz w:val="24"/>
                <w:szCs w:val="24"/>
                <w:lang w:val="en-US"/>
              </w:rPr>
            </w:pPr>
            <w:r w:rsidRPr="007F06A0">
              <w:rPr>
                <w:rFonts w:ascii="Arial" w:hAnsi="Arial" w:cs="Arial"/>
                <w:b/>
                <w:sz w:val="24"/>
                <w:szCs w:val="24"/>
                <w:lang w:val="en-US"/>
              </w:rPr>
              <w:t>Units</w:t>
            </w:r>
          </w:p>
        </w:tc>
        <w:tc>
          <w:tcPr>
            <w:tcW w:w="1365" w:type="dxa"/>
            <w:vMerge w:val="restart"/>
            <w:vAlign w:val="center"/>
          </w:tcPr>
          <w:p w:rsidR="00763F38" w:rsidRPr="00AB3A8C" w:rsidRDefault="007F06A0" w:rsidP="00FE23C2">
            <w:pPr>
              <w:tabs>
                <w:tab w:val="left" w:pos="2290"/>
              </w:tabs>
              <w:spacing w:after="160" w:line="360" w:lineRule="auto"/>
              <w:jc w:val="center"/>
              <w:rPr>
                <w:rFonts w:ascii="Arial" w:hAnsi="Arial" w:cs="Arial"/>
                <w:b/>
                <w:sz w:val="24"/>
                <w:szCs w:val="24"/>
                <w:lang w:val="en-US"/>
              </w:rPr>
            </w:pPr>
            <w:proofErr w:type="spellStart"/>
            <w:r w:rsidRPr="007F06A0">
              <w:rPr>
                <w:rFonts w:ascii="Arial" w:hAnsi="Arial" w:cs="Arial"/>
                <w:b/>
                <w:sz w:val="24"/>
                <w:szCs w:val="24"/>
                <w:lang w:val="en-US"/>
              </w:rPr>
              <w:t>Vinasse</w:t>
            </w:r>
            <w:proofErr w:type="spellEnd"/>
          </w:p>
        </w:tc>
        <w:tc>
          <w:tcPr>
            <w:tcW w:w="1678" w:type="dxa"/>
            <w:vMerge w:val="restart"/>
            <w:vAlign w:val="center"/>
          </w:tcPr>
          <w:p w:rsidR="00763F38" w:rsidRPr="00AB3A8C" w:rsidRDefault="007F06A0" w:rsidP="00FE23C2">
            <w:pPr>
              <w:tabs>
                <w:tab w:val="left" w:pos="2290"/>
              </w:tabs>
              <w:spacing w:after="160" w:line="360" w:lineRule="auto"/>
              <w:jc w:val="center"/>
              <w:rPr>
                <w:rFonts w:ascii="Arial" w:hAnsi="Arial" w:cs="Arial"/>
                <w:b/>
                <w:sz w:val="24"/>
                <w:szCs w:val="24"/>
                <w:lang w:val="en-US"/>
              </w:rPr>
            </w:pPr>
            <w:r w:rsidRPr="007F06A0">
              <w:rPr>
                <w:rFonts w:ascii="Arial" w:hAnsi="Arial" w:cs="Arial"/>
                <w:b/>
                <w:sz w:val="24"/>
                <w:szCs w:val="24"/>
                <w:lang w:val="en-US"/>
              </w:rPr>
              <w:t>Chicken manure</w:t>
            </w:r>
          </w:p>
        </w:tc>
      </w:tr>
      <w:tr w:rsidR="00763F38" w:rsidRPr="00AB3A8C" w:rsidTr="00236123">
        <w:trPr>
          <w:trHeight w:val="574"/>
          <w:jc w:val="center"/>
        </w:trPr>
        <w:tc>
          <w:tcPr>
            <w:tcW w:w="4174" w:type="dxa"/>
            <w:vMerge/>
            <w:vAlign w:val="center"/>
          </w:tcPr>
          <w:p w:rsidR="00763F38" w:rsidRPr="00AB3A8C" w:rsidRDefault="00763F38" w:rsidP="00FE23C2">
            <w:pPr>
              <w:tabs>
                <w:tab w:val="left" w:pos="2290"/>
              </w:tabs>
              <w:spacing w:after="160" w:line="360" w:lineRule="auto"/>
              <w:jc w:val="center"/>
              <w:rPr>
                <w:rFonts w:ascii="Arial" w:hAnsi="Arial" w:cs="Arial"/>
                <w:sz w:val="24"/>
                <w:szCs w:val="24"/>
                <w:lang w:val="en-US"/>
              </w:rPr>
            </w:pPr>
          </w:p>
        </w:tc>
        <w:tc>
          <w:tcPr>
            <w:tcW w:w="850" w:type="dxa"/>
            <w:vMerge/>
            <w:vAlign w:val="center"/>
          </w:tcPr>
          <w:p w:rsidR="00763F38" w:rsidRPr="00AB3A8C" w:rsidRDefault="00763F38" w:rsidP="00FE23C2">
            <w:pPr>
              <w:tabs>
                <w:tab w:val="left" w:pos="2290"/>
              </w:tabs>
              <w:spacing w:after="160" w:line="360" w:lineRule="auto"/>
              <w:jc w:val="center"/>
              <w:rPr>
                <w:rFonts w:ascii="Arial" w:hAnsi="Arial" w:cs="Arial"/>
                <w:sz w:val="24"/>
                <w:szCs w:val="24"/>
                <w:lang w:val="en-US"/>
              </w:rPr>
            </w:pPr>
          </w:p>
        </w:tc>
        <w:tc>
          <w:tcPr>
            <w:tcW w:w="1365" w:type="dxa"/>
            <w:vMerge/>
            <w:vAlign w:val="center"/>
          </w:tcPr>
          <w:p w:rsidR="00763F38" w:rsidRPr="00AB3A8C" w:rsidRDefault="00763F38" w:rsidP="00FE23C2">
            <w:pPr>
              <w:tabs>
                <w:tab w:val="left" w:pos="2290"/>
              </w:tabs>
              <w:spacing w:after="160" w:line="360" w:lineRule="auto"/>
              <w:jc w:val="center"/>
              <w:rPr>
                <w:rFonts w:ascii="Arial" w:hAnsi="Arial" w:cs="Arial"/>
                <w:sz w:val="24"/>
                <w:szCs w:val="24"/>
                <w:lang w:val="en-US"/>
              </w:rPr>
            </w:pPr>
          </w:p>
        </w:tc>
        <w:tc>
          <w:tcPr>
            <w:tcW w:w="1678" w:type="dxa"/>
            <w:vMerge/>
          </w:tcPr>
          <w:p w:rsidR="00763F38" w:rsidRPr="00AB3A8C" w:rsidRDefault="00763F38" w:rsidP="00FE23C2">
            <w:pPr>
              <w:tabs>
                <w:tab w:val="left" w:pos="2290"/>
              </w:tabs>
              <w:spacing w:after="160" w:line="360" w:lineRule="auto"/>
              <w:jc w:val="center"/>
              <w:rPr>
                <w:rFonts w:ascii="Arial" w:hAnsi="Arial" w:cs="Arial"/>
                <w:sz w:val="24"/>
                <w:szCs w:val="24"/>
                <w:lang w:val="en-US"/>
              </w:rPr>
            </w:pP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Total solids (TS)</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89.2</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226.2</w:t>
            </w: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Volatile solids (VS)</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78.5</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107.4</w:t>
            </w: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Chemical oxygen demand (COD)</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82.3</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 xml:space="preserve"> 731.7</w:t>
            </w:r>
          </w:p>
        </w:tc>
      </w:tr>
      <w:tr w:rsidR="00763F38" w:rsidRPr="00AB3A8C" w:rsidTr="00236123">
        <w:trPr>
          <w:trHeight w:val="297"/>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pH</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4.2</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8.3</w:t>
            </w: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Carbohydrates</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54.6</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78.6</w:t>
            </w: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 xml:space="preserve">Lipids </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2.7</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2.7</w:t>
            </w:r>
          </w:p>
        </w:tc>
      </w:tr>
      <w:tr w:rsidR="00763F38" w:rsidRPr="00AB3A8C" w:rsidTr="00236123">
        <w:trPr>
          <w:jc w:val="center"/>
        </w:trPr>
        <w:tc>
          <w:tcPr>
            <w:tcW w:w="4174"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Proteins</w:t>
            </w:r>
          </w:p>
        </w:tc>
        <w:tc>
          <w:tcPr>
            <w:tcW w:w="850"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19.3</w:t>
            </w:r>
          </w:p>
        </w:tc>
        <w:tc>
          <w:tcPr>
            <w:tcW w:w="1678" w:type="dxa"/>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35.5</w:t>
            </w:r>
          </w:p>
        </w:tc>
      </w:tr>
      <w:tr w:rsidR="00763F38" w:rsidRPr="00AB3A8C" w:rsidTr="00236123">
        <w:trPr>
          <w:jc w:val="center"/>
        </w:trPr>
        <w:tc>
          <w:tcPr>
            <w:tcW w:w="4174" w:type="dxa"/>
            <w:tcBorders>
              <w:bottom w:val="single" w:sz="4" w:space="0" w:color="auto"/>
            </w:tcBorders>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 xml:space="preserve">Total </w:t>
            </w:r>
            <w:proofErr w:type="spellStart"/>
            <w:r w:rsidRPr="007F06A0">
              <w:rPr>
                <w:rFonts w:ascii="Arial" w:hAnsi="Arial" w:cs="Arial"/>
                <w:sz w:val="24"/>
                <w:szCs w:val="24"/>
                <w:lang w:val="en-US"/>
              </w:rPr>
              <w:t>kjeldahl</w:t>
            </w:r>
            <w:proofErr w:type="spellEnd"/>
            <w:r w:rsidRPr="007F06A0">
              <w:rPr>
                <w:rFonts w:ascii="Arial" w:hAnsi="Arial" w:cs="Arial"/>
                <w:sz w:val="24"/>
                <w:szCs w:val="24"/>
                <w:lang w:val="en-US"/>
              </w:rPr>
              <w:t xml:space="preserve"> nitrogen (TKN)</w:t>
            </w:r>
          </w:p>
        </w:tc>
        <w:tc>
          <w:tcPr>
            <w:tcW w:w="850" w:type="dxa"/>
            <w:tcBorders>
              <w:bottom w:val="single" w:sz="4" w:space="0" w:color="auto"/>
            </w:tcBorders>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g/L</w:t>
            </w:r>
          </w:p>
        </w:tc>
        <w:tc>
          <w:tcPr>
            <w:tcW w:w="1365" w:type="dxa"/>
            <w:tcBorders>
              <w:bottom w:val="single" w:sz="4" w:space="0" w:color="auto"/>
            </w:tcBorders>
            <w:vAlign w:val="center"/>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9.0</w:t>
            </w:r>
          </w:p>
        </w:tc>
        <w:tc>
          <w:tcPr>
            <w:tcW w:w="1678" w:type="dxa"/>
            <w:tcBorders>
              <w:bottom w:val="single" w:sz="4" w:space="0" w:color="auto"/>
            </w:tcBorders>
          </w:tcPr>
          <w:p w:rsidR="00763F38" w:rsidRPr="00AB3A8C" w:rsidRDefault="007F06A0" w:rsidP="00FE23C2">
            <w:pPr>
              <w:tabs>
                <w:tab w:val="left" w:pos="2290"/>
              </w:tabs>
              <w:spacing w:after="160" w:line="360" w:lineRule="auto"/>
              <w:jc w:val="center"/>
              <w:rPr>
                <w:rFonts w:ascii="Arial" w:hAnsi="Arial" w:cs="Arial"/>
                <w:sz w:val="24"/>
                <w:szCs w:val="24"/>
                <w:lang w:val="en-US"/>
              </w:rPr>
            </w:pPr>
            <w:r w:rsidRPr="007F06A0">
              <w:rPr>
                <w:rFonts w:ascii="Arial" w:hAnsi="Arial" w:cs="Arial"/>
                <w:sz w:val="24"/>
                <w:szCs w:val="24"/>
                <w:lang w:val="en-US"/>
              </w:rPr>
              <w:t>5.5</w:t>
            </w:r>
          </w:p>
        </w:tc>
      </w:tr>
    </w:tbl>
    <w:p w:rsidR="00766E39" w:rsidRPr="00AB3A8C" w:rsidRDefault="00766E39" w:rsidP="00FE23C2">
      <w:pPr>
        <w:tabs>
          <w:tab w:val="left" w:pos="2290"/>
        </w:tabs>
        <w:spacing w:line="360" w:lineRule="auto"/>
        <w:jc w:val="both"/>
        <w:rPr>
          <w:rFonts w:ascii="Arial" w:hAnsi="Arial" w:cs="Arial"/>
          <w:i/>
          <w:sz w:val="24"/>
          <w:szCs w:val="24"/>
          <w:lang w:val="en-US"/>
        </w:rPr>
      </w:pPr>
    </w:p>
    <w:p w:rsidR="008E2F7C" w:rsidRPr="00AB3A8C" w:rsidRDefault="007F06A0" w:rsidP="0076196A">
      <w:pPr>
        <w:pStyle w:val="Prrafodelista"/>
        <w:numPr>
          <w:ilvl w:val="1"/>
          <w:numId w:val="14"/>
        </w:numPr>
        <w:tabs>
          <w:tab w:val="left" w:pos="2290"/>
        </w:tabs>
        <w:spacing w:line="360" w:lineRule="auto"/>
        <w:jc w:val="both"/>
        <w:rPr>
          <w:rFonts w:ascii="Arial" w:hAnsi="Arial" w:cs="Arial"/>
          <w:i/>
          <w:sz w:val="24"/>
          <w:szCs w:val="24"/>
          <w:lang w:val="en-US"/>
        </w:rPr>
      </w:pPr>
      <w:r w:rsidRPr="007F06A0">
        <w:rPr>
          <w:rFonts w:ascii="Arial" w:hAnsi="Arial" w:cs="Arial"/>
          <w:i/>
          <w:sz w:val="24"/>
          <w:szCs w:val="24"/>
          <w:lang w:val="en-US"/>
        </w:rPr>
        <w:t xml:space="preserve"> </w:t>
      </w:r>
      <w:proofErr w:type="spellStart"/>
      <w:r w:rsidRPr="007F06A0">
        <w:rPr>
          <w:rFonts w:ascii="Arial" w:hAnsi="Arial" w:cs="Arial"/>
          <w:i/>
          <w:sz w:val="24"/>
          <w:szCs w:val="24"/>
          <w:lang w:val="en-US"/>
        </w:rPr>
        <w:t>Biomethane</w:t>
      </w:r>
      <w:proofErr w:type="spellEnd"/>
      <w:r w:rsidRPr="007F06A0">
        <w:rPr>
          <w:rFonts w:ascii="Arial" w:hAnsi="Arial" w:cs="Arial"/>
          <w:i/>
          <w:sz w:val="24"/>
          <w:szCs w:val="24"/>
          <w:lang w:val="en-US"/>
        </w:rPr>
        <w:t xml:space="preserve"> potential test (</w:t>
      </w:r>
      <w:proofErr w:type="spellStart"/>
      <w:r w:rsidRPr="007F06A0">
        <w:rPr>
          <w:rFonts w:ascii="Arial" w:hAnsi="Arial" w:cs="Arial"/>
          <w:i/>
          <w:sz w:val="24"/>
          <w:szCs w:val="24"/>
          <w:lang w:val="en-US"/>
        </w:rPr>
        <w:t>BMPt</w:t>
      </w:r>
      <w:proofErr w:type="spellEnd"/>
      <w:r w:rsidRPr="007F06A0">
        <w:rPr>
          <w:rFonts w:ascii="Arial" w:hAnsi="Arial" w:cs="Arial"/>
          <w:i/>
          <w:sz w:val="24"/>
          <w:szCs w:val="24"/>
          <w:lang w:val="en-US"/>
        </w:rPr>
        <w:t xml:space="preserve">).  </w:t>
      </w:r>
    </w:p>
    <w:p w:rsidR="00C3099D" w:rsidRPr="00AB3A8C" w:rsidRDefault="007F06A0" w:rsidP="00FE23C2">
      <w:pPr>
        <w:tabs>
          <w:tab w:val="left" w:pos="2290"/>
        </w:tabs>
        <w:spacing w:line="360" w:lineRule="auto"/>
        <w:jc w:val="both"/>
        <w:rPr>
          <w:rFonts w:ascii="Arial" w:hAnsi="Arial" w:cs="Arial"/>
          <w:sz w:val="24"/>
          <w:szCs w:val="24"/>
          <w:lang w:val="en-US"/>
        </w:rPr>
      </w:pPr>
      <w:r w:rsidRPr="007F06A0">
        <w:rPr>
          <w:rFonts w:ascii="Arial" w:hAnsi="Arial" w:cs="Arial"/>
          <w:sz w:val="24"/>
          <w:szCs w:val="24"/>
          <w:lang w:val="en-US"/>
        </w:rPr>
        <w:t xml:space="preserve">The specific methane production (SMP)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(1:0, 3:1, 1:3 and 0:1 on VS basis) were determinate in biodegradability test. Figure 1 shows the average value of SMP after withdrawing the methane production from the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blank assays, which was 0.17±0.02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 xml:space="preserve">/kg VS. </w:t>
      </w:r>
      <w:proofErr w:type="spellStart"/>
      <w:r w:rsidRPr="007F06A0">
        <w:rPr>
          <w:rFonts w:ascii="Arial" w:hAnsi="Arial" w:cs="Arial"/>
          <w:sz w:val="24"/>
          <w:szCs w:val="24"/>
          <w:lang w:val="en-US"/>
        </w:rPr>
        <w:t>Monodigestion</w:t>
      </w:r>
      <w:proofErr w:type="spellEnd"/>
      <w:r w:rsidRPr="007F06A0">
        <w:rPr>
          <w:rFonts w:ascii="Arial" w:hAnsi="Arial" w:cs="Arial"/>
          <w:sz w:val="24"/>
          <w:szCs w:val="24"/>
          <w:lang w:val="en-US"/>
        </w:rPr>
        <w:t xml:space="preserve"> assays were </w:t>
      </w:r>
      <w:proofErr w:type="spellStart"/>
      <w:r w:rsidRPr="007F06A0">
        <w:rPr>
          <w:rFonts w:ascii="Arial" w:hAnsi="Arial" w:cs="Arial"/>
          <w:sz w:val="24"/>
          <w:szCs w:val="24"/>
          <w:lang w:val="en-US"/>
        </w:rPr>
        <w:lastRenderedPageBreak/>
        <w:t>Vinasse</w:t>
      </w:r>
      <w:proofErr w:type="spellEnd"/>
      <w:r w:rsidRPr="007F06A0">
        <w:rPr>
          <w:rFonts w:ascii="Arial" w:hAnsi="Arial" w:cs="Arial"/>
          <w:sz w:val="24"/>
          <w:szCs w:val="24"/>
          <w:lang w:val="en-US"/>
        </w:rPr>
        <w:t xml:space="preserve"> to CM ratios of 1:0 and 0:1. The </w:t>
      </w:r>
      <w:proofErr w:type="spellStart"/>
      <w:r w:rsidRPr="007F06A0">
        <w:rPr>
          <w:rFonts w:ascii="Arial" w:hAnsi="Arial" w:cs="Arial"/>
          <w:sz w:val="24"/>
          <w:szCs w:val="24"/>
          <w:lang w:val="en-US"/>
        </w:rPr>
        <w:t>monodigestions</w:t>
      </w:r>
      <w:proofErr w:type="spellEnd"/>
      <w:r w:rsidRPr="007F06A0">
        <w:rPr>
          <w:rFonts w:ascii="Arial" w:hAnsi="Arial" w:cs="Arial"/>
          <w:sz w:val="24"/>
          <w:szCs w:val="24"/>
          <w:lang w:val="en-US"/>
        </w:rPr>
        <w:t xml:space="preserve"> accomplished SMPs of 0.43±0.04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/kg VS and 0.39±0.02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/kg VS, values in that range reported at literature (</w:t>
      </w:r>
      <w:proofErr w:type="spellStart"/>
      <w:r w:rsidRPr="007F06A0">
        <w:rPr>
          <w:rFonts w:ascii="Arial" w:hAnsi="Arial" w:cs="Arial"/>
          <w:sz w:val="24"/>
          <w:szCs w:val="24"/>
          <w:lang w:val="en-US"/>
        </w:rPr>
        <w:t>Djalma</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2016; Marin-Batista </w:t>
      </w:r>
      <w:r w:rsidRPr="007F06A0">
        <w:rPr>
          <w:rFonts w:ascii="Arial" w:hAnsi="Arial" w:cs="Arial"/>
          <w:i/>
          <w:sz w:val="24"/>
          <w:szCs w:val="24"/>
          <w:lang w:val="en-US"/>
        </w:rPr>
        <w:t>et al</w:t>
      </w:r>
      <w:r w:rsidRPr="007F06A0">
        <w:rPr>
          <w:rFonts w:ascii="Arial" w:hAnsi="Arial" w:cs="Arial"/>
          <w:sz w:val="24"/>
          <w:szCs w:val="24"/>
          <w:lang w:val="en-US"/>
        </w:rPr>
        <w:t xml:space="preserve">., 2015). Then, anaerobic digestion of chicken manure and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by separately works as a strategy for waste management. Anaerobic digestion of both wastes in a single reactor should be a well strategy for the waste management as well as energy recovery.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of 3:1 and 1:3 represented the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between both </w:t>
      </w:r>
      <w:proofErr w:type="spellStart"/>
      <w:r w:rsidRPr="007F06A0">
        <w:rPr>
          <w:rFonts w:ascii="Arial" w:hAnsi="Arial" w:cs="Arial"/>
          <w:sz w:val="24"/>
          <w:szCs w:val="24"/>
          <w:lang w:val="en-US"/>
        </w:rPr>
        <w:t>feedstocks</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assays significantly (p=0.00) increased the SMP up to 0.65±0.01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/kg SV and 0.56±0.02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 xml:space="preserve">/kg SV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 of 3:1 y 1:3, values higher than </w:t>
      </w:r>
      <w:proofErr w:type="spellStart"/>
      <w:r w:rsidRPr="007F06A0">
        <w:rPr>
          <w:rFonts w:ascii="Arial" w:hAnsi="Arial" w:cs="Arial"/>
          <w:sz w:val="24"/>
          <w:szCs w:val="24"/>
          <w:lang w:val="en-US"/>
        </w:rPr>
        <w:t>monodigestion</w:t>
      </w:r>
      <w:proofErr w:type="spellEnd"/>
      <w:r w:rsidRPr="007F06A0">
        <w:rPr>
          <w:rFonts w:ascii="Arial" w:hAnsi="Arial" w:cs="Arial"/>
          <w:sz w:val="24"/>
          <w:szCs w:val="24"/>
          <w:lang w:val="en-US"/>
        </w:rPr>
        <w:t xml:space="preserve"> assays. Previous studies reported than CM could provide essential nutrients fostering microbial metabolism and therefore methane production (Li </w:t>
      </w:r>
      <w:r w:rsidRPr="007F06A0">
        <w:rPr>
          <w:rFonts w:ascii="Arial" w:hAnsi="Arial" w:cs="Arial"/>
          <w:i/>
          <w:sz w:val="24"/>
          <w:szCs w:val="24"/>
          <w:lang w:val="en-US"/>
        </w:rPr>
        <w:t>et al</w:t>
      </w:r>
      <w:r w:rsidRPr="007F06A0">
        <w:rPr>
          <w:rFonts w:ascii="Arial" w:hAnsi="Arial" w:cs="Arial"/>
          <w:sz w:val="24"/>
          <w:szCs w:val="24"/>
          <w:lang w:val="en-US"/>
        </w:rPr>
        <w:t xml:space="preserve">., 2013). In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assay, methane production increased as well as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increased in the ratio. Probably, due to high concentration of easily and rapidly biodegradable sugars in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that raise exponentially the conversion efficiency (Yang </w:t>
      </w:r>
      <w:r w:rsidRPr="007F06A0">
        <w:rPr>
          <w:rFonts w:ascii="Arial" w:hAnsi="Arial" w:cs="Arial"/>
          <w:i/>
          <w:sz w:val="24"/>
          <w:szCs w:val="24"/>
          <w:lang w:val="en-US"/>
        </w:rPr>
        <w:t>et al</w:t>
      </w:r>
      <w:r w:rsidRPr="007F06A0">
        <w:rPr>
          <w:rFonts w:ascii="Arial" w:hAnsi="Arial" w:cs="Arial"/>
          <w:sz w:val="24"/>
          <w:szCs w:val="24"/>
          <w:lang w:val="en-US"/>
        </w:rPr>
        <w:t xml:space="preserve">., 2015). Most of organic matter in CM is conformed of proteins and low degradable compose as well as cellulose, </w:t>
      </w:r>
      <w:proofErr w:type="spellStart"/>
      <w:r w:rsidRPr="007F06A0">
        <w:rPr>
          <w:rFonts w:ascii="Arial" w:hAnsi="Arial" w:cs="Arial"/>
          <w:sz w:val="24"/>
          <w:szCs w:val="24"/>
          <w:lang w:val="en-US"/>
        </w:rPr>
        <w:t>hemicellulose</w:t>
      </w:r>
      <w:proofErr w:type="spellEnd"/>
      <w:r w:rsidRPr="007F06A0">
        <w:rPr>
          <w:rFonts w:ascii="Arial" w:hAnsi="Arial" w:cs="Arial"/>
          <w:sz w:val="24"/>
          <w:szCs w:val="24"/>
          <w:lang w:val="en-US"/>
        </w:rPr>
        <w:t xml:space="preserve"> and lignin (Li </w:t>
      </w:r>
      <w:r w:rsidRPr="007F06A0">
        <w:rPr>
          <w:rFonts w:ascii="Arial" w:hAnsi="Arial" w:cs="Arial"/>
          <w:i/>
          <w:sz w:val="24"/>
          <w:szCs w:val="24"/>
          <w:lang w:val="en-US"/>
        </w:rPr>
        <w:t>et al</w:t>
      </w:r>
      <w:r w:rsidRPr="007F06A0">
        <w:rPr>
          <w:rFonts w:ascii="Arial" w:hAnsi="Arial" w:cs="Arial"/>
          <w:sz w:val="24"/>
          <w:szCs w:val="24"/>
          <w:lang w:val="en-US"/>
        </w:rPr>
        <w:t>., 2013). Then, a high supplementation of CM reduces the biodegradability rate resulting in a slightly lower methane production when methane yield is compared at the 30 days digestion.</w:t>
      </w:r>
    </w:p>
    <w:p w:rsidR="0076196A" w:rsidRPr="00AB3A8C" w:rsidRDefault="00B26CCE" w:rsidP="0076196A">
      <w:pPr>
        <w:tabs>
          <w:tab w:val="left" w:pos="2290"/>
        </w:tabs>
        <w:spacing w:line="360" w:lineRule="auto"/>
        <w:jc w:val="center"/>
        <w:rPr>
          <w:rFonts w:ascii="Arial" w:hAnsi="Arial" w:cs="Arial"/>
          <w:sz w:val="24"/>
          <w:szCs w:val="24"/>
          <w:lang w:val="en-US"/>
        </w:rPr>
      </w:pPr>
      <w:r>
        <w:rPr>
          <w:rFonts w:ascii="Arial" w:hAnsi="Arial" w:cs="Arial"/>
          <w:noProof/>
          <w:sz w:val="24"/>
          <w:szCs w:val="24"/>
          <w:lang w:eastAsia="es-CO"/>
        </w:rPr>
        <w:drawing>
          <wp:inline distT="0" distB="0" distL="0" distR="0">
            <wp:extent cx="3848100" cy="2470150"/>
            <wp:effectExtent l="0" t="0" r="0" b="63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4068" w:rsidRPr="00AB3A8C" w:rsidRDefault="007F06A0" w:rsidP="0076196A">
      <w:pPr>
        <w:tabs>
          <w:tab w:val="left" w:pos="2290"/>
        </w:tabs>
        <w:spacing w:after="0" w:line="360" w:lineRule="auto"/>
        <w:jc w:val="both"/>
        <w:rPr>
          <w:rFonts w:ascii="Arial" w:hAnsi="Arial" w:cs="Arial"/>
          <w:sz w:val="24"/>
          <w:szCs w:val="24"/>
          <w:lang w:val="en-US"/>
        </w:rPr>
      </w:pPr>
      <w:proofErr w:type="gramStart"/>
      <w:r w:rsidRPr="007F06A0">
        <w:rPr>
          <w:rFonts w:ascii="Arial" w:hAnsi="Arial" w:cs="Arial"/>
          <w:b/>
          <w:sz w:val="24"/>
          <w:szCs w:val="24"/>
          <w:lang w:val="en-US"/>
        </w:rPr>
        <w:lastRenderedPageBreak/>
        <w:t>Figure 1.</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 xml:space="preserve">Specific methane production for different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(V) to chicken manure (CM) ratios.</w:t>
      </w:r>
      <w:proofErr w:type="gramEnd"/>
    </w:p>
    <w:p w:rsidR="0076196A" w:rsidRPr="00AB3A8C" w:rsidRDefault="0076196A" w:rsidP="0076196A">
      <w:pPr>
        <w:tabs>
          <w:tab w:val="left" w:pos="2290"/>
          <w:tab w:val="left" w:pos="4536"/>
        </w:tabs>
        <w:spacing w:after="0" w:line="360" w:lineRule="auto"/>
        <w:jc w:val="both"/>
        <w:rPr>
          <w:rFonts w:ascii="Arial" w:eastAsiaTheme="minorEastAsia" w:hAnsi="Arial" w:cs="Arial"/>
          <w:sz w:val="24"/>
          <w:szCs w:val="24"/>
          <w:lang w:val="en-US"/>
        </w:rPr>
      </w:pPr>
    </w:p>
    <w:p w:rsidR="0076196A" w:rsidRPr="00AB3A8C" w:rsidRDefault="007F06A0" w:rsidP="0076196A">
      <w:pPr>
        <w:tabs>
          <w:tab w:val="left" w:pos="2290"/>
          <w:tab w:val="left" w:pos="4536"/>
        </w:tabs>
        <w:spacing w:after="0" w:line="360" w:lineRule="auto"/>
        <w:jc w:val="both"/>
        <w:rPr>
          <w:rFonts w:ascii="Arial" w:eastAsia="Times New Roman" w:hAnsi="Arial" w:cs="Arial"/>
          <w:sz w:val="24"/>
          <w:szCs w:val="24"/>
          <w:lang w:val="en-US" w:eastAsia="es-CO"/>
        </w:rPr>
      </w:pPr>
      <w:r w:rsidRPr="007F06A0">
        <w:rPr>
          <w:rFonts w:ascii="Arial" w:eastAsiaTheme="minorEastAsia" w:hAnsi="Arial" w:cs="Arial"/>
          <w:sz w:val="24"/>
          <w:szCs w:val="24"/>
          <w:lang w:val="en-US"/>
        </w:rPr>
        <w:t xml:space="preserve">Table 2 presents a comparison of SMP, WSMP and </w:t>
      </w:r>
      <w:r w:rsidRPr="007F06A0">
        <w:rPr>
          <w:rFonts w:ascii="Arial" w:hAnsi="Arial" w:cs="Arial"/>
          <w:sz w:val="24"/>
          <w:szCs w:val="24"/>
          <w:lang w:val="en-US"/>
        </w:rPr>
        <w:t>synergistic effects (</w:t>
      </w:r>
      <m:oMath>
        <m:r>
          <w:rPr>
            <w:rFonts w:ascii="Cambria Math" w:hAnsi="Cambria Math" w:cs="Arial"/>
            <w:sz w:val="24"/>
            <w:szCs w:val="24"/>
            <w:lang w:val="en-US"/>
          </w:rPr>
          <m:t>∅)</m:t>
        </m:r>
      </m:oMath>
      <w:r w:rsidRPr="007F06A0">
        <w:rPr>
          <w:rFonts w:ascii="Arial" w:eastAsiaTheme="minorEastAsia" w:hAnsi="Arial" w:cs="Arial"/>
          <w:sz w:val="24"/>
          <w:szCs w:val="24"/>
          <w:lang w:val="en-US"/>
        </w:rPr>
        <w:t xml:space="preserve">. WSMP correspond to </w:t>
      </w:r>
      <w:r w:rsidRPr="007F06A0">
        <w:rPr>
          <w:rFonts w:ascii="Arial" w:hAnsi="Arial" w:cs="Arial"/>
          <w:sz w:val="24"/>
          <w:szCs w:val="24"/>
          <w:lang w:val="en-US"/>
        </w:rPr>
        <w:t xml:space="preserve">weighted average of the individual waste’s SMP. </w:t>
      </w:r>
      <w:r w:rsidRPr="007F06A0">
        <w:rPr>
          <w:rFonts w:ascii="Arial" w:eastAsiaTheme="minorEastAsia" w:hAnsi="Arial" w:cs="Arial"/>
          <w:sz w:val="24"/>
          <w:szCs w:val="24"/>
          <w:lang w:val="en-US"/>
        </w:rPr>
        <w:t xml:space="preserve">WSMP represents the expected methane production by mixing </w:t>
      </w:r>
      <w:proofErr w:type="spellStart"/>
      <w:r w:rsidRPr="007F06A0">
        <w:rPr>
          <w:rFonts w:ascii="Arial" w:eastAsiaTheme="minorEastAsia" w:hAnsi="Arial" w:cs="Arial"/>
          <w:sz w:val="24"/>
          <w:szCs w:val="24"/>
          <w:lang w:val="en-US"/>
        </w:rPr>
        <w:t>vinasse</w:t>
      </w:r>
      <w:proofErr w:type="spellEnd"/>
      <w:r w:rsidRPr="007F06A0">
        <w:rPr>
          <w:rFonts w:ascii="Arial" w:eastAsiaTheme="minorEastAsia" w:hAnsi="Arial" w:cs="Arial"/>
          <w:sz w:val="24"/>
          <w:szCs w:val="24"/>
          <w:lang w:val="en-US"/>
        </w:rPr>
        <w:t xml:space="preserve"> and chicken manure. WSPM was calculated using equation 1. Subtraction between SMP and WSMP indicated an extra methane production obtained during digestion assay. Values of SMP and WSMP increased proportionally as portion of </w:t>
      </w:r>
      <w:proofErr w:type="spellStart"/>
      <w:r w:rsidRPr="007F06A0">
        <w:rPr>
          <w:rFonts w:ascii="Arial" w:eastAsiaTheme="minorEastAsia" w:hAnsi="Arial" w:cs="Arial"/>
          <w:sz w:val="24"/>
          <w:szCs w:val="24"/>
          <w:lang w:val="en-US"/>
        </w:rPr>
        <w:t>vinasse</w:t>
      </w:r>
      <w:proofErr w:type="spellEnd"/>
      <w:r w:rsidRPr="007F06A0">
        <w:rPr>
          <w:rFonts w:ascii="Arial" w:eastAsiaTheme="minorEastAsia" w:hAnsi="Arial" w:cs="Arial"/>
          <w:sz w:val="24"/>
          <w:szCs w:val="24"/>
          <w:lang w:val="en-US"/>
        </w:rPr>
        <w:t xml:space="preserve"> increases in the mixture. Both SMP and WS</w:t>
      </w:r>
      <w:r w:rsidRPr="007F06A0">
        <w:rPr>
          <w:rFonts w:ascii="Arial" w:hAnsi="Arial" w:cs="Arial"/>
          <w:sz w:val="24"/>
          <w:szCs w:val="24"/>
          <w:lang w:val="en-US"/>
        </w:rPr>
        <w:t xml:space="preserve">MP showed the same tendency confirming the accuracy of </w:t>
      </w:r>
      <w:proofErr w:type="spellStart"/>
      <w:r w:rsidRPr="007F06A0">
        <w:rPr>
          <w:rFonts w:ascii="Arial" w:hAnsi="Arial" w:cs="Arial"/>
          <w:sz w:val="24"/>
          <w:szCs w:val="24"/>
          <w:lang w:val="en-US"/>
        </w:rPr>
        <w:t>BMPt</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 of 3:1 and 1:3 achieved an extra methane production higher up to 55% and 44%, respectively. The extra methane production can be attributed to synergistic effect (</w:t>
      </w:r>
      <w:proofErr w:type="spellStart"/>
      <w:r w:rsidRPr="007F06A0">
        <w:rPr>
          <w:rFonts w:ascii="Arial" w:hAnsi="Arial" w:cs="Arial"/>
          <w:sz w:val="24"/>
          <w:szCs w:val="24"/>
          <w:lang w:val="en-US"/>
        </w:rPr>
        <w:t>Labatut</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2011). </w:t>
      </w:r>
      <w:r w:rsidRPr="007F06A0">
        <w:rPr>
          <w:rFonts w:ascii="Arial" w:eastAsia="Times New Roman" w:hAnsi="Arial" w:cs="Arial"/>
          <w:sz w:val="24"/>
          <w:szCs w:val="24"/>
          <w:lang w:val="en-US" w:eastAsia="es-CO"/>
        </w:rPr>
        <w:t xml:space="preserve">Currently, there is limited knowledge about how waste composition influences </w:t>
      </w:r>
      <w:proofErr w:type="spellStart"/>
      <w:r w:rsidRPr="007F06A0">
        <w:rPr>
          <w:rFonts w:ascii="Arial" w:eastAsia="Times New Roman" w:hAnsi="Arial" w:cs="Arial"/>
          <w:sz w:val="24"/>
          <w:szCs w:val="24"/>
          <w:lang w:val="en-US" w:eastAsia="es-CO"/>
        </w:rPr>
        <w:t>AcoD</w:t>
      </w:r>
      <w:proofErr w:type="spellEnd"/>
      <w:r w:rsidRPr="007F06A0">
        <w:rPr>
          <w:rFonts w:ascii="Arial" w:eastAsia="Times New Roman" w:hAnsi="Arial" w:cs="Arial"/>
          <w:sz w:val="24"/>
          <w:szCs w:val="24"/>
          <w:lang w:val="en-US" w:eastAsia="es-CO"/>
        </w:rPr>
        <w:t xml:space="preserve"> performance or whether interactions between substrates enhance or attenuate inhibition thresholds, degradation rates, or biogas yields on individual substrates (</w:t>
      </w:r>
      <w:proofErr w:type="spellStart"/>
      <w:r w:rsidRPr="007F06A0">
        <w:rPr>
          <w:rFonts w:ascii="Arial" w:eastAsia="Times New Roman" w:hAnsi="Arial" w:cs="Arial"/>
          <w:sz w:val="24"/>
          <w:szCs w:val="24"/>
          <w:lang w:val="en-US" w:eastAsia="es-CO"/>
        </w:rPr>
        <w:t>Astals</w:t>
      </w:r>
      <w:proofErr w:type="spellEnd"/>
      <w:r w:rsidRPr="007F06A0">
        <w:rPr>
          <w:rFonts w:ascii="Arial" w:eastAsia="Times New Roman" w:hAnsi="Arial" w:cs="Arial"/>
          <w:sz w:val="24"/>
          <w:szCs w:val="24"/>
          <w:lang w:val="en-US" w:eastAsia="es-CO"/>
        </w:rPr>
        <w:t xml:space="preserve"> </w:t>
      </w:r>
      <w:r w:rsidRPr="007F06A0">
        <w:rPr>
          <w:rFonts w:ascii="Arial" w:eastAsia="Times New Roman" w:hAnsi="Arial" w:cs="Arial"/>
          <w:i/>
          <w:sz w:val="24"/>
          <w:szCs w:val="24"/>
          <w:lang w:val="en-US" w:eastAsia="es-CO"/>
        </w:rPr>
        <w:t>et al</w:t>
      </w:r>
      <w:r w:rsidRPr="007F06A0">
        <w:rPr>
          <w:rFonts w:ascii="Arial" w:eastAsia="Times New Roman" w:hAnsi="Arial" w:cs="Arial"/>
          <w:sz w:val="24"/>
          <w:szCs w:val="24"/>
          <w:lang w:val="en-US" w:eastAsia="es-CO"/>
        </w:rPr>
        <w:t>., 2014). It could be explained because of the variety in the substrate composition encourage the growth of microorganisms stimulating the anaerobic degradation process (</w:t>
      </w:r>
      <w:proofErr w:type="spellStart"/>
      <w:r w:rsidRPr="007F06A0">
        <w:rPr>
          <w:rFonts w:ascii="Arial" w:hAnsi="Arial" w:cs="Arial"/>
          <w:sz w:val="24"/>
          <w:szCs w:val="24"/>
          <w:lang w:val="en-US"/>
        </w:rPr>
        <w:t>Pagés</w:t>
      </w:r>
      <w:proofErr w:type="spellEnd"/>
      <w:r w:rsidRPr="007F06A0">
        <w:rPr>
          <w:rFonts w:ascii="Arial" w:hAnsi="Arial" w:cs="Arial"/>
          <w:sz w:val="24"/>
          <w:szCs w:val="24"/>
          <w:lang w:val="en-US"/>
        </w:rPr>
        <w:t xml:space="preserve">-Díaz </w:t>
      </w:r>
      <w:r w:rsidRPr="007F06A0">
        <w:rPr>
          <w:rFonts w:ascii="Arial" w:eastAsia="Times New Roman" w:hAnsi="Arial" w:cs="Arial"/>
          <w:i/>
          <w:sz w:val="24"/>
          <w:szCs w:val="24"/>
          <w:lang w:val="en-US" w:eastAsia="es-CO"/>
        </w:rPr>
        <w:t>et al</w:t>
      </w:r>
      <w:r w:rsidRPr="007F06A0">
        <w:rPr>
          <w:rFonts w:ascii="Arial" w:eastAsia="Times New Roman" w:hAnsi="Arial" w:cs="Arial"/>
          <w:sz w:val="24"/>
          <w:szCs w:val="24"/>
          <w:lang w:val="en-US" w:eastAsia="es-CO"/>
        </w:rPr>
        <w:t xml:space="preserve">., 2014), since mixtures could have all of the nutrients and trace elements that microorganisms need for their growth. Then, Synergistic effect could be defined as a qualitative parameter to evaluate the feasibility of the co digesting mixture and the SMP could be used as indicator of synergism. In this study, synergistic effects </w:t>
      </w:r>
      <w:r w:rsidRPr="007F06A0">
        <w:rPr>
          <w:rFonts w:ascii="Arial" w:eastAsiaTheme="minorEastAsia" w:hAnsi="Arial" w:cs="Arial"/>
          <w:sz w:val="24"/>
          <w:szCs w:val="24"/>
          <w:lang w:val="en-US"/>
        </w:rPr>
        <w:t xml:space="preserve">were tested using the equation 2. According to the results (table 2) </w:t>
      </w:r>
      <w:proofErr w:type="spellStart"/>
      <w:r w:rsidRPr="007F06A0">
        <w:rPr>
          <w:rFonts w:ascii="Arial" w:eastAsia="Times New Roman" w:hAnsi="Arial" w:cs="Arial"/>
          <w:sz w:val="24"/>
          <w:szCs w:val="24"/>
          <w:lang w:val="en-US" w:eastAsia="es-CO"/>
        </w:rPr>
        <w:t>vinasse</w:t>
      </w:r>
      <w:proofErr w:type="spellEnd"/>
      <w:r w:rsidRPr="007F06A0">
        <w:rPr>
          <w:rFonts w:ascii="Arial" w:eastAsia="Times New Roman" w:hAnsi="Arial" w:cs="Arial"/>
          <w:sz w:val="24"/>
          <w:szCs w:val="24"/>
          <w:lang w:val="en-US" w:eastAsia="es-CO"/>
        </w:rPr>
        <w:t xml:space="preserve"> to CM </w:t>
      </w:r>
      <w:r w:rsidRPr="007F06A0">
        <w:rPr>
          <w:rFonts w:ascii="Arial" w:hAnsi="Arial" w:cs="Arial"/>
          <w:sz w:val="24"/>
          <w:szCs w:val="24"/>
          <w:lang w:val="en-US"/>
        </w:rPr>
        <w:t xml:space="preserve">ratios of 3:1 and 1:3 presented </w:t>
      </w:r>
      <m:oMath>
        <m:r>
          <w:rPr>
            <w:rFonts w:ascii="Cambria Math" w:hAnsi="Cambria Math" w:cs="Arial"/>
            <w:sz w:val="24"/>
            <w:szCs w:val="24"/>
            <w:lang w:val="en-US"/>
          </w:rPr>
          <m:t>∅</m:t>
        </m:r>
      </m:oMath>
      <w:r w:rsidRPr="007F06A0">
        <w:rPr>
          <w:rFonts w:ascii="Arial" w:eastAsiaTheme="minorEastAsia" w:hAnsi="Arial" w:cs="Arial"/>
          <w:sz w:val="24"/>
          <w:szCs w:val="24"/>
          <w:lang w:val="en-US"/>
        </w:rPr>
        <w:t xml:space="preserve"> values of </w:t>
      </w:r>
      <w:r w:rsidRPr="007F06A0">
        <w:rPr>
          <w:rFonts w:ascii="Arial" w:eastAsia="Times New Roman" w:hAnsi="Arial" w:cs="Arial"/>
          <w:sz w:val="24"/>
          <w:szCs w:val="24"/>
          <w:lang w:val="en-US" w:eastAsia="es-CO"/>
        </w:rPr>
        <w:t xml:space="preserve">+1. Then all the mixture ratios presented synergistic effects. </w:t>
      </w:r>
    </w:p>
    <w:p w:rsidR="005F6C67" w:rsidRPr="00AB3A8C" w:rsidRDefault="007F06A0" w:rsidP="0076196A">
      <w:pPr>
        <w:tabs>
          <w:tab w:val="left" w:pos="2290"/>
          <w:tab w:val="left" w:pos="4536"/>
        </w:tabs>
        <w:spacing w:after="0" w:line="360" w:lineRule="auto"/>
        <w:jc w:val="both"/>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 xml:space="preserve"> </w:t>
      </w:r>
    </w:p>
    <w:tbl>
      <w:tblPr>
        <w:tblW w:w="9072" w:type="dxa"/>
        <w:jc w:val="center"/>
        <w:tblCellMar>
          <w:left w:w="70" w:type="dxa"/>
          <w:right w:w="70" w:type="dxa"/>
        </w:tblCellMar>
        <w:tblLook w:val="04A0"/>
      </w:tblPr>
      <w:tblGrid>
        <w:gridCol w:w="2127"/>
        <w:gridCol w:w="2180"/>
        <w:gridCol w:w="1930"/>
        <w:gridCol w:w="851"/>
        <w:gridCol w:w="1984"/>
      </w:tblGrid>
      <w:tr w:rsidR="006258FB" w:rsidRPr="00480096" w:rsidTr="001E7FC4">
        <w:trPr>
          <w:trHeight w:val="375"/>
          <w:jc w:val="center"/>
        </w:trPr>
        <w:tc>
          <w:tcPr>
            <w:tcW w:w="9072" w:type="dxa"/>
            <w:gridSpan w:val="5"/>
            <w:tcBorders>
              <w:top w:val="nil"/>
              <w:bottom w:val="single" w:sz="4" w:space="0" w:color="auto"/>
            </w:tcBorders>
            <w:shd w:val="clear" w:color="auto" w:fill="auto"/>
            <w:noWrap/>
            <w:vAlign w:val="center"/>
          </w:tcPr>
          <w:p w:rsidR="006258FB" w:rsidRPr="00AB3A8C" w:rsidRDefault="007F06A0" w:rsidP="0076196A">
            <w:pPr>
              <w:spacing w:after="0" w:line="360" w:lineRule="auto"/>
              <w:jc w:val="both"/>
              <w:rPr>
                <w:rFonts w:ascii="Arial" w:eastAsia="Times New Roman" w:hAnsi="Arial" w:cs="Arial"/>
                <w:sz w:val="24"/>
                <w:szCs w:val="24"/>
                <w:lang w:val="en-US" w:eastAsia="es-CO"/>
              </w:rPr>
            </w:pPr>
            <w:r w:rsidRPr="007F06A0">
              <w:rPr>
                <w:rFonts w:ascii="Arial" w:eastAsia="Times New Roman" w:hAnsi="Arial" w:cs="Arial"/>
                <w:b/>
                <w:sz w:val="24"/>
                <w:szCs w:val="24"/>
                <w:lang w:val="en-US" w:eastAsia="es-CO"/>
              </w:rPr>
              <w:t>Table 2.</w:t>
            </w:r>
            <w:r w:rsidRPr="007F06A0">
              <w:rPr>
                <w:rFonts w:ascii="Arial" w:eastAsia="Times New Roman" w:hAnsi="Arial" w:cs="Arial"/>
                <w:sz w:val="24"/>
                <w:szCs w:val="24"/>
                <w:lang w:val="en-US" w:eastAsia="es-CO"/>
              </w:rPr>
              <w:t xml:space="preserve"> Synergism or antagonism during </w:t>
            </w:r>
            <w:proofErr w:type="spellStart"/>
            <w:r w:rsidRPr="007F06A0">
              <w:rPr>
                <w:rFonts w:ascii="Arial" w:eastAsia="Times New Roman" w:hAnsi="Arial" w:cs="Arial"/>
                <w:sz w:val="24"/>
                <w:szCs w:val="24"/>
                <w:lang w:val="en-US" w:eastAsia="es-CO"/>
              </w:rPr>
              <w:t>AcoD</w:t>
            </w:r>
            <w:proofErr w:type="spellEnd"/>
            <w:r w:rsidRPr="007F06A0">
              <w:rPr>
                <w:rFonts w:ascii="Arial" w:eastAsia="Times New Roman" w:hAnsi="Arial" w:cs="Arial"/>
                <w:sz w:val="24"/>
                <w:szCs w:val="24"/>
                <w:lang w:val="en-US" w:eastAsia="es-CO"/>
              </w:rPr>
              <w:t xml:space="preserve"> of </w:t>
            </w:r>
            <w:proofErr w:type="spellStart"/>
            <w:r w:rsidRPr="007F06A0">
              <w:rPr>
                <w:rFonts w:ascii="Arial" w:eastAsia="Times New Roman" w:hAnsi="Arial" w:cs="Arial"/>
                <w:sz w:val="24"/>
                <w:szCs w:val="24"/>
                <w:lang w:val="en-US" w:eastAsia="es-CO"/>
              </w:rPr>
              <w:t>vinasse</w:t>
            </w:r>
            <w:proofErr w:type="spellEnd"/>
            <w:r w:rsidRPr="007F06A0">
              <w:rPr>
                <w:rFonts w:ascii="Arial" w:eastAsia="Times New Roman" w:hAnsi="Arial" w:cs="Arial"/>
                <w:sz w:val="24"/>
                <w:szCs w:val="24"/>
                <w:lang w:val="en-US" w:eastAsia="es-CO"/>
              </w:rPr>
              <w:t xml:space="preserve"> (V) and chicken manure (CM)</w:t>
            </w:r>
          </w:p>
        </w:tc>
      </w:tr>
      <w:tr w:rsidR="006258FB" w:rsidRPr="00AB3A8C" w:rsidTr="001E7FC4">
        <w:trPr>
          <w:trHeight w:val="375"/>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Ratios</w:t>
            </w:r>
          </w:p>
        </w:tc>
        <w:tc>
          <w:tcPr>
            <w:tcW w:w="2180"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SMP</w:t>
            </w:r>
          </w:p>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(m</w:t>
            </w:r>
            <w:r w:rsidRPr="007F06A0">
              <w:rPr>
                <w:rFonts w:ascii="Arial" w:eastAsia="Times New Roman" w:hAnsi="Arial" w:cs="Arial"/>
                <w:sz w:val="24"/>
                <w:szCs w:val="24"/>
                <w:vertAlign w:val="superscript"/>
                <w:lang w:val="en-US" w:eastAsia="es-CO"/>
              </w:rPr>
              <w:t>3</w:t>
            </w:r>
            <w:r w:rsidRPr="007F06A0">
              <w:rPr>
                <w:rFonts w:ascii="Arial" w:eastAsia="Times New Roman" w:hAnsi="Arial" w:cs="Arial"/>
                <w:sz w:val="24"/>
                <w:szCs w:val="24"/>
                <w:lang w:val="en-US" w:eastAsia="es-CO"/>
              </w:rPr>
              <w:t xml:space="preserve"> CH</w:t>
            </w:r>
            <w:r w:rsidRPr="007F06A0">
              <w:rPr>
                <w:rFonts w:ascii="Arial" w:eastAsia="Times New Roman" w:hAnsi="Arial" w:cs="Arial"/>
                <w:sz w:val="24"/>
                <w:szCs w:val="24"/>
                <w:vertAlign w:val="subscript"/>
                <w:lang w:val="en-US" w:eastAsia="es-CO"/>
              </w:rPr>
              <w:t>4</w:t>
            </w:r>
            <w:r w:rsidRPr="007F06A0">
              <w:rPr>
                <w:rFonts w:ascii="Arial" w:eastAsia="Times New Roman" w:hAnsi="Arial" w:cs="Arial"/>
                <w:sz w:val="24"/>
                <w:szCs w:val="24"/>
                <w:lang w:val="en-US" w:eastAsia="es-CO"/>
              </w:rPr>
              <w:t>/kg VS)</w:t>
            </w:r>
          </w:p>
        </w:tc>
        <w:tc>
          <w:tcPr>
            <w:tcW w:w="1930" w:type="dxa"/>
            <w:tcBorders>
              <w:top w:val="nil"/>
              <w:left w:val="single" w:sz="4" w:space="0" w:color="auto"/>
              <w:bottom w:val="single" w:sz="4" w:space="0" w:color="auto"/>
              <w:right w:val="single" w:sz="4" w:space="0" w:color="auto"/>
            </w:tcBorders>
            <w:shd w:val="clear" w:color="auto" w:fill="auto"/>
            <w:noWrap/>
            <w:vAlign w:val="center"/>
            <w:hideMark/>
          </w:tcPr>
          <w:p w:rsidR="006746BC"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 xml:space="preserve">WSMP   </w:t>
            </w:r>
          </w:p>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 xml:space="preserve"> (m</w:t>
            </w:r>
            <w:r w:rsidRPr="007F06A0">
              <w:rPr>
                <w:rFonts w:ascii="Arial" w:eastAsia="Times New Roman" w:hAnsi="Arial" w:cs="Arial"/>
                <w:sz w:val="24"/>
                <w:szCs w:val="24"/>
                <w:vertAlign w:val="superscript"/>
                <w:lang w:val="en-US" w:eastAsia="es-CO"/>
              </w:rPr>
              <w:t>3</w:t>
            </w:r>
            <w:r w:rsidRPr="007F06A0">
              <w:rPr>
                <w:rFonts w:ascii="Arial" w:eastAsia="Times New Roman" w:hAnsi="Arial" w:cs="Arial"/>
                <w:sz w:val="24"/>
                <w:szCs w:val="24"/>
                <w:lang w:val="en-US" w:eastAsia="es-CO"/>
              </w:rPr>
              <w:t xml:space="preserve"> CH</w:t>
            </w:r>
            <w:r w:rsidRPr="007F06A0">
              <w:rPr>
                <w:rFonts w:ascii="Arial" w:eastAsia="Times New Roman" w:hAnsi="Arial" w:cs="Arial"/>
                <w:sz w:val="24"/>
                <w:szCs w:val="24"/>
                <w:vertAlign w:val="subscript"/>
                <w:lang w:val="en-US" w:eastAsia="es-CO"/>
              </w:rPr>
              <w:t>4</w:t>
            </w:r>
            <w:r w:rsidRPr="007F06A0">
              <w:rPr>
                <w:rFonts w:ascii="Arial" w:eastAsia="Times New Roman" w:hAnsi="Arial" w:cs="Arial"/>
                <w:sz w:val="24"/>
                <w:szCs w:val="24"/>
                <w:lang w:val="en-US" w:eastAsia="es-CO"/>
              </w:rPr>
              <w:t>/kg VS)</w:t>
            </w:r>
          </w:p>
        </w:tc>
        <w:tc>
          <w:tcPr>
            <w:tcW w:w="851"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m:oMathPara>
              <m:oMath>
                <m:r>
                  <w:rPr>
                    <w:rFonts w:ascii="Cambria Math" w:hAnsi="Cambria Math" w:cs="Arial"/>
                    <w:sz w:val="24"/>
                    <w:szCs w:val="24"/>
                    <w:lang w:val="en-US"/>
                  </w:rPr>
                  <m:t>∅</m:t>
                </m:r>
              </m:oMath>
            </m:oMathPara>
          </w:p>
        </w:tc>
        <w:tc>
          <w:tcPr>
            <w:tcW w:w="1984"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Effect</w:t>
            </w:r>
          </w:p>
        </w:tc>
      </w:tr>
      <w:tr w:rsidR="006258FB" w:rsidRPr="00AB3A8C" w:rsidTr="0076196A">
        <w:trPr>
          <w:trHeight w:val="517"/>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lastRenderedPageBreak/>
              <w:t>V:CM 1:0</w:t>
            </w:r>
          </w:p>
        </w:tc>
        <w:tc>
          <w:tcPr>
            <w:tcW w:w="2180"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0,43</w:t>
            </w:r>
          </w:p>
        </w:tc>
        <w:tc>
          <w:tcPr>
            <w:tcW w:w="1930" w:type="dxa"/>
            <w:tcBorders>
              <w:top w:val="nil"/>
              <w:left w:val="single" w:sz="4" w:space="0" w:color="auto"/>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c>
          <w:tcPr>
            <w:tcW w:w="851"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c>
          <w:tcPr>
            <w:tcW w:w="1984"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r>
      <w:tr w:rsidR="006258FB" w:rsidRPr="00AB3A8C" w:rsidTr="0076196A">
        <w:trPr>
          <w:trHeight w:val="553"/>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V:CM 3:1</w:t>
            </w:r>
          </w:p>
        </w:tc>
        <w:tc>
          <w:tcPr>
            <w:tcW w:w="2180"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0,65</w:t>
            </w:r>
          </w:p>
        </w:tc>
        <w:tc>
          <w:tcPr>
            <w:tcW w:w="1930" w:type="dxa"/>
            <w:tcBorders>
              <w:top w:val="nil"/>
              <w:left w:val="single" w:sz="4" w:space="0" w:color="auto"/>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0,42</w:t>
            </w:r>
          </w:p>
        </w:tc>
        <w:tc>
          <w:tcPr>
            <w:tcW w:w="851"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+1</w:t>
            </w:r>
          </w:p>
        </w:tc>
        <w:tc>
          <w:tcPr>
            <w:tcW w:w="1984"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Synergistic</w:t>
            </w:r>
          </w:p>
        </w:tc>
      </w:tr>
      <w:tr w:rsidR="006258FB" w:rsidRPr="00AB3A8C" w:rsidTr="0076196A">
        <w:trPr>
          <w:trHeight w:val="561"/>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V:CM 1:3</w:t>
            </w:r>
          </w:p>
        </w:tc>
        <w:tc>
          <w:tcPr>
            <w:tcW w:w="2180"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0,56</w:t>
            </w:r>
          </w:p>
        </w:tc>
        <w:tc>
          <w:tcPr>
            <w:tcW w:w="1930" w:type="dxa"/>
            <w:tcBorders>
              <w:top w:val="nil"/>
              <w:left w:val="single" w:sz="4" w:space="0" w:color="auto"/>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0,40</w:t>
            </w:r>
          </w:p>
        </w:tc>
        <w:tc>
          <w:tcPr>
            <w:tcW w:w="851"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+1</w:t>
            </w:r>
          </w:p>
        </w:tc>
        <w:tc>
          <w:tcPr>
            <w:tcW w:w="1984" w:type="dxa"/>
            <w:tcBorders>
              <w:top w:val="nil"/>
              <w:left w:val="nil"/>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Synergistic</w:t>
            </w:r>
          </w:p>
        </w:tc>
      </w:tr>
      <w:tr w:rsidR="006258FB" w:rsidRPr="00AB3A8C" w:rsidTr="0076196A">
        <w:trPr>
          <w:trHeight w:val="555"/>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V:CM 0:1</w:t>
            </w:r>
          </w:p>
        </w:tc>
        <w:tc>
          <w:tcPr>
            <w:tcW w:w="2180"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0,39</w:t>
            </w:r>
          </w:p>
        </w:tc>
        <w:tc>
          <w:tcPr>
            <w:tcW w:w="1930" w:type="dxa"/>
            <w:tcBorders>
              <w:top w:val="nil"/>
              <w:left w:val="single" w:sz="4" w:space="0" w:color="auto"/>
              <w:bottom w:val="single" w:sz="4" w:space="0" w:color="auto"/>
              <w:right w:val="single" w:sz="4" w:space="0" w:color="auto"/>
            </w:tcBorders>
            <w:shd w:val="clear" w:color="auto" w:fill="auto"/>
            <w:noWrap/>
            <w:vAlign w:val="center"/>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c>
          <w:tcPr>
            <w:tcW w:w="851"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c>
          <w:tcPr>
            <w:tcW w:w="1984" w:type="dxa"/>
            <w:tcBorders>
              <w:top w:val="nil"/>
              <w:left w:val="nil"/>
              <w:bottom w:val="single" w:sz="4" w:space="0" w:color="auto"/>
              <w:right w:val="single" w:sz="4" w:space="0" w:color="auto"/>
            </w:tcBorders>
            <w:shd w:val="clear" w:color="auto" w:fill="auto"/>
            <w:noWrap/>
            <w:vAlign w:val="bottom"/>
            <w:hideMark/>
          </w:tcPr>
          <w:p w:rsidR="006258FB" w:rsidRPr="00AB3A8C" w:rsidRDefault="007F06A0" w:rsidP="00FE23C2">
            <w:pPr>
              <w:spacing w:after="0" w:line="360" w:lineRule="auto"/>
              <w:jc w:val="center"/>
              <w:rPr>
                <w:rFonts w:ascii="Arial" w:eastAsia="Times New Roman" w:hAnsi="Arial" w:cs="Arial"/>
                <w:sz w:val="24"/>
                <w:szCs w:val="24"/>
                <w:lang w:val="en-US" w:eastAsia="es-CO"/>
              </w:rPr>
            </w:pPr>
            <w:r w:rsidRPr="007F06A0">
              <w:rPr>
                <w:rFonts w:ascii="Arial" w:eastAsia="Times New Roman" w:hAnsi="Arial" w:cs="Arial"/>
                <w:sz w:val="24"/>
                <w:szCs w:val="24"/>
                <w:lang w:val="en-US" w:eastAsia="es-CO"/>
              </w:rPr>
              <w:t>-</w:t>
            </w:r>
          </w:p>
        </w:tc>
      </w:tr>
    </w:tbl>
    <w:p w:rsidR="005F6C67" w:rsidRPr="00AB3A8C" w:rsidRDefault="005F6C67" w:rsidP="00FE23C2">
      <w:pPr>
        <w:pStyle w:val="Prrafodelista"/>
        <w:tabs>
          <w:tab w:val="left" w:pos="2290"/>
        </w:tabs>
        <w:spacing w:line="360" w:lineRule="auto"/>
        <w:ind w:left="420"/>
        <w:jc w:val="both"/>
        <w:rPr>
          <w:rFonts w:ascii="Arial" w:hAnsi="Arial" w:cs="Arial"/>
          <w:sz w:val="24"/>
          <w:szCs w:val="24"/>
          <w:lang w:val="en-US"/>
        </w:rPr>
      </w:pPr>
    </w:p>
    <w:p w:rsidR="0076196A" w:rsidRPr="00AB3A8C" w:rsidRDefault="0076196A" w:rsidP="00FE23C2">
      <w:pPr>
        <w:pStyle w:val="Prrafodelista"/>
        <w:tabs>
          <w:tab w:val="left" w:pos="2290"/>
        </w:tabs>
        <w:spacing w:line="360" w:lineRule="auto"/>
        <w:ind w:left="420"/>
        <w:jc w:val="both"/>
        <w:rPr>
          <w:rFonts w:ascii="Arial" w:hAnsi="Arial" w:cs="Arial"/>
          <w:sz w:val="24"/>
          <w:szCs w:val="24"/>
          <w:lang w:val="en-US"/>
        </w:rPr>
      </w:pPr>
    </w:p>
    <w:p w:rsidR="00E01C98" w:rsidRPr="00AB3A8C" w:rsidRDefault="007F06A0">
      <w:pPr>
        <w:tabs>
          <w:tab w:val="left" w:pos="2290"/>
        </w:tabs>
        <w:spacing w:line="360" w:lineRule="auto"/>
        <w:jc w:val="both"/>
        <w:rPr>
          <w:rFonts w:ascii="Arial" w:hAnsi="Arial" w:cs="Arial"/>
          <w:sz w:val="24"/>
          <w:szCs w:val="24"/>
          <w:lang w:val="en-US"/>
        </w:rPr>
      </w:pPr>
      <w:r w:rsidRPr="007F06A0">
        <w:rPr>
          <w:rFonts w:ascii="Arial" w:hAnsi="Arial" w:cs="Arial"/>
          <w:i/>
          <w:sz w:val="24"/>
          <w:szCs w:val="24"/>
          <w:lang w:val="en-US"/>
        </w:rPr>
        <w:t xml:space="preserve"> </w:t>
      </w:r>
      <w:proofErr w:type="gramStart"/>
      <w:r w:rsidRPr="007F06A0">
        <w:rPr>
          <w:rFonts w:ascii="Arial" w:hAnsi="Arial" w:cs="Arial"/>
          <w:i/>
          <w:sz w:val="24"/>
          <w:szCs w:val="24"/>
          <w:lang w:val="en-US"/>
        </w:rPr>
        <w:t xml:space="preserve">Monitoring of response variable during anaerobic </w:t>
      </w:r>
      <w:proofErr w:type="spellStart"/>
      <w:r w:rsidRPr="007F06A0">
        <w:rPr>
          <w:rFonts w:ascii="Arial" w:hAnsi="Arial" w:cs="Arial"/>
          <w:i/>
          <w:sz w:val="24"/>
          <w:szCs w:val="24"/>
          <w:lang w:val="en-US"/>
        </w:rPr>
        <w:t>codigestion</w:t>
      </w:r>
      <w:proofErr w:type="spellEnd"/>
      <w:r w:rsidRPr="007F06A0">
        <w:rPr>
          <w:rFonts w:ascii="Arial" w:hAnsi="Arial" w:cs="Arial"/>
          <w:i/>
          <w:sz w:val="24"/>
          <w:szCs w:val="24"/>
          <w:lang w:val="en-US"/>
        </w:rPr>
        <w:t xml:space="preserve"> of different </w:t>
      </w:r>
      <w:proofErr w:type="spellStart"/>
      <w:r w:rsidRPr="007F06A0">
        <w:rPr>
          <w:rFonts w:ascii="Arial" w:hAnsi="Arial" w:cs="Arial"/>
          <w:i/>
          <w:sz w:val="24"/>
          <w:szCs w:val="24"/>
          <w:lang w:val="en-US"/>
        </w:rPr>
        <w:t>Vinasse</w:t>
      </w:r>
      <w:proofErr w:type="spellEnd"/>
      <w:r w:rsidRPr="007F06A0">
        <w:rPr>
          <w:rFonts w:ascii="Arial" w:hAnsi="Arial" w:cs="Arial"/>
          <w:i/>
          <w:sz w:val="24"/>
          <w:szCs w:val="24"/>
          <w:lang w:val="en-US"/>
        </w:rPr>
        <w:t xml:space="preserve"> to CM ratios.</w:t>
      </w:r>
      <w:proofErr w:type="gramEnd"/>
    </w:p>
    <w:p w:rsidR="001E395D"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 xml:space="preserve">The total reducing sugar (TRS) consumption over time indicates the performance on startup of the process (Castro </w:t>
      </w:r>
      <w:r w:rsidRPr="007F06A0">
        <w:rPr>
          <w:rFonts w:ascii="Arial" w:hAnsi="Arial" w:cs="Arial"/>
          <w:i/>
          <w:sz w:val="24"/>
          <w:szCs w:val="24"/>
          <w:lang w:val="en-US"/>
        </w:rPr>
        <w:t>et al</w:t>
      </w:r>
      <w:r w:rsidRPr="007F06A0">
        <w:rPr>
          <w:rFonts w:ascii="Arial" w:hAnsi="Arial" w:cs="Arial"/>
          <w:sz w:val="24"/>
          <w:szCs w:val="24"/>
          <w:lang w:val="en-US"/>
        </w:rPr>
        <w:t xml:space="preserve">., 2014). TRS profile during co digestion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of 1:0, 3:1, 1:3 and 0:1 are showed in figure 2a. It is observed that control (V</w:t>
      </w:r>
      <w:proofErr w:type="gramStart"/>
      <w:r w:rsidRPr="007F06A0">
        <w:rPr>
          <w:rFonts w:ascii="Arial" w:hAnsi="Arial" w:cs="Arial"/>
          <w:sz w:val="24"/>
          <w:szCs w:val="24"/>
          <w:lang w:val="en-US"/>
        </w:rPr>
        <w:t>:CM</w:t>
      </w:r>
      <w:proofErr w:type="gramEnd"/>
      <w:r w:rsidRPr="007F06A0">
        <w:rPr>
          <w:rFonts w:ascii="Arial" w:hAnsi="Arial" w:cs="Arial"/>
          <w:sz w:val="24"/>
          <w:szCs w:val="24"/>
          <w:lang w:val="en-US"/>
        </w:rPr>
        <w:t xml:space="preserve"> 1:0 and 0:1) showed TRS consumption until the tenth day of digestion, unlike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of 3:1 and 1:3 was until fifth day of digestion. The results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of 1:0, 3:1, 1:3 and 0:1were 210.8 mg.L</w:t>
      </w:r>
      <w:r w:rsidRPr="007F06A0">
        <w:rPr>
          <w:rFonts w:ascii="Arial" w:hAnsi="Arial" w:cs="Arial"/>
          <w:sz w:val="24"/>
          <w:szCs w:val="24"/>
          <w:vertAlign w:val="superscript"/>
          <w:lang w:val="en-US"/>
        </w:rPr>
        <w:t>-1</w:t>
      </w:r>
      <w:r w:rsidRPr="007F06A0">
        <w:rPr>
          <w:rFonts w:ascii="Arial" w:hAnsi="Arial" w:cs="Arial"/>
          <w:sz w:val="24"/>
          <w:szCs w:val="24"/>
          <w:lang w:val="en-US"/>
        </w:rPr>
        <w:t>d</w:t>
      </w:r>
      <w:r w:rsidRPr="007F06A0">
        <w:rPr>
          <w:rFonts w:ascii="Arial" w:hAnsi="Arial" w:cs="Arial"/>
          <w:sz w:val="24"/>
          <w:szCs w:val="24"/>
          <w:vertAlign w:val="superscript"/>
          <w:lang w:val="en-US"/>
        </w:rPr>
        <w:t>-1</w:t>
      </w:r>
      <w:r w:rsidRPr="007F06A0">
        <w:rPr>
          <w:rFonts w:ascii="Arial" w:hAnsi="Arial" w:cs="Arial"/>
          <w:sz w:val="24"/>
          <w:szCs w:val="24"/>
          <w:lang w:val="en-US"/>
        </w:rPr>
        <w:t>, 639.9 mg.L</w:t>
      </w:r>
      <w:r w:rsidRPr="007F06A0">
        <w:rPr>
          <w:rFonts w:ascii="Arial" w:hAnsi="Arial" w:cs="Arial"/>
          <w:sz w:val="24"/>
          <w:szCs w:val="24"/>
          <w:vertAlign w:val="superscript"/>
          <w:lang w:val="en-US"/>
        </w:rPr>
        <w:t>-1</w:t>
      </w:r>
      <w:r w:rsidRPr="007F06A0">
        <w:rPr>
          <w:rFonts w:ascii="Arial" w:hAnsi="Arial" w:cs="Arial"/>
          <w:sz w:val="24"/>
          <w:szCs w:val="24"/>
          <w:lang w:val="en-US"/>
        </w:rPr>
        <w:t>d</w:t>
      </w:r>
      <w:r w:rsidRPr="007F06A0">
        <w:rPr>
          <w:rFonts w:ascii="Arial" w:hAnsi="Arial" w:cs="Arial"/>
          <w:sz w:val="24"/>
          <w:szCs w:val="24"/>
          <w:vertAlign w:val="superscript"/>
          <w:lang w:val="en-US"/>
        </w:rPr>
        <w:t>-1</w:t>
      </w:r>
      <w:r w:rsidRPr="007F06A0">
        <w:rPr>
          <w:rFonts w:ascii="Arial" w:hAnsi="Arial" w:cs="Arial"/>
          <w:sz w:val="24"/>
          <w:szCs w:val="24"/>
          <w:lang w:val="en-US"/>
        </w:rPr>
        <w:t>, 329.5 mg.L</w:t>
      </w:r>
      <w:r w:rsidRPr="007F06A0">
        <w:rPr>
          <w:rFonts w:ascii="Arial" w:hAnsi="Arial" w:cs="Arial"/>
          <w:sz w:val="24"/>
          <w:szCs w:val="24"/>
          <w:vertAlign w:val="superscript"/>
          <w:lang w:val="en-US"/>
        </w:rPr>
        <w:t>-1</w:t>
      </w:r>
      <w:r w:rsidRPr="007F06A0">
        <w:rPr>
          <w:rFonts w:ascii="Arial" w:hAnsi="Arial" w:cs="Arial"/>
          <w:sz w:val="24"/>
          <w:szCs w:val="24"/>
          <w:lang w:val="en-US"/>
        </w:rPr>
        <w:t>d</w:t>
      </w:r>
      <w:r w:rsidRPr="007F06A0">
        <w:rPr>
          <w:rFonts w:ascii="Arial" w:hAnsi="Arial" w:cs="Arial"/>
          <w:sz w:val="24"/>
          <w:szCs w:val="24"/>
          <w:vertAlign w:val="superscript"/>
          <w:lang w:val="en-US"/>
        </w:rPr>
        <w:t>-1</w:t>
      </w:r>
      <w:r w:rsidRPr="007F06A0">
        <w:rPr>
          <w:rFonts w:ascii="Arial" w:hAnsi="Arial" w:cs="Arial"/>
          <w:sz w:val="24"/>
          <w:szCs w:val="24"/>
          <w:lang w:val="en-US"/>
        </w:rPr>
        <w:t xml:space="preserve"> and 44.5 mg.L</w:t>
      </w:r>
      <w:r w:rsidRPr="007F06A0">
        <w:rPr>
          <w:rFonts w:ascii="Arial" w:hAnsi="Arial" w:cs="Arial"/>
          <w:sz w:val="24"/>
          <w:szCs w:val="24"/>
          <w:vertAlign w:val="superscript"/>
          <w:lang w:val="en-US"/>
        </w:rPr>
        <w:t>-1</w:t>
      </w:r>
      <w:r w:rsidRPr="007F06A0">
        <w:rPr>
          <w:rFonts w:ascii="Arial" w:hAnsi="Arial" w:cs="Arial"/>
          <w:sz w:val="24"/>
          <w:szCs w:val="24"/>
          <w:lang w:val="en-US"/>
        </w:rPr>
        <w:t>.d</w:t>
      </w:r>
      <w:r w:rsidRPr="007F06A0">
        <w:rPr>
          <w:rFonts w:ascii="Arial" w:hAnsi="Arial" w:cs="Arial"/>
          <w:sz w:val="24"/>
          <w:szCs w:val="24"/>
          <w:vertAlign w:val="superscript"/>
          <w:lang w:val="en-US"/>
        </w:rPr>
        <w:t>-1</w:t>
      </w:r>
      <w:r w:rsidRPr="007F06A0">
        <w:rPr>
          <w:rFonts w:ascii="Arial" w:hAnsi="Arial" w:cs="Arial"/>
          <w:sz w:val="24"/>
          <w:szCs w:val="24"/>
          <w:lang w:val="en-US"/>
        </w:rPr>
        <w:t xml:space="preserve">, respectively. Co-digestion samples presented higher sugar consumption than mono-digested samples.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 of 3:1 presented the highest hydrolytic activities, indicating a better affinitive from the ratio to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(Quintero </w:t>
      </w:r>
      <w:r w:rsidRPr="007F06A0">
        <w:rPr>
          <w:rFonts w:ascii="Arial" w:hAnsi="Arial" w:cs="Arial"/>
          <w:i/>
          <w:sz w:val="24"/>
          <w:szCs w:val="24"/>
          <w:lang w:val="en-US"/>
        </w:rPr>
        <w:t>et al</w:t>
      </w:r>
      <w:r w:rsidRPr="007F06A0">
        <w:rPr>
          <w:rFonts w:ascii="Arial" w:hAnsi="Arial" w:cs="Arial"/>
          <w:sz w:val="24"/>
          <w:szCs w:val="24"/>
          <w:lang w:val="en-US"/>
        </w:rPr>
        <w:t xml:space="preserve">., 2012). Nevertheless, co digestion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CM improved the TRS consumption rate on both </w:t>
      </w:r>
      <w:proofErr w:type="spellStart"/>
      <w:r w:rsidRPr="007F06A0">
        <w:rPr>
          <w:rFonts w:ascii="Arial" w:hAnsi="Arial" w:cs="Arial"/>
          <w:sz w:val="24"/>
          <w:szCs w:val="24"/>
          <w:lang w:val="en-US"/>
        </w:rPr>
        <w:t>feedstocks</w:t>
      </w:r>
      <w:proofErr w:type="spellEnd"/>
      <w:r w:rsidRPr="007F06A0">
        <w:rPr>
          <w:rFonts w:ascii="Arial" w:hAnsi="Arial" w:cs="Arial"/>
          <w:sz w:val="24"/>
          <w:szCs w:val="24"/>
          <w:lang w:val="en-US"/>
        </w:rPr>
        <w:t xml:space="preserve">. </w:t>
      </w:r>
    </w:p>
    <w:p w:rsidR="007C2F45" w:rsidRPr="00AB3A8C" w:rsidRDefault="007C2F45" w:rsidP="0076196A">
      <w:pPr>
        <w:tabs>
          <w:tab w:val="left" w:pos="2290"/>
        </w:tabs>
        <w:spacing w:after="0" w:line="360" w:lineRule="auto"/>
        <w:jc w:val="both"/>
        <w:rPr>
          <w:rFonts w:ascii="Arial" w:hAnsi="Arial" w:cs="Arial"/>
          <w:sz w:val="24"/>
          <w:szCs w:val="24"/>
          <w:lang w:val="en-US"/>
        </w:rPr>
      </w:pPr>
    </w:p>
    <w:p w:rsidR="00A2151F" w:rsidRPr="00AB3A8C" w:rsidRDefault="007F06A0" w:rsidP="0076196A">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rPr>
        <w:t>The dynamic of Total Volatile Fatty Acids (TVFA) are showed in figure 2b, which are one of the most important indicators for measuring anaerobic digestion performance (</w:t>
      </w:r>
      <w:proofErr w:type="spellStart"/>
      <w:r w:rsidRPr="007F06A0">
        <w:rPr>
          <w:rFonts w:ascii="Arial" w:hAnsi="Arial" w:cs="Arial"/>
          <w:sz w:val="24"/>
          <w:szCs w:val="24"/>
          <w:lang w:val="en-US"/>
        </w:rPr>
        <w:t>Abouelenien</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2014). Concentrations on TVFA increased during the first days of digestion for all the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Increment on TVFA concentration could be attributed to activity of </w:t>
      </w:r>
      <w:proofErr w:type="spellStart"/>
      <w:r w:rsidRPr="007F06A0">
        <w:rPr>
          <w:rFonts w:ascii="Arial" w:hAnsi="Arial" w:cs="Arial"/>
          <w:sz w:val="24"/>
          <w:szCs w:val="24"/>
          <w:lang w:val="en-US"/>
        </w:rPr>
        <w:t>acidogens</w:t>
      </w:r>
      <w:proofErr w:type="spellEnd"/>
      <w:r w:rsidRPr="007F06A0">
        <w:rPr>
          <w:rFonts w:ascii="Arial" w:hAnsi="Arial" w:cs="Arial"/>
          <w:sz w:val="24"/>
          <w:szCs w:val="24"/>
          <w:lang w:val="en-US"/>
        </w:rPr>
        <w:t xml:space="preserve"> converting TRS released during hydrolytic stage in the startup of the process (figure 2a). In this study, TVFA values were 3420 mg/L, 3180 mg/L, 2820 mg/L and 2580 mg/L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w:t>
      </w:r>
      <w:r w:rsidRPr="007F06A0">
        <w:rPr>
          <w:rFonts w:ascii="Arial" w:hAnsi="Arial" w:cs="Arial"/>
          <w:sz w:val="24"/>
          <w:szCs w:val="24"/>
          <w:lang w:val="en-US"/>
        </w:rPr>
        <w:lastRenderedPageBreak/>
        <w:t xml:space="preserve">ratios of  1:0, 3:1, 1:3 and 0:1, respectively. After the fifth day of process,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 decreased the concentration on TVFA, denoting consumption of organic matter as result of activity of </w:t>
      </w:r>
      <w:proofErr w:type="spellStart"/>
      <w:r w:rsidRPr="007F06A0">
        <w:rPr>
          <w:rFonts w:ascii="Arial" w:hAnsi="Arial" w:cs="Arial"/>
          <w:sz w:val="24"/>
          <w:szCs w:val="24"/>
          <w:lang w:val="en-US"/>
        </w:rPr>
        <w:t>acetogens</w:t>
      </w:r>
      <w:proofErr w:type="spellEnd"/>
      <w:r w:rsidRPr="007F06A0">
        <w:rPr>
          <w:rFonts w:ascii="Arial" w:hAnsi="Arial" w:cs="Arial"/>
          <w:sz w:val="24"/>
          <w:szCs w:val="24"/>
          <w:lang w:val="en-US"/>
        </w:rPr>
        <w:t xml:space="preserve"> capable to transform acetate into methane.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achieved high concentrations of TVFA due to its easy degradable sugars. However, the present of metabolic components as </w:t>
      </w:r>
      <w:proofErr w:type="spellStart"/>
      <w:r w:rsidRPr="007F06A0">
        <w:rPr>
          <w:rFonts w:ascii="Arial" w:hAnsi="Arial" w:cs="Arial"/>
          <w:sz w:val="24"/>
          <w:szCs w:val="24"/>
          <w:lang w:val="en-US"/>
        </w:rPr>
        <w:t>propionic</w:t>
      </w:r>
      <w:proofErr w:type="spellEnd"/>
      <w:r w:rsidRPr="007F06A0">
        <w:rPr>
          <w:rFonts w:ascii="Arial" w:hAnsi="Arial" w:cs="Arial"/>
          <w:sz w:val="24"/>
          <w:szCs w:val="24"/>
          <w:lang w:val="en-US"/>
        </w:rPr>
        <w:t xml:space="preserve"> acid (</w:t>
      </w:r>
      <w:proofErr w:type="spellStart"/>
      <w:r w:rsidRPr="007F06A0">
        <w:rPr>
          <w:rFonts w:ascii="Arial" w:hAnsi="Arial" w:cs="Arial"/>
          <w:sz w:val="24"/>
          <w:szCs w:val="24"/>
          <w:lang w:val="en-US"/>
        </w:rPr>
        <w:t>Djalma</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2016) and sulfides (Barrera </w:t>
      </w:r>
      <w:r w:rsidRPr="007F06A0">
        <w:rPr>
          <w:rFonts w:ascii="Arial" w:hAnsi="Arial" w:cs="Arial"/>
          <w:i/>
          <w:sz w:val="24"/>
          <w:szCs w:val="24"/>
          <w:lang w:val="en-US"/>
        </w:rPr>
        <w:t>et al</w:t>
      </w:r>
      <w:r w:rsidRPr="007F06A0">
        <w:rPr>
          <w:rFonts w:ascii="Arial" w:hAnsi="Arial" w:cs="Arial"/>
          <w:sz w:val="24"/>
          <w:szCs w:val="24"/>
          <w:lang w:val="en-US"/>
        </w:rPr>
        <w:t xml:space="preserve">., 2015), which are co factors in enzymatic reactions, could affect the VFA consumption rate. </w:t>
      </w:r>
    </w:p>
    <w:p w:rsidR="0076196A" w:rsidRPr="00AB3A8C" w:rsidRDefault="0076196A" w:rsidP="0076196A">
      <w:pPr>
        <w:tabs>
          <w:tab w:val="left" w:pos="2290"/>
        </w:tabs>
        <w:spacing w:after="0" w:line="360" w:lineRule="auto"/>
        <w:jc w:val="both"/>
        <w:rPr>
          <w:rFonts w:ascii="Arial" w:hAnsi="Arial" w:cs="Arial"/>
          <w:sz w:val="24"/>
          <w:szCs w:val="24"/>
          <w:lang w:val="en-US"/>
        </w:rPr>
      </w:pPr>
    </w:p>
    <w:p w:rsidR="00F94471" w:rsidRPr="00AB3A8C" w:rsidRDefault="007F06A0" w:rsidP="00FE23C2">
      <w:pPr>
        <w:pStyle w:val="Prrafodelista"/>
        <w:numPr>
          <w:ilvl w:val="0"/>
          <w:numId w:val="5"/>
        </w:numPr>
        <w:tabs>
          <w:tab w:val="left" w:pos="2290"/>
        </w:tabs>
        <w:spacing w:line="360" w:lineRule="auto"/>
        <w:jc w:val="both"/>
        <w:rPr>
          <w:rFonts w:ascii="Arial" w:hAnsi="Arial" w:cs="Arial"/>
          <w:sz w:val="24"/>
          <w:szCs w:val="24"/>
          <w:lang w:val="en-US"/>
        </w:rPr>
      </w:pPr>
      <w:r w:rsidRPr="007F06A0">
        <w:rPr>
          <w:rFonts w:ascii="Arial" w:hAnsi="Arial" w:cs="Arial"/>
          <w:sz w:val="24"/>
          <w:szCs w:val="24"/>
          <w:lang w:val="en-US"/>
        </w:rPr>
        <w:t xml:space="preserve">                                                           (b)</w:t>
      </w:r>
    </w:p>
    <w:p w:rsidR="00935D45" w:rsidRPr="00AB3A8C" w:rsidRDefault="00B26CCE" w:rsidP="00FE23C2">
      <w:pPr>
        <w:tabs>
          <w:tab w:val="left" w:pos="2290"/>
        </w:tabs>
        <w:spacing w:line="360" w:lineRule="auto"/>
        <w:jc w:val="both"/>
        <w:rPr>
          <w:rFonts w:ascii="Arial" w:hAnsi="Arial" w:cs="Arial"/>
          <w:sz w:val="24"/>
          <w:szCs w:val="24"/>
          <w:lang w:val="en-US"/>
        </w:rPr>
      </w:pPr>
      <w:r>
        <w:rPr>
          <w:rFonts w:ascii="Arial" w:hAnsi="Arial" w:cs="Arial"/>
          <w:noProof/>
          <w:sz w:val="24"/>
          <w:szCs w:val="24"/>
          <w:lang w:eastAsia="es-CO"/>
        </w:rPr>
        <w:drawing>
          <wp:inline distT="0" distB="0" distL="0" distR="0">
            <wp:extent cx="2855284" cy="2432050"/>
            <wp:effectExtent l="0" t="0" r="254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w:hAnsi="Arial" w:cs="Arial"/>
          <w:noProof/>
          <w:sz w:val="24"/>
          <w:szCs w:val="24"/>
          <w:lang w:eastAsia="es-CO"/>
        </w:rPr>
        <w:drawing>
          <wp:inline distT="0" distB="0" distL="0" distR="0">
            <wp:extent cx="2749550" cy="2363638"/>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23C2" w:rsidRPr="00AB3A8C" w:rsidRDefault="007F06A0" w:rsidP="00FE23C2">
      <w:pPr>
        <w:tabs>
          <w:tab w:val="left" w:pos="2290"/>
        </w:tabs>
        <w:spacing w:line="360" w:lineRule="auto"/>
        <w:jc w:val="both"/>
        <w:rPr>
          <w:rFonts w:ascii="Arial" w:hAnsi="Arial" w:cs="Arial"/>
          <w:sz w:val="24"/>
          <w:szCs w:val="24"/>
          <w:lang w:val="en-US"/>
        </w:rPr>
      </w:pPr>
      <w:proofErr w:type="gramStart"/>
      <w:r w:rsidRPr="007F06A0">
        <w:rPr>
          <w:rFonts w:ascii="Arial" w:hAnsi="Arial" w:cs="Arial"/>
          <w:b/>
          <w:sz w:val="24"/>
          <w:szCs w:val="24"/>
          <w:lang w:val="en-US"/>
        </w:rPr>
        <w:t>Figure 2.</w:t>
      </w:r>
      <w:proofErr w:type="gramEnd"/>
      <w:r w:rsidRPr="007F06A0">
        <w:rPr>
          <w:rFonts w:ascii="Arial" w:hAnsi="Arial" w:cs="Arial"/>
          <w:b/>
          <w:sz w:val="24"/>
          <w:szCs w:val="24"/>
          <w:lang w:val="en-US"/>
        </w:rPr>
        <w:t xml:space="preserve"> </w:t>
      </w:r>
      <w:proofErr w:type="gramStart"/>
      <w:r w:rsidRPr="007F06A0">
        <w:rPr>
          <w:rFonts w:ascii="Arial" w:hAnsi="Arial" w:cs="Arial"/>
          <w:sz w:val="24"/>
          <w:szCs w:val="24"/>
          <w:lang w:val="en-US"/>
        </w:rPr>
        <w:t>(a) Variation of total reducing sugar (TRS) and (b)</w:t>
      </w:r>
      <w:r w:rsidRPr="007F06A0">
        <w:rPr>
          <w:rFonts w:ascii="Arial" w:hAnsi="Arial" w:cs="Arial"/>
          <w:b/>
          <w:sz w:val="24"/>
          <w:szCs w:val="24"/>
          <w:lang w:val="en-US"/>
        </w:rPr>
        <w:t xml:space="preserve"> </w:t>
      </w:r>
      <w:r w:rsidRPr="007F06A0">
        <w:rPr>
          <w:rFonts w:ascii="Arial" w:hAnsi="Arial" w:cs="Arial"/>
          <w:sz w:val="24"/>
          <w:szCs w:val="24"/>
          <w:lang w:val="en-US"/>
        </w:rPr>
        <w:t>total volatile fatty acids (TVFA) during digestion period for different V to CM ratios.</w:t>
      </w:r>
      <w:proofErr w:type="gramEnd"/>
      <w:r w:rsidRPr="007F06A0">
        <w:rPr>
          <w:rFonts w:ascii="Arial" w:hAnsi="Arial" w:cs="Arial"/>
          <w:sz w:val="24"/>
          <w:szCs w:val="24"/>
          <w:lang w:val="en-US"/>
        </w:rPr>
        <w:t xml:space="preserve">  </w:t>
      </w:r>
    </w:p>
    <w:p w:rsidR="007C2F45" w:rsidRPr="00AB3A8C" w:rsidRDefault="007C2F45" w:rsidP="00FE23C2">
      <w:pPr>
        <w:pStyle w:val="Prrafodelista"/>
        <w:tabs>
          <w:tab w:val="left" w:pos="2290"/>
        </w:tabs>
        <w:spacing w:line="360" w:lineRule="auto"/>
        <w:ind w:left="420"/>
        <w:jc w:val="both"/>
        <w:rPr>
          <w:rFonts w:ascii="Arial" w:hAnsi="Arial" w:cs="Arial"/>
          <w:i/>
          <w:sz w:val="24"/>
          <w:szCs w:val="24"/>
          <w:lang w:val="en-US"/>
        </w:rPr>
      </w:pPr>
    </w:p>
    <w:p w:rsidR="00E01C98" w:rsidRPr="00AB3A8C" w:rsidRDefault="007F06A0" w:rsidP="00451283">
      <w:pPr>
        <w:tabs>
          <w:tab w:val="left" w:pos="2290"/>
        </w:tabs>
        <w:spacing w:line="360" w:lineRule="auto"/>
        <w:jc w:val="both"/>
        <w:rPr>
          <w:rFonts w:ascii="Arial" w:hAnsi="Arial" w:cs="Arial"/>
          <w:i/>
          <w:sz w:val="24"/>
          <w:szCs w:val="24"/>
          <w:lang w:val="en-US"/>
        </w:rPr>
      </w:pPr>
      <w:r w:rsidRPr="007F06A0">
        <w:rPr>
          <w:rFonts w:ascii="Arial" w:hAnsi="Arial" w:cs="Arial"/>
          <w:i/>
          <w:sz w:val="24"/>
          <w:szCs w:val="24"/>
          <w:lang w:val="en-US"/>
        </w:rPr>
        <w:t xml:space="preserve">Stability indicators of digestion process for different </w:t>
      </w:r>
      <w:proofErr w:type="spellStart"/>
      <w:r w:rsidRPr="007F06A0">
        <w:rPr>
          <w:rFonts w:ascii="Arial" w:hAnsi="Arial" w:cs="Arial"/>
          <w:i/>
          <w:sz w:val="24"/>
          <w:szCs w:val="24"/>
          <w:lang w:val="en-US"/>
        </w:rPr>
        <w:t>vinasse</w:t>
      </w:r>
      <w:proofErr w:type="spellEnd"/>
      <w:r w:rsidRPr="007F06A0">
        <w:rPr>
          <w:rFonts w:ascii="Arial" w:hAnsi="Arial" w:cs="Arial"/>
          <w:i/>
          <w:sz w:val="24"/>
          <w:szCs w:val="24"/>
          <w:lang w:val="en-US"/>
        </w:rPr>
        <w:t xml:space="preserve"> to CM ratios.</w:t>
      </w:r>
    </w:p>
    <w:p w:rsidR="008F3121" w:rsidRPr="00AB3A8C" w:rsidRDefault="007F06A0" w:rsidP="00FE23C2">
      <w:pPr>
        <w:tabs>
          <w:tab w:val="left" w:pos="1701"/>
          <w:tab w:val="left" w:pos="2290"/>
        </w:tabs>
        <w:spacing w:line="360" w:lineRule="auto"/>
        <w:jc w:val="both"/>
        <w:rPr>
          <w:rFonts w:ascii="Arial" w:hAnsi="Arial" w:cs="Arial"/>
          <w:sz w:val="24"/>
          <w:szCs w:val="24"/>
          <w:lang w:val="en-US"/>
        </w:rPr>
      </w:pPr>
      <w:r w:rsidRPr="007F06A0">
        <w:rPr>
          <w:rFonts w:ascii="Arial" w:hAnsi="Arial" w:cs="Arial"/>
          <w:sz w:val="24"/>
          <w:szCs w:val="24"/>
          <w:lang w:val="en-US"/>
        </w:rPr>
        <w:t xml:space="preserve">Low specific methane production is generally a consequence of imbalance between the different microbial populations caused by low pH, accumulation of VFAs, and high concentration of free ammonia, which are parameters indicator of process stability (Li </w:t>
      </w:r>
      <w:r w:rsidRPr="007F06A0">
        <w:rPr>
          <w:rFonts w:ascii="Arial" w:hAnsi="Arial" w:cs="Arial"/>
          <w:i/>
          <w:sz w:val="24"/>
          <w:szCs w:val="24"/>
          <w:lang w:val="en-US"/>
        </w:rPr>
        <w:t>et al</w:t>
      </w:r>
      <w:r w:rsidRPr="007F06A0">
        <w:rPr>
          <w:rFonts w:ascii="Arial" w:hAnsi="Arial" w:cs="Arial"/>
          <w:sz w:val="24"/>
          <w:szCs w:val="24"/>
          <w:lang w:val="en-US"/>
        </w:rPr>
        <w:t xml:space="preserve">., 2013). Figure 3 presents the profile of buffer capacity, pH and Total Ammonia Nitrogen (TAN) concentration during digestion period. Anaerobic processes achieve stability on ranges of buffer capacity (TVFA/total </w:t>
      </w:r>
      <w:r w:rsidRPr="007F06A0">
        <w:rPr>
          <w:rFonts w:ascii="Arial" w:hAnsi="Arial" w:cs="Arial"/>
          <w:sz w:val="24"/>
          <w:szCs w:val="24"/>
          <w:lang w:val="en-US"/>
        </w:rPr>
        <w:lastRenderedPageBreak/>
        <w:t>alkalinity) values between 0.2-0.8 (</w:t>
      </w:r>
      <w:proofErr w:type="spellStart"/>
      <w:r w:rsidRPr="007F06A0">
        <w:rPr>
          <w:rFonts w:ascii="Arial" w:hAnsi="Arial" w:cs="Arial"/>
          <w:sz w:val="24"/>
          <w:szCs w:val="24"/>
          <w:lang w:val="en-US"/>
        </w:rPr>
        <w:t>Nue</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2013). Buffer capacity values higher than 0.8 indicates imbalance between the population of </w:t>
      </w:r>
      <w:proofErr w:type="spellStart"/>
      <w:r w:rsidRPr="007F06A0">
        <w:rPr>
          <w:rFonts w:ascii="Arial" w:hAnsi="Arial" w:cs="Arial"/>
          <w:sz w:val="24"/>
          <w:szCs w:val="24"/>
          <w:lang w:val="en-US"/>
        </w:rPr>
        <w:t>acidogens</w:t>
      </w:r>
      <w:proofErr w:type="spellEnd"/>
      <w:r w:rsidRPr="007F06A0">
        <w:rPr>
          <w:rFonts w:ascii="Arial" w:hAnsi="Arial" w:cs="Arial"/>
          <w:sz w:val="24"/>
          <w:szCs w:val="24"/>
          <w:lang w:val="en-US"/>
        </w:rPr>
        <w:t xml:space="preserve"> and </w:t>
      </w:r>
      <w:proofErr w:type="spellStart"/>
      <w:r w:rsidRPr="007F06A0">
        <w:rPr>
          <w:rFonts w:ascii="Arial" w:hAnsi="Arial" w:cs="Arial"/>
          <w:sz w:val="24"/>
          <w:szCs w:val="24"/>
          <w:lang w:val="en-US"/>
        </w:rPr>
        <w:t>methanogens</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Raposo</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et al</w:t>
      </w:r>
      <w:r w:rsidRPr="007F06A0">
        <w:rPr>
          <w:rFonts w:ascii="Arial" w:hAnsi="Arial" w:cs="Arial"/>
          <w:sz w:val="24"/>
          <w:szCs w:val="24"/>
          <w:lang w:val="en-US"/>
        </w:rPr>
        <w:t xml:space="preserve">., 2006). </w:t>
      </w:r>
      <w:r w:rsidRPr="007F06A0">
        <w:rPr>
          <w:rFonts w:ascii="Arial" w:hAnsi="Arial" w:cs="Arial"/>
          <w:sz w:val="24"/>
          <w:szCs w:val="24"/>
          <w:shd w:val="clear" w:color="auto" w:fill="FFFFFF" w:themeFill="background1"/>
          <w:lang w:val="en-US"/>
        </w:rPr>
        <w:t xml:space="preserve">In this study, the buffer capacity for </w:t>
      </w:r>
      <w:proofErr w:type="spellStart"/>
      <w:r w:rsidRPr="007F06A0">
        <w:rPr>
          <w:rFonts w:ascii="Arial" w:hAnsi="Arial" w:cs="Arial"/>
          <w:sz w:val="24"/>
          <w:szCs w:val="24"/>
          <w:shd w:val="clear" w:color="auto" w:fill="FFFFFF" w:themeFill="background1"/>
          <w:lang w:val="en-US"/>
        </w:rPr>
        <w:t>vinasse</w:t>
      </w:r>
      <w:proofErr w:type="spellEnd"/>
      <w:r w:rsidRPr="007F06A0">
        <w:rPr>
          <w:rFonts w:ascii="Arial" w:hAnsi="Arial" w:cs="Arial"/>
          <w:sz w:val="24"/>
          <w:szCs w:val="24"/>
          <w:shd w:val="clear" w:color="auto" w:fill="FFFFFF" w:themeFill="background1"/>
          <w:lang w:val="en-US"/>
        </w:rPr>
        <w:t xml:space="preserve"> to CM ratios of 3:1, 1:3 and 0:1 kept on range stated as stability values. On the contrary, </w:t>
      </w:r>
      <w:proofErr w:type="spellStart"/>
      <w:r w:rsidRPr="007F06A0">
        <w:rPr>
          <w:rFonts w:ascii="Arial" w:hAnsi="Arial" w:cs="Arial"/>
          <w:sz w:val="24"/>
          <w:szCs w:val="24"/>
          <w:shd w:val="clear" w:color="auto" w:fill="FFFFFF" w:themeFill="background1"/>
          <w:lang w:val="en-US"/>
        </w:rPr>
        <w:t>monodigestion</w:t>
      </w:r>
      <w:proofErr w:type="spellEnd"/>
      <w:r w:rsidRPr="007F06A0">
        <w:rPr>
          <w:rFonts w:ascii="Arial" w:hAnsi="Arial" w:cs="Arial"/>
          <w:sz w:val="24"/>
          <w:szCs w:val="24"/>
          <w:shd w:val="clear" w:color="auto" w:fill="FFFFFF" w:themeFill="background1"/>
          <w:lang w:val="en-US"/>
        </w:rPr>
        <w:t xml:space="preserve"> of </w:t>
      </w:r>
      <w:proofErr w:type="spellStart"/>
      <w:r w:rsidRPr="007F06A0">
        <w:rPr>
          <w:rFonts w:ascii="Arial" w:hAnsi="Arial" w:cs="Arial"/>
          <w:sz w:val="24"/>
          <w:szCs w:val="24"/>
          <w:shd w:val="clear" w:color="auto" w:fill="FFFFFF" w:themeFill="background1"/>
          <w:lang w:val="en-US"/>
        </w:rPr>
        <w:t>vinasse</w:t>
      </w:r>
      <w:proofErr w:type="spellEnd"/>
      <w:r w:rsidRPr="007F06A0">
        <w:rPr>
          <w:rFonts w:ascii="Arial" w:hAnsi="Arial" w:cs="Arial"/>
          <w:sz w:val="24"/>
          <w:szCs w:val="24"/>
          <w:shd w:val="clear" w:color="auto" w:fill="FFFFFF" w:themeFill="background1"/>
          <w:lang w:val="en-US"/>
        </w:rPr>
        <w:t xml:space="preserve"> presented instability on buffer capacity achieving values up to 1.10. These results were consistent with variation of pH and TAN (figure 3b and 3c). Th</w:t>
      </w:r>
      <w:r w:rsidRPr="007F06A0">
        <w:rPr>
          <w:rFonts w:ascii="Arial" w:hAnsi="Arial" w:cs="Arial"/>
          <w:sz w:val="24"/>
          <w:szCs w:val="24"/>
          <w:lang w:val="en-US"/>
        </w:rPr>
        <w:t xml:space="preserve">e concentration of TAN increased significantly (p&lt;0.003) as the amount of CM increased in the mixture. It has been widely reported inhibition for </w:t>
      </w:r>
      <w:proofErr w:type="spellStart"/>
      <w:r w:rsidRPr="007F06A0">
        <w:rPr>
          <w:rFonts w:ascii="Arial" w:hAnsi="Arial" w:cs="Arial"/>
          <w:sz w:val="24"/>
          <w:szCs w:val="24"/>
          <w:lang w:val="en-US"/>
        </w:rPr>
        <w:t>methanogens</w:t>
      </w:r>
      <w:proofErr w:type="spellEnd"/>
      <w:r w:rsidRPr="007F06A0">
        <w:rPr>
          <w:rFonts w:ascii="Arial" w:hAnsi="Arial" w:cs="Arial"/>
          <w:sz w:val="24"/>
          <w:szCs w:val="24"/>
          <w:lang w:val="en-US"/>
        </w:rPr>
        <w:t xml:space="preserve"> to final concentration of TAN over the threshold of 3000 mg/L (Wang </w:t>
      </w:r>
      <w:r w:rsidRPr="007F06A0">
        <w:rPr>
          <w:rFonts w:ascii="Arial" w:hAnsi="Arial" w:cs="Arial"/>
          <w:i/>
          <w:sz w:val="24"/>
          <w:szCs w:val="24"/>
          <w:lang w:val="en-US"/>
        </w:rPr>
        <w:t>et al</w:t>
      </w:r>
      <w:r w:rsidRPr="007F06A0">
        <w:rPr>
          <w:rFonts w:ascii="Arial" w:hAnsi="Arial" w:cs="Arial"/>
          <w:sz w:val="24"/>
          <w:szCs w:val="24"/>
          <w:lang w:val="en-US"/>
        </w:rPr>
        <w:t xml:space="preserve">., 2014).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control ratio of 0:1 reached the highest final TAN concentration of 1875 mg/L, so far to the ammonia inhibition threshold. Total ammonia nitrogen (TAN) concentration could contribute to buffer capacity and help to maintain the pH value (Li </w:t>
      </w:r>
      <w:r w:rsidRPr="007F06A0">
        <w:rPr>
          <w:rFonts w:ascii="Arial" w:hAnsi="Arial" w:cs="Arial"/>
          <w:i/>
          <w:sz w:val="24"/>
          <w:szCs w:val="24"/>
          <w:lang w:val="en-US"/>
        </w:rPr>
        <w:t>et al</w:t>
      </w:r>
      <w:r w:rsidRPr="007F06A0">
        <w:rPr>
          <w:rFonts w:ascii="Arial" w:hAnsi="Arial" w:cs="Arial"/>
          <w:sz w:val="24"/>
          <w:szCs w:val="24"/>
          <w:lang w:val="en-US"/>
        </w:rPr>
        <w:t xml:space="preserve">., 2014). Results indicate that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moderate buffer capacity to alkalinity values up to 5000 mg CaCO</w:t>
      </w:r>
      <w:r w:rsidRPr="007F06A0">
        <w:rPr>
          <w:rFonts w:ascii="Arial" w:hAnsi="Arial" w:cs="Arial"/>
          <w:sz w:val="24"/>
          <w:szCs w:val="24"/>
          <w:vertAlign w:val="subscript"/>
          <w:lang w:val="en-US"/>
        </w:rPr>
        <w:t>3</w:t>
      </w:r>
      <w:r w:rsidRPr="007F06A0">
        <w:rPr>
          <w:rFonts w:ascii="Arial" w:hAnsi="Arial" w:cs="Arial"/>
          <w:sz w:val="24"/>
          <w:szCs w:val="24"/>
          <w:lang w:val="en-US"/>
        </w:rPr>
        <w:t xml:space="preserve">/L, which support ph drops and TVFA accumulation. </w:t>
      </w:r>
    </w:p>
    <w:p w:rsidR="00FA6340" w:rsidRPr="00AB3A8C" w:rsidRDefault="007F06A0" w:rsidP="00FE23C2">
      <w:pPr>
        <w:tabs>
          <w:tab w:val="left" w:pos="2290"/>
        </w:tabs>
        <w:spacing w:line="360" w:lineRule="auto"/>
        <w:jc w:val="center"/>
        <w:rPr>
          <w:rFonts w:ascii="Arial" w:hAnsi="Arial" w:cs="Arial"/>
          <w:sz w:val="24"/>
          <w:szCs w:val="24"/>
          <w:lang w:val="en-US"/>
        </w:rPr>
      </w:pPr>
      <w:r w:rsidRPr="007F06A0">
        <w:rPr>
          <w:rFonts w:ascii="Arial" w:hAnsi="Arial" w:cs="Arial"/>
          <w:sz w:val="24"/>
          <w:szCs w:val="24"/>
          <w:lang w:val="en-US"/>
        </w:rPr>
        <w:t>(a)</w:t>
      </w:r>
    </w:p>
    <w:p w:rsidR="008F3121" w:rsidRPr="00AB3A8C" w:rsidRDefault="00B26CCE" w:rsidP="009809F6">
      <w:pPr>
        <w:tabs>
          <w:tab w:val="left" w:pos="2290"/>
        </w:tabs>
        <w:spacing w:line="360" w:lineRule="auto"/>
        <w:jc w:val="center"/>
        <w:rPr>
          <w:rFonts w:ascii="Arial" w:hAnsi="Arial" w:cs="Arial"/>
          <w:sz w:val="24"/>
          <w:szCs w:val="24"/>
          <w:lang w:val="en-US"/>
        </w:rPr>
      </w:pPr>
      <w:r>
        <w:rPr>
          <w:rFonts w:ascii="Arial" w:hAnsi="Arial" w:cs="Arial"/>
          <w:noProof/>
          <w:sz w:val="24"/>
          <w:szCs w:val="24"/>
          <w:lang w:eastAsia="es-CO"/>
        </w:rPr>
        <w:drawing>
          <wp:inline distT="0" distB="0" distL="0" distR="0">
            <wp:extent cx="4310743" cy="2363189"/>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57AC" w:rsidRPr="00AB3A8C" w:rsidRDefault="007F06A0" w:rsidP="00FE23C2">
      <w:pPr>
        <w:tabs>
          <w:tab w:val="left" w:pos="2290"/>
        </w:tabs>
        <w:spacing w:line="360" w:lineRule="auto"/>
        <w:jc w:val="center"/>
        <w:rPr>
          <w:rFonts w:ascii="Arial" w:hAnsi="Arial" w:cs="Arial"/>
          <w:sz w:val="24"/>
          <w:szCs w:val="24"/>
          <w:lang w:val="en-US"/>
        </w:rPr>
      </w:pPr>
      <w:r w:rsidRPr="007F06A0">
        <w:rPr>
          <w:rFonts w:ascii="Arial" w:hAnsi="Arial" w:cs="Arial"/>
          <w:sz w:val="24"/>
          <w:szCs w:val="24"/>
          <w:lang w:val="en-US"/>
        </w:rPr>
        <w:t>(b)</w:t>
      </w:r>
    </w:p>
    <w:p w:rsidR="006C57AC" w:rsidRPr="00AB3A8C" w:rsidRDefault="00B26CCE" w:rsidP="00FE23C2">
      <w:pPr>
        <w:tabs>
          <w:tab w:val="left" w:pos="2290"/>
        </w:tabs>
        <w:spacing w:line="360" w:lineRule="auto"/>
        <w:jc w:val="center"/>
        <w:rPr>
          <w:rFonts w:ascii="Arial" w:hAnsi="Arial" w:cs="Arial"/>
          <w:sz w:val="24"/>
          <w:szCs w:val="24"/>
          <w:lang w:val="en-US"/>
        </w:rPr>
      </w:pPr>
      <w:r>
        <w:rPr>
          <w:rFonts w:ascii="Arial" w:hAnsi="Arial" w:cs="Arial"/>
          <w:noProof/>
          <w:sz w:val="24"/>
          <w:szCs w:val="24"/>
          <w:lang w:eastAsia="es-CO"/>
        </w:rPr>
        <w:lastRenderedPageBreak/>
        <w:drawing>
          <wp:inline distT="0" distB="0" distL="0" distR="0">
            <wp:extent cx="4512623" cy="2422566"/>
            <wp:effectExtent l="0" t="0" r="254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09F6" w:rsidRPr="00AB3A8C" w:rsidRDefault="009809F6" w:rsidP="00FE23C2">
      <w:pPr>
        <w:tabs>
          <w:tab w:val="left" w:pos="2290"/>
        </w:tabs>
        <w:spacing w:line="360" w:lineRule="auto"/>
        <w:jc w:val="center"/>
        <w:rPr>
          <w:rFonts w:ascii="Arial" w:hAnsi="Arial" w:cs="Arial"/>
          <w:sz w:val="24"/>
          <w:szCs w:val="24"/>
          <w:lang w:val="en-US"/>
        </w:rPr>
      </w:pPr>
    </w:p>
    <w:p w:rsidR="009809F6" w:rsidRPr="00AB3A8C" w:rsidRDefault="009809F6" w:rsidP="00FE23C2">
      <w:pPr>
        <w:tabs>
          <w:tab w:val="left" w:pos="2290"/>
        </w:tabs>
        <w:spacing w:line="360" w:lineRule="auto"/>
        <w:jc w:val="center"/>
        <w:rPr>
          <w:rFonts w:ascii="Arial" w:hAnsi="Arial" w:cs="Arial"/>
          <w:sz w:val="24"/>
          <w:szCs w:val="24"/>
          <w:lang w:val="en-US"/>
        </w:rPr>
      </w:pPr>
    </w:p>
    <w:p w:rsidR="006C57AC" w:rsidRPr="00AB3A8C" w:rsidRDefault="007F06A0" w:rsidP="00FE23C2">
      <w:pPr>
        <w:tabs>
          <w:tab w:val="left" w:pos="2290"/>
        </w:tabs>
        <w:spacing w:line="360" w:lineRule="auto"/>
        <w:jc w:val="center"/>
        <w:rPr>
          <w:rFonts w:ascii="Arial" w:hAnsi="Arial" w:cs="Arial"/>
          <w:sz w:val="24"/>
          <w:szCs w:val="24"/>
          <w:lang w:val="en-US"/>
        </w:rPr>
      </w:pPr>
      <w:r w:rsidRPr="007F06A0">
        <w:rPr>
          <w:rFonts w:ascii="Arial" w:hAnsi="Arial" w:cs="Arial"/>
          <w:sz w:val="24"/>
          <w:szCs w:val="24"/>
          <w:lang w:val="en-US"/>
        </w:rPr>
        <w:t>(c)</w:t>
      </w:r>
    </w:p>
    <w:p w:rsidR="00C67813" w:rsidRPr="00AB3A8C" w:rsidRDefault="00B26CCE" w:rsidP="00FE23C2">
      <w:pPr>
        <w:tabs>
          <w:tab w:val="left" w:pos="2290"/>
        </w:tabs>
        <w:spacing w:line="360" w:lineRule="auto"/>
        <w:jc w:val="center"/>
        <w:rPr>
          <w:rFonts w:ascii="Arial" w:hAnsi="Arial" w:cs="Arial"/>
          <w:sz w:val="24"/>
          <w:szCs w:val="24"/>
          <w:lang w:val="en-US"/>
        </w:rPr>
      </w:pPr>
      <w:r>
        <w:rPr>
          <w:rFonts w:ascii="Arial" w:hAnsi="Arial" w:cs="Arial"/>
          <w:noProof/>
          <w:sz w:val="24"/>
          <w:szCs w:val="24"/>
          <w:lang w:eastAsia="es-CO"/>
        </w:rPr>
        <w:drawing>
          <wp:inline distT="0" distB="0" distL="0" distR="0">
            <wp:extent cx="4405745" cy="2256312"/>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23C2" w:rsidRPr="00AB3A8C" w:rsidRDefault="007F06A0" w:rsidP="009809F6">
      <w:pPr>
        <w:tabs>
          <w:tab w:val="left" w:pos="1701"/>
          <w:tab w:val="left" w:pos="2290"/>
        </w:tabs>
        <w:spacing w:after="0" w:line="360" w:lineRule="auto"/>
        <w:jc w:val="both"/>
        <w:rPr>
          <w:rFonts w:ascii="Arial" w:hAnsi="Arial" w:cs="Arial"/>
          <w:sz w:val="24"/>
          <w:szCs w:val="24"/>
          <w:lang w:val="en-US"/>
        </w:rPr>
      </w:pPr>
      <w:proofErr w:type="gramStart"/>
      <w:r w:rsidRPr="007F06A0">
        <w:rPr>
          <w:rFonts w:ascii="Arial" w:hAnsi="Arial" w:cs="Arial"/>
          <w:b/>
          <w:sz w:val="24"/>
          <w:szCs w:val="24"/>
          <w:lang w:val="en-US"/>
        </w:rPr>
        <w:t>Figure 3.</w:t>
      </w:r>
      <w:proofErr w:type="gramEnd"/>
      <w:r w:rsidRPr="007F06A0">
        <w:rPr>
          <w:rFonts w:ascii="Arial" w:hAnsi="Arial" w:cs="Arial"/>
          <w:b/>
          <w:sz w:val="24"/>
          <w:szCs w:val="24"/>
          <w:lang w:val="en-US"/>
        </w:rPr>
        <w:t xml:space="preserve"> </w:t>
      </w:r>
      <w:proofErr w:type="gramStart"/>
      <w:r w:rsidRPr="007F06A0">
        <w:rPr>
          <w:rFonts w:ascii="Arial" w:hAnsi="Arial" w:cs="Arial"/>
          <w:sz w:val="24"/>
          <w:szCs w:val="24"/>
          <w:lang w:val="en-US"/>
        </w:rPr>
        <w:t xml:space="preserve">(a) Variation of buffer capacity (b) pH (c) and Total ammonia nitrogen during digestion period for different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ratios.</w:t>
      </w:r>
      <w:proofErr w:type="gramEnd"/>
      <w:r w:rsidRPr="007F06A0">
        <w:rPr>
          <w:rFonts w:ascii="Arial" w:hAnsi="Arial" w:cs="Arial"/>
          <w:sz w:val="24"/>
          <w:szCs w:val="24"/>
          <w:lang w:val="en-US"/>
        </w:rPr>
        <w:t xml:space="preserve">  </w:t>
      </w:r>
    </w:p>
    <w:p w:rsidR="00253918" w:rsidRPr="00AB3A8C" w:rsidRDefault="00253918" w:rsidP="009809F6">
      <w:pPr>
        <w:tabs>
          <w:tab w:val="left" w:pos="2290"/>
        </w:tabs>
        <w:spacing w:after="0" w:line="360" w:lineRule="auto"/>
        <w:jc w:val="both"/>
        <w:rPr>
          <w:rFonts w:ascii="Arial" w:hAnsi="Arial" w:cs="Arial"/>
          <w:b/>
          <w:sz w:val="24"/>
          <w:szCs w:val="24"/>
          <w:lang w:val="en-US"/>
        </w:rPr>
      </w:pPr>
    </w:p>
    <w:p w:rsidR="009D07C7" w:rsidRPr="00AB3A8C" w:rsidRDefault="007F06A0" w:rsidP="009809F6">
      <w:pPr>
        <w:tabs>
          <w:tab w:val="left" w:pos="2290"/>
        </w:tabs>
        <w:spacing w:after="0" w:line="360" w:lineRule="auto"/>
        <w:jc w:val="both"/>
        <w:rPr>
          <w:rFonts w:ascii="Arial" w:hAnsi="Arial" w:cs="Arial"/>
          <w:b/>
          <w:sz w:val="24"/>
          <w:szCs w:val="24"/>
          <w:lang w:val="en-US"/>
        </w:rPr>
      </w:pPr>
      <w:r w:rsidRPr="007F06A0">
        <w:rPr>
          <w:rFonts w:ascii="Arial" w:hAnsi="Arial" w:cs="Arial"/>
          <w:b/>
          <w:sz w:val="24"/>
          <w:szCs w:val="24"/>
          <w:lang w:val="en-US"/>
        </w:rPr>
        <w:t xml:space="preserve">Conclusion </w:t>
      </w:r>
    </w:p>
    <w:p w:rsidR="00401EEA" w:rsidRPr="00AB3A8C" w:rsidRDefault="007F06A0" w:rsidP="009809F6">
      <w:pPr>
        <w:tabs>
          <w:tab w:val="left" w:pos="2290"/>
        </w:tabs>
        <w:spacing w:after="0" w:line="360" w:lineRule="auto"/>
        <w:jc w:val="both"/>
        <w:rPr>
          <w:rFonts w:ascii="Arial" w:hAnsi="Arial" w:cs="Arial"/>
          <w:sz w:val="24"/>
          <w:szCs w:val="24"/>
          <w:lang w:val="en-US"/>
        </w:rPr>
      </w:pPr>
      <w:r w:rsidRPr="007F06A0">
        <w:rPr>
          <w:rFonts w:ascii="Arial" w:hAnsi="Arial" w:cs="Arial"/>
          <w:sz w:val="24"/>
          <w:szCs w:val="24"/>
          <w:lang w:val="en-US" w:eastAsia="es-ES"/>
        </w:rPr>
        <w:t xml:space="preserve">Anaerobic </w:t>
      </w:r>
      <w:proofErr w:type="spellStart"/>
      <w:r w:rsidRPr="007F06A0">
        <w:rPr>
          <w:rFonts w:ascii="Arial" w:hAnsi="Arial" w:cs="Arial"/>
          <w:sz w:val="24"/>
          <w:szCs w:val="24"/>
          <w:lang w:val="en-US" w:eastAsia="es-ES"/>
        </w:rPr>
        <w:t>codigestion</w:t>
      </w:r>
      <w:proofErr w:type="spellEnd"/>
      <w:r w:rsidRPr="007F06A0">
        <w:rPr>
          <w:rFonts w:ascii="Arial" w:hAnsi="Arial" w:cs="Arial"/>
          <w:sz w:val="24"/>
          <w:szCs w:val="24"/>
          <w:lang w:val="en-US" w:eastAsia="es-ES"/>
        </w:rPr>
        <w:t xml:space="preserve"> is a feasible technology as a management alternative for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and chicken manure. Chicken manure improved trace element arising buffer capacity of the system and reducing the risk of acidification on </w:t>
      </w:r>
      <w:proofErr w:type="spellStart"/>
      <w:r w:rsidRPr="007F06A0">
        <w:rPr>
          <w:rFonts w:ascii="Arial" w:hAnsi="Arial" w:cs="Arial"/>
          <w:sz w:val="24"/>
          <w:szCs w:val="24"/>
          <w:lang w:val="en-US" w:eastAsia="es-ES"/>
        </w:rPr>
        <w:t>vinasse</w:t>
      </w:r>
      <w:proofErr w:type="spellEnd"/>
      <w:r w:rsidRPr="007F06A0">
        <w:rPr>
          <w:rFonts w:ascii="Arial" w:hAnsi="Arial" w:cs="Arial"/>
          <w:sz w:val="24"/>
          <w:szCs w:val="24"/>
          <w:lang w:val="en-US" w:eastAsia="es-ES"/>
        </w:rPr>
        <w:t xml:space="preserve"> mono </w:t>
      </w:r>
      <w:r w:rsidRPr="007F06A0">
        <w:rPr>
          <w:rFonts w:ascii="Arial" w:hAnsi="Arial" w:cs="Arial"/>
          <w:sz w:val="24"/>
          <w:szCs w:val="24"/>
          <w:lang w:val="en-US" w:eastAsia="es-ES"/>
        </w:rPr>
        <w:lastRenderedPageBreak/>
        <w:t xml:space="preserve">digestion. </w:t>
      </w:r>
      <w:r w:rsidRPr="007F06A0">
        <w:rPr>
          <w:rFonts w:ascii="Arial" w:hAnsi="Arial" w:cs="Arial"/>
          <w:sz w:val="24"/>
          <w:szCs w:val="24"/>
          <w:lang w:val="en-US"/>
        </w:rPr>
        <w:t>Specific methane production increased significantly (p=0.000) up to 0.65±0.01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/kg SV and 0.56±0.02 m</w:t>
      </w:r>
      <w:r w:rsidRPr="007F06A0">
        <w:rPr>
          <w:rFonts w:ascii="Arial" w:hAnsi="Arial" w:cs="Arial"/>
          <w:sz w:val="24"/>
          <w:szCs w:val="24"/>
          <w:vertAlign w:val="superscript"/>
          <w:lang w:val="en-US"/>
        </w:rPr>
        <w:t>3</w:t>
      </w:r>
      <w:r w:rsidRPr="007F06A0">
        <w:rPr>
          <w:rFonts w:ascii="Arial" w:hAnsi="Arial" w:cs="Arial"/>
          <w:sz w:val="24"/>
          <w:szCs w:val="24"/>
          <w:lang w:val="en-US"/>
        </w:rPr>
        <w:t xml:space="preserve"> CH</w:t>
      </w:r>
      <w:r w:rsidRPr="007F06A0">
        <w:rPr>
          <w:rFonts w:ascii="Arial" w:hAnsi="Arial" w:cs="Arial"/>
          <w:sz w:val="24"/>
          <w:szCs w:val="24"/>
          <w:vertAlign w:val="subscript"/>
          <w:lang w:val="en-US"/>
        </w:rPr>
        <w:t>4</w:t>
      </w:r>
      <w:r w:rsidRPr="007F06A0">
        <w:rPr>
          <w:rFonts w:ascii="Arial" w:hAnsi="Arial" w:cs="Arial"/>
          <w:sz w:val="24"/>
          <w:szCs w:val="24"/>
          <w:lang w:val="en-US"/>
        </w:rPr>
        <w:t xml:space="preserve">/kg SV for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to CM mixing ratios of 3:1 y 1:3. Synergistic effects during </w:t>
      </w:r>
      <w:proofErr w:type="spellStart"/>
      <w:r w:rsidRPr="007F06A0">
        <w:rPr>
          <w:rFonts w:ascii="Arial" w:hAnsi="Arial" w:cs="Arial"/>
          <w:sz w:val="24"/>
          <w:szCs w:val="24"/>
          <w:lang w:val="en-US"/>
        </w:rPr>
        <w:t>codigestion</w:t>
      </w:r>
      <w:proofErr w:type="spellEnd"/>
      <w:r w:rsidRPr="007F06A0">
        <w:rPr>
          <w:rFonts w:ascii="Arial" w:hAnsi="Arial" w:cs="Arial"/>
          <w:sz w:val="24"/>
          <w:szCs w:val="24"/>
          <w:lang w:val="en-US"/>
        </w:rPr>
        <w:t xml:space="preserve">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and chicken manure augmented the methane production up to 55%. However further studies are required to explain the synergistic effects occur during anaerobic co digestion.</w:t>
      </w:r>
    </w:p>
    <w:p w:rsidR="009809F6" w:rsidRPr="00AB3A8C" w:rsidRDefault="009809F6" w:rsidP="009809F6">
      <w:pPr>
        <w:tabs>
          <w:tab w:val="left" w:pos="2290"/>
        </w:tabs>
        <w:spacing w:after="0" w:line="360" w:lineRule="auto"/>
        <w:jc w:val="both"/>
        <w:rPr>
          <w:rFonts w:ascii="Arial" w:hAnsi="Arial" w:cs="Arial"/>
          <w:sz w:val="24"/>
          <w:szCs w:val="24"/>
          <w:lang w:val="en-US"/>
        </w:rPr>
      </w:pPr>
    </w:p>
    <w:p w:rsidR="00564EE6" w:rsidRPr="00AB3A8C" w:rsidRDefault="007F06A0" w:rsidP="00FE23C2">
      <w:pPr>
        <w:tabs>
          <w:tab w:val="left" w:pos="2290"/>
        </w:tabs>
        <w:spacing w:line="360" w:lineRule="auto"/>
        <w:jc w:val="both"/>
        <w:rPr>
          <w:rFonts w:ascii="Arial" w:hAnsi="Arial" w:cs="Arial"/>
          <w:b/>
          <w:sz w:val="24"/>
          <w:szCs w:val="24"/>
          <w:lang w:val="en-US"/>
        </w:rPr>
      </w:pPr>
      <w:r w:rsidRPr="007F06A0">
        <w:rPr>
          <w:rFonts w:ascii="Arial" w:hAnsi="Arial" w:cs="Arial"/>
          <w:b/>
          <w:sz w:val="24"/>
          <w:szCs w:val="24"/>
          <w:lang w:val="en-US"/>
        </w:rPr>
        <w:t>References</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Anderson, G.K., &amp; Yang, G. (1992).</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Determination of bicarbonate and total volatile acid concentration in anaerobic digesters using a simple titration.</w:t>
      </w:r>
      <w:proofErr w:type="gramEnd"/>
      <w:r w:rsidRPr="007F06A0">
        <w:rPr>
          <w:rFonts w:ascii="Arial" w:hAnsi="Arial" w:cs="Arial"/>
          <w:sz w:val="24"/>
          <w:szCs w:val="24"/>
          <w:lang w:val="en-US"/>
        </w:rPr>
        <w:t xml:space="preserve"> </w:t>
      </w:r>
      <w:r w:rsidRPr="007F06A0">
        <w:rPr>
          <w:rFonts w:ascii="Arial" w:hAnsi="Arial" w:cs="Arial"/>
          <w:i/>
          <w:sz w:val="24"/>
          <w:szCs w:val="24"/>
          <w:lang w:val="en-US"/>
        </w:rPr>
        <w:t>Water Environment Research</w:t>
      </w:r>
      <w:r w:rsidRPr="007F06A0">
        <w:rPr>
          <w:rFonts w:ascii="Arial" w:hAnsi="Arial" w:cs="Arial"/>
          <w:sz w:val="24"/>
          <w:szCs w:val="24"/>
          <w:lang w:val="en-US"/>
        </w:rPr>
        <w:t xml:space="preserve">, </w:t>
      </w:r>
      <w:r w:rsidRPr="007F06A0">
        <w:rPr>
          <w:rFonts w:ascii="Arial" w:hAnsi="Arial" w:cs="Arial"/>
          <w:i/>
          <w:sz w:val="24"/>
          <w:szCs w:val="24"/>
          <w:lang w:val="en-US"/>
        </w:rPr>
        <w:t>64</w:t>
      </w:r>
      <w:r w:rsidRPr="007F06A0">
        <w:rPr>
          <w:rFonts w:ascii="Arial" w:hAnsi="Arial" w:cs="Arial"/>
          <w:sz w:val="24"/>
          <w:szCs w:val="24"/>
          <w:lang w:val="en-US"/>
        </w:rPr>
        <w:t>, 53–59.</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proofErr w:type="gramStart"/>
      <w:r w:rsidRPr="007F06A0">
        <w:rPr>
          <w:rFonts w:ascii="Arial" w:hAnsi="Arial" w:cs="Arial"/>
          <w:sz w:val="24"/>
          <w:szCs w:val="24"/>
          <w:lang w:val="en-US"/>
        </w:rPr>
        <w:t>Angelidaki</w:t>
      </w:r>
      <w:proofErr w:type="spellEnd"/>
      <w:r w:rsidRPr="007F06A0">
        <w:rPr>
          <w:rFonts w:ascii="Arial" w:hAnsi="Arial" w:cs="Arial"/>
          <w:sz w:val="24"/>
          <w:szCs w:val="24"/>
          <w:lang w:val="en-US"/>
        </w:rPr>
        <w:t xml:space="preserve">, I., </w:t>
      </w:r>
      <w:proofErr w:type="spellStart"/>
      <w:r w:rsidRPr="007F06A0">
        <w:rPr>
          <w:rFonts w:ascii="Arial" w:hAnsi="Arial" w:cs="Arial"/>
          <w:sz w:val="24"/>
          <w:szCs w:val="24"/>
          <w:lang w:val="en-US"/>
        </w:rPr>
        <w:t>Alves</w:t>
      </w:r>
      <w:proofErr w:type="spellEnd"/>
      <w:r w:rsidRPr="007F06A0">
        <w:rPr>
          <w:rFonts w:ascii="Arial" w:hAnsi="Arial" w:cs="Arial"/>
          <w:sz w:val="24"/>
          <w:szCs w:val="24"/>
          <w:lang w:val="en-US"/>
        </w:rPr>
        <w:t xml:space="preserve">, M., </w:t>
      </w:r>
      <w:proofErr w:type="spellStart"/>
      <w:r w:rsidRPr="007F06A0">
        <w:rPr>
          <w:rFonts w:ascii="Arial" w:hAnsi="Arial" w:cs="Arial"/>
          <w:sz w:val="24"/>
          <w:szCs w:val="24"/>
          <w:lang w:val="en-US"/>
        </w:rPr>
        <w:t>Bolzonella</w:t>
      </w:r>
      <w:proofErr w:type="spellEnd"/>
      <w:r w:rsidRPr="007F06A0">
        <w:rPr>
          <w:rFonts w:ascii="Arial" w:hAnsi="Arial" w:cs="Arial"/>
          <w:sz w:val="24"/>
          <w:szCs w:val="24"/>
          <w:lang w:val="en-US"/>
        </w:rPr>
        <w:t xml:space="preserve">, D., </w:t>
      </w:r>
      <w:proofErr w:type="spellStart"/>
      <w:r w:rsidRPr="007F06A0">
        <w:rPr>
          <w:rFonts w:ascii="Arial" w:hAnsi="Arial" w:cs="Arial"/>
          <w:sz w:val="24"/>
          <w:szCs w:val="24"/>
          <w:lang w:val="en-US"/>
        </w:rPr>
        <w:t>Borzacconi</w:t>
      </w:r>
      <w:proofErr w:type="spellEnd"/>
      <w:r w:rsidRPr="007F06A0">
        <w:rPr>
          <w:rFonts w:ascii="Arial" w:hAnsi="Arial" w:cs="Arial"/>
          <w:sz w:val="24"/>
          <w:szCs w:val="24"/>
          <w:lang w:val="en-US"/>
        </w:rPr>
        <w:t xml:space="preserve">, D., Campos, J.L., </w:t>
      </w:r>
      <w:proofErr w:type="spellStart"/>
      <w:r w:rsidRPr="007F06A0">
        <w:rPr>
          <w:rFonts w:ascii="Arial" w:hAnsi="Arial" w:cs="Arial"/>
          <w:sz w:val="24"/>
          <w:szCs w:val="24"/>
          <w:lang w:val="en-US"/>
        </w:rPr>
        <w:t>Guwy</w:t>
      </w:r>
      <w:proofErr w:type="spellEnd"/>
      <w:r w:rsidRPr="007F06A0">
        <w:rPr>
          <w:rFonts w:ascii="Arial" w:hAnsi="Arial" w:cs="Arial"/>
          <w:sz w:val="24"/>
          <w:szCs w:val="24"/>
          <w:lang w:val="en-US"/>
        </w:rPr>
        <w:t xml:space="preserve">, A.J., </w:t>
      </w:r>
      <w:proofErr w:type="spellStart"/>
      <w:r w:rsidRPr="007F06A0">
        <w:rPr>
          <w:rFonts w:ascii="Arial" w:hAnsi="Arial" w:cs="Arial"/>
          <w:sz w:val="24"/>
          <w:szCs w:val="24"/>
          <w:lang w:val="en-US"/>
        </w:rPr>
        <w:t>Kalyuzhnyi</w:t>
      </w:r>
      <w:proofErr w:type="spellEnd"/>
      <w:r w:rsidRPr="007F06A0">
        <w:rPr>
          <w:rFonts w:ascii="Arial" w:hAnsi="Arial" w:cs="Arial"/>
          <w:sz w:val="24"/>
          <w:szCs w:val="24"/>
          <w:lang w:val="en-US"/>
        </w:rPr>
        <w:t xml:space="preserve">, S., </w:t>
      </w:r>
      <w:proofErr w:type="spellStart"/>
      <w:r w:rsidRPr="007F06A0">
        <w:rPr>
          <w:rFonts w:ascii="Arial" w:hAnsi="Arial" w:cs="Arial"/>
          <w:sz w:val="24"/>
          <w:szCs w:val="24"/>
          <w:lang w:val="en-US"/>
        </w:rPr>
        <w:t>Jenicek</w:t>
      </w:r>
      <w:proofErr w:type="spellEnd"/>
      <w:r w:rsidRPr="007F06A0">
        <w:rPr>
          <w:rFonts w:ascii="Arial" w:hAnsi="Arial" w:cs="Arial"/>
          <w:sz w:val="24"/>
          <w:szCs w:val="24"/>
          <w:lang w:val="en-US"/>
        </w:rPr>
        <w:t>, P., &amp;</w:t>
      </w:r>
      <w:r w:rsidR="001D3759">
        <w:rPr>
          <w:rFonts w:ascii="Arial" w:hAnsi="Arial" w:cs="Arial"/>
          <w:sz w:val="24"/>
          <w:szCs w:val="24"/>
          <w:lang w:val="en-US"/>
        </w:rPr>
        <w:t xml:space="preserve"> </w:t>
      </w:r>
      <w:r w:rsidRPr="007F06A0">
        <w:rPr>
          <w:rFonts w:ascii="Arial" w:hAnsi="Arial" w:cs="Arial"/>
          <w:sz w:val="24"/>
          <w:szCs w:val="24"/>
          <w:lang w:val="en-US"/>
        </w:rPr>
        <w:t xml:space="preserve">Van </w:t>
      </w:r>
      <w:proofErr w:type="spellStart"/>
      <w:r w:rsidRPr="007F06A0">
        <w:rPr>
          <w:rFonts w:ascii="Arial" w:hAnsi="Arial" w:cs="Arial"/>
          <w:sz w:val="24"/>
          <w:szCs w:val="24"/>
          <w:lang w:val="en-US"/>
        </w:rPr>
        <w:t>Lier</w:t>
      </w:r>
      <w:proofErr w:type="spellEnd"/>
      <w:r w:rsidRPr="007F06A0">
        <w:rPr>
          <w:rFonts w:ascii="Arial" w:hAnsi="Arial" w:cs="Arial"/>
          <w:sz w:val="24"/>
          <w:szCs w:val="24"/>
          <w:lang w:val="en-US"/>
        </w:rPr>
        <w:t>, J. B. (2009).</w:t>
      </w:r>
      <w:proofErr w:type="gramEnd"/>
      <w:r w:rsidRPr="007F06A0">
        <w:rPr>
          <w:rFonts w:ascii="Arial" w:hAnsi="Arial" w:cs="Arial"/>
          <w:sz w:val="24"/>
          <w:szCs w:val="24"/>
          <w:lang w:val="en-US"/>
        </w:rPr>
        <w:t xml:space="preserve"> Defining the </w:t>
      </w:r>
      <w:proofErr w:type="spellStart"/>
      <w:r w:rsidRPr="007F06A0">
        <w:rPr>
          <w:rFonts w:ascii="Arial" w:hAnsi="Arial" w:cs="Arial"/>
          <w:sz w:val="24"/>
          <w:szCs w:val="24"/>
          <w:lang w:val="en-US"/>
        </w:rPr>
        <w:t>biomethane</w:t>
      </w:r>
      <w:proofErr w:type="spellEnd"/>
      <w:r w:rsidRPr="007F06A0">
        <w:rPr>
          <w:rFonts w:ascii="Arial" w:hAnsi="Arial" w:cs="Arial"/>
          <w:sz w:val="24"/>
          <w:szCs w:val="24"/>
          <w:lang w:val="en-US"/>
        </w:rPr>
        <w:t xml:space="preserve"> potential (BMP) of solid organic wastes and energy crops: a proposed protocol for batch assays. </w:t>
      </w:r>
      <w:r w:rsidRPr="007F06A0">
        <w:rPr>
          <w:rFonts w:ascii="Arial" w:hAnsi="Arial" w:cs="Arial"/>
          <w:i/>
          <w:sz w:val="24"/>
          <w:szCs w:val="24"/>
          <w:lang w:val="en-US"/>
        </w:rPr>
        <w:t>Water Science &amp; Technology</w:t>
      </w:r>
      <w:r w:rsidRPr="007F06A0">
        <w:rPr>
          <w:rFonts w:ascii="Arial" w:hAnsi="Arial" w:cs="Arial"/>
          <w:sz w:val="24"/>
          <w:szCs w:val="24"/>
          <w:lang w:val="en-US"/>
        </w:rPr>
        <w:t xml:space="preserve">, </w:t>
      </w:r>
      <w:r w:rsidRPr="007F06A0">
        <w:rPr>
          <w:rFonts w:ascii="Arial" w:hAnsi="Arial" w:cs="Arial"/>
          <w:i/>
          <w:sz w:val="24"/>
          <w:szCs w:val="24"/>
          <w:lang w:val="en-US"/>
        </w:rPr>
        <w:t>59</w:t>
      </w:r>
      <w:r w:rsidRPr="007F06A0">
        <w:rPr>
          <w:rFonts w:ascii="Arial" w:hAnsi="Arial" w:cs="Arial"/>
          <w:sz w:val="24"/>
          <w:szCs w:val="24"/>
          <w:lang w:val="en-US"/>
        </w:rPr>
        <w:t xml:space="preserve"> (5), 1-8.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APHA, (2005).</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Standard methods for the examination of water and wastewater.</w:t>
      </w:r>
      <w:proofErr w:type="gramEnd"/>
      <w:r w:rsidRPr="007F06A0">
        <w:rPr>
          <w:rFonts w:ascii="Arial" w:hAnsi="Arial" w:cs="Arial"/>
          <w:sz w:val="24"/>
          <w:szCs w:val="24"/>
          <w:lang w:val="en-US"/>
        </w:rPr>
        <w:t xml:space="preserve"> American Public Health Association, Washington, ISBN 978-0-87553-047-5.</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r w:rsidRPr="000F1E5E">
        <w:rPr>
          <w:rFonts w:ascii="Arial" w:hAnsi="Arial" w:cs="Arial"/>
          <w:sz w:val="24"/>
          <w:szCs w:val="24"/>
        </w:rPr>
        <w:t>Astals</w:t>
      </w:r>
      <w:proofErr w:type="spellEnd"/>
      <w:r w:rsidRPr="000F1E5E">
        <w:rPr>
          <w:rFonts w:ascii="Arial" w:hAnsi="Arial" w:cs="Arial"/>
          <w:sz w:val="24"/>
          <w:szCs w:val="24"/>
        </w:rPr>
        <w:t xml:space="preserve">, S., </w:t>
      </w:r>
      <w:proofErr w:type="spellStart"/>
      <w:r w:rsidRPr="000F1E5E">
        <w:rPr>
          <w:rFonts w:ascii="Arial" w:hAnsi="Arial" w:cs="Arial"/>
          <w:sz w:val="24"/>
          <w:szCs w:val="24"/>
        </w:rPr>
        <w:t>Batstone</w:t>
      </w:r>
      <w:proofErr w:type="spellEnd"/>
      <w:r w:rsidRPr="000F1E5E">
        <w:rPr>
          <w:rFonts w:ascii="Arial" w:hAnsi="Arial" w:cs="Arial"/>
          <w:sz w:val="24"/>
          <w:szCs w:val="24"/>
        </w:rPr>
        <w:t xml:space="preserve">, D.J., Mata-Alvarez, J., &amp; Jensen, P.D. (2014). </w:t>
      </w:r>
      <w:proofErr w:type="gramStart"/>
      <w:r w:rsidRPr="007F06A0">
        <w:rPr>
          <w:rFonts w:ascii="Arial" w:hAnsi="Arial" w:cs="Arial"/>
          <w:sz w:val="24"/>
          <w:szCs w:val="24"/>
          <w:lang w:val="en-US"/>
        </w:rPr>
        <w:t>Identification of synergistic impacts during anaerobic co-digestion of organic wastes.</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169</w:t>
      </w:r>
      <w:r w:rsidRPr="007F06A0">
        <w:rPr>
          <w:rFonts w:ascii="Arial" w:hAnsi="Arial" w:cs="Arial"/>
          <w:sz w:val="24"/>
          <w:szCs w:val="24"/>
          <w:lang w:val="en-US"/>
        </w:rPr>
        <w:t xml:space="preserve">, 421–427.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r w:rsidRPr="000F1E5E">
        <w:rPr>
          <w:rFonts w:ascii="Arial" w:hAnsi="Arial" w:cs="Arial"/>
          <w:sz w:val="24"/>
          <w:szCs w:val="24"/>
        </w:rPr>
        <w:t>Abouelenien</w:t>
      </w:r>
      <w:proofErr w:type="spellEnd"/>
      <w:r w:rsidRPr="000F1E5E">
        <w:rPr>
          <w:rFonts w:ascii="Arial" w:hAnsi="Arial" w:cs="Arial"/>
          <w:sz w:val="24"/>
          <w:szCs w:val="24"/>
        </w:rPr>
        <w:t xml:space="preserve">, F., </w:t>
      </w:r>
      <w:proofErr w:type="spellStart"/>
      <w:r w:rsidRPr="000F1E5E">
        <w:rPr>
          <w:rFonts w:ascii="Arial" w:hAnsi="Arial" w:cs="Arial"/>
          <w:sz w:val="24"/>
          <w:szCs w:val="24"/>
        </w:rPr>
        <w:t>Namba</w:t>
      </w:r>
      <w:proofErr w:type="spellEnd"/>
      <w:r w:rsidRPr="000F1E5E">
        <w:rPr>
          <w:rFonts w:ascii="Arial" w:hAnsi="Arial" w:cs="Arial"/>
          <w:sz w:val="24"/>
          <w:szCs w:val="24"/>
        </w:rPr>
        <w:t xml:space="preserve">, Y., </w:t>
      </w:r>
      <w:proofErr w:type="spellStart"/>
      <w:r w:rsidRPr="000F1E5E">
        <w:rPr>
          <w:rFonts w:ascii="Arial" w:hAnsi="Arial" w:cs="Arial"/>
          <w:sz w:val="24"/>
          <w:szCs w:val="24"/>
        </w:rPr>
        <w:t>Kosseva</w:t>
      </w:r>
      <w:proofErr w:type="spellEnd"/>
      <w:r w:rsidRPr="000F1E5E">
        <w:rPr>
          <w:rFonts w:ascii="Arial" w:hAnsi="Arial" w:cs="Arial"/>
          <w:sz w:val="24"/>
          <w:szCs w:val="24"/>
        </w:rPr>
        <w:t xml:space="preserve">, M.R., </w:t>
      </w:r>
      <w:proofErr w:type="spellStart"/>
      <w:r w:rsidRPr="000F1E5E">
        <w:rPr>
          <w:rFonts w:ascii="Arial" w:hAnsi="Arial" w:cs="Arial"/>
          <w:sz w:val="24"/>
          <w:szCs w:val="24"/>
        </w:rPr>
        <w:t>Nishio</w:t>
      </w:r>
      <w:proofErr w:type="spellEnd"/>
      <w:r w:rsidRPr="000F1E5E">
        <w:rPr>
          <w:rFonts w:ascii="Arial" w:hAnsi="Arial" w:cs="Arial"/>
          <w:sz w:val="24"/>
          <w:szCs w:val="24"/>
        </w:rPr>
        <w:t xml:space="preserve">, N., &amp; </w:t>
      </w:r>
      <w:proofErr w:type="spellStart"/>
      <w:r w:rsidRPr="000F1E5E">
        <w:rPr>
          <w:rFonts w:ascii="Arial" w:hAnsi="Arial" w:cs="Arial"/>
          <w:sz w:val="24"/>
          <w:szCs w:val="24"/>
        </w:rPr>
        <w:t>Nakashimada</w:t>
      </w:r>
      <w:proofErr w:type="spellEnd"/>
      <w:r w:rsidRPr="000F1E5E">
        <w:rPr>
          <w:rFonts w:ascii="Arial" w:hAnsi="Arial" w:cs="Arial"/>
          <w:sz w:val="24"/>
          <w:szCs w:val="24"/>
        </w:rPr>
        <w:t xml:space="preserve">, Y. (2014). </w:t>
      </w:r>
      <w:proofErr w:type="gramStart"/>
      <w:r w:rsidRPr="007F06A0">
        <w:rPr>
          <w:rFonts w:ascii="Arial" w:hAnsi="Arial" w:cs="Arial"/>
          <w:sz w:val="24"/>
          <w:szCs w:val="24"/>
          <w:lang w:val="en-US"/>
        </w:rPr>
        <w:t>Enhancement of methane production from co-digestion of chicken manure with agricultural wastes.</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159</w:t>
      </w:r>
      <w:r w:rsidRPr="007F06A0">
        <w:rPr>
          <w:rFonts w:ascii="Arial" w:hAnsi="Arial" w:cs="Arial"/>
          <w:sz w:val="24"/>
          <w:szCs w:val="24"/>
          <w:lang w:val="en-US"/>
        </w:rPr>
        <w:t xml:space="preserve">, 80–87. </w:t>
      </w:r>
    </w:p>
    <w:p w:rsidR="00E13063"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 xml:space="preserve">Barrera, E.L., </w:t>
      </w:r>
      <w:proofErr w:type="spellStart"/>
      <w:r w:rsidRPr="007F06A0">
        <w:rPr>
          <w:rFonts w:ascii="Arial" w:hAnsi="Arial" w:cs="Arial"/>
          <w:sz w:val="24"/>
          <w:szCs w:val="24"/>
          <w:lang w:val="en-US"/>
        </w:rPr>
        <w:t>Spanjers</w:t>
      </w:r>
      <w:proofErr w:type="spellEnd"/>
      <w:r w:rsidRPr="007F06A0">
        <w:rPr>
          <w:rFonts w:ascii="Arial" w:hAnsi="Arial" w:cs="Arial"/>
          <w:sz w:val="24"/>
          <w:szCs w:val="24"/>
          <w:lang w:val="en-US"/>
        </w:rPr>
        <w:t xml:space="preserve">, H., Solon, K., </w:t>
      </w:r>
      <w:proofErr w:type="spellStart"/>
      <w:r w:rsidRPr="007F06A0">
        <w:rPr>
          <w:rFonts w:ascii="Arial" w:hAnsi="Arial" w:cs="Arial"/>
          <w:sz w:val="24"/>
          <w:szCs w:val="24"/>
          <w:lang w:val="en-US"/>
        </w:rPr>
        <w:t>Amerlinck</w:t>
      </w:r>
      <w:proofErr w:type="spellEnd"/>
      <w:r w:rsidRPr="007F06A0">
        <w:rPr>
          <w:rFonts w:ascii="Arial" w:hAnsi="Arial" w:cs="Arial"/>
          <w:sz w:val="24"/>
          <w:szCs w:val="24"/>
          <w:lang w:val="en-US"/>
        </w:rPr>
        <w:t xml:space="preserve">, A., </w:t>
      </w:r>
      <w:proofErr w:type="spellStart"/>
      <w:r w:rsidRPr="007F06A0">
        <w:rPr>
          <w:rFonts w:ascii="Arial" w:hAnsi="Arial" w:cs="Arial"/>
          <w:sz w:val="24"/>
          <w:szCs w:val="24"/>
          <w:lang w:val="en-US"/>
        </w:rPr>
        <w:t>Nopens</w:t>
      </w:r>
      <w:proofErr w:type="spellEnd"/>
      <w:r w:rsidRPr="007F06A0">
        <w:rPr>
          <w:rFonts w:ascii="Arial" w:hAnsi="Arial" w:cs="Arial"/>
          <w:sz w:val="24"/>
          <w:szCs w:val="24"/>
          <w:lang w:val="en-US"/>
        </w:rPr>
        <w:t xml:space="preserve">, I., &amp; </w:t>
      </w:r>
      <w:proofErr w:type="spellStart"/>
      <w:r w:rsidRPr="007F06A0">
        <w:rPr>
          <w:rFonts w:ascii="Arial" w:hAnsi="Arial" w:cs="Arial"/>
          <w:sz w:val="24"/>
          <w:szCs w:val="24"/>
          <w:lang w:val="en-US"/>
        </w:rPr>
        <w:t>Dewulf</w:t>
      </w:r>
      <w:proofErr w:type="spellEnd"/>
      <w:r w:rsidRPr="007F06A0">
        <w:rPr>
          <w:rFonts w:ascii="Arial" w:hAnsi="Arial" w:cs="Arial"/>
          <w:sz w:val="24"/>
          <w:szCs w:val="24"/>
          <w:lang w:val="en-US"/>
        </w:rPr>
        <w:t>, J. (2015).</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 xml:space="preserve">Modeling the anaerobic digestion of </w:t>
      </w:r>
      <w:proofErr w:type="spellStart"/>
      <w:r w:rsidRPr="007F06A0">
        <w:rPr>
          <w:rFonts w:ascii="Arial" w:hAnsi="Arial" w:cs="Arial"/>
          <w:sz w:val="24"/>
          <w:szCs w:val="24"/>
          <w:lang w:val="en-US"/>
        </w:rPr>
        <w:t>canemolasses</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Extension of the Anaerobic Digestion Model No. 1 (ADM1) with sulfate reduction for a very high strength and sulfate rich wastewater.</w:t>
      </w:r>
      <w:proofErr w:type="gramEnd"/>
      <w:r w:rsidRPr="007F06A0">
        <w:rPr>
          <w:rFonts w:ascii="Arial" w:hAnsi="Arial" w:cs="Arial"/>
          <w:sz w:val="24"/>
          <w:szCs w:val="24"/>
          <w:lang w:val="en-US"/>
        </w:rPr>
        <w:t xml:space="preserve"> </w:t>
      </w:r>
      <w:r w:rsidRPr="007F06A0">
        <w:rPr>
          <w:rFonts w:ascii="Arial" w:hAnsi="Arial" w:cs="Arial"/>
          <w:i/>
          <w:sz w:val="24"/>
          <w:szCs w:val="24"/>
          <w:lang w:val="en-US"/>
        </w:rPr>
        <w:t>Water research,</w:t>
      </w:r>
      <w:r w:rsidRPr="007F06A0">
        <w:rPr>
          <w:rFonts w:ascii="Arial" w:hAnsi="Arial" w:cs="Arial"/>
          <w:sz w:val="24"/>
          <w:szCs w:val="24"/>
          <w:lang w:val="en-US"/>
        </w:rPr>
        <w:t xml:space="preserve"> </w:t>
      </w:r>
      <w:r w:rsidRPr="007F06A0">
        <w:rPr>
          <w:rFonts w:ascii="Arial" w:hAnsi="Arial" w:cs="Arial"/>
          <w:i/>
          <w:sz w:val="24"/>
          <w:szCs w:val="24"/>
          <w:lang w:val="en-US"/>
        </w:rPr>
        <w:t>71</w:t>
      </w:r>
      <w:r w:rsidRPr="007F06A0">
        <w:rPr>
          <w:rFonts w:ascii="Arial" w:hAnsi="Arial" w:cs="Arial"/>
          <w:sz w:val="24"/>
          <w:szCs w:val="24"/>
          <w:lang w:val="en-US"/>
        </w:rPr>
        <w:t xml:space="preserve">, 42- 54.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lastRenderedPageBreak/>
        <w:t xml:space="preserve">Bolan, N.S., </w:t>
      </w:r>
      <w:proofErr w:type="spellStart"/>
      <w:r w:rsidRPr="007F06A0">
        <w:rPr>
          <w:rFonts w:ascii="Arial" w:hAnsi="Arial" w:cs="Arial"/>
          <w:sz w:val="24"/>
          <w:szCs w:val="24"/>
          <w:lang w:val="en-US"/>
        </w:rPr>
        <w:t>Szogi</w:t>
      </w:r>
      <w:proofErr w:type="spellEnd"/>
      <w:r w:rsidRPr="007F06A0">
        <w:rPr>
          <w:rFonts w:ascii="Arial" w:hAnsi="Arial" w:cs="Arial"/>
          <w:sz w:val="24"/>
          <w:szCs w:val="24"/>
          <w:lang w:val="en-US"/>
        </w:rPr>
        <w:t xml:space="preserve">, A.A., </w:t>
      </w:r>
      <w:proofErr w:type="spellStart"/>
      <w:r w:rsidRPr="007F06A0">
        <w:rPr>
          <w:rFonts w:ascii="Arial" w:hAnsi="Arial" w:cs="Arial"/>
          <w:sz w:val="24"/>
          <w:szCs w:val="24"/>
          <w:lang w:val="en-US"/>
        </w:rPr>
        <w:t>Chuasavathi</w:t>
      </w:r>
      <w:proofErr w:type="spellEnd"/>
      <w:r w:rsidRPr="007F06A0">
        <w:rPr>
          <w:rFonts w:ascii="Arial" w:hAnsi="Arial" w:cs="Arial"/>
          <w:sz w:val="24"/>
          <w:szCs w:val="24"/>
          <w:lang w:val="en-US"/>
        </w:rPr>
        <w:t xml:space="preserve">, T., </w:t>
      </w:r>
      <w:proofErr w:type="spellStart"/>
      <w:r w:rsidRPr="007F06A0">
        <w:rPr>
          <w:rFonts w:ascii="Arial" w:hAnsi="Arial" w:cs="Arial"/>
          <w:sz w:val="24"/>
          <w:szCs w:val="24"/>
          <w:lang w:val="en-US"/>
        </w:rPr>
        <w:t>Seshadri</w:t>
      </w:r>
      <w:proofErr w:type="spellEnd"/>
      <w:r w:rsidRPr="007F06A0">
        <w:rPr>
          <w:rFonts w:ascii="Arial" w:hAnsi="Arial" w:cs="Arial"/>
          <w:sz w:val="24"/>
          <w:szCs w:val="24"/>
          <w:lang w:val="en-US"/>
        </w:rPr>
        <w:t xml:space="preserve">, B., </w:t>
      </w:r>
      <w:proofErr w:type="spellStart"/>
      <w:r w:rsidRPr="007F06A0">
        <w:rPr>
          <w:rFonts w:ascii="Arial" w:hAnsi="Arial" w:cs="Arial"/>
          <w:sz w:val="24"/>
          <w:szCs w:val="24"/>
          <w:lang w:val="en-US"/>
        </w:rPr>
        <w:t>Rothrock</w:t>
      </w:r>
      <w:proofErr w:type="spellEnd"/>
      <w:r w:rsidRPr="007F06A0">
        <w:rPr>
          <w:rFonts w:ascii="Arial" w:hAnsi="Arial" w:cs="Arial"/>
          <w:sz w:val="24"/>
          <w:szCs w:val="24"/>
          <w:lang w:val="en-US"/>
        </w:rPr>
        <w:t xml:space="preserve">, M.J., &amp; </w:t>
      </w:r>
      <w:proofErr w:type="spellStart"/>
      <w:r w:rsidRPr="007F06A0">
        <w:rPr>
          <w:rFonts w:ascii="Arial" w:hAnsi="Arial" w:cs="Arial"/>
          <w:sz w:val="24"/>
          <w:szCs w:val="24"/>
          <w:lang w:val="en-US"/>
        </w:rPr>
        <w:t>Panneersel</w:t>
      </w:r>
      <w:proofErr w:type="spellEnd"/>
      <w:r w:rsidRPr="007F06A0">
        <w:rPr>
          <w:rFonts w:ascii="Arial" w:hAnsi="Arial" w:cs="Arial"/>
          <w:sz w:val="24"/>
          <w:szCs w:val="24"/>
          <w:lang w:val="en-US"/>
        </w:rPr>
        <w:t>, P. (2010).</w:t>
      </w:r>
      <w:proofErr w:type="gramEnd"/>
      <w:r w:rsidRPr="007F06A0">
        <w:rPr>
          <w:rFonts w:ascii="Arial" w:hAnsi="Arial" w:cs="Arial"/>
          <w:sz w:val="24"/>
          <w:szCs w:val="24"/>
          <w:lang w:val="en-US"/>
        </w:rPr>
        <w:t xml:space="preserve"> Uses and management of poultry litter. </w:t>
      </w:r>
      <w:r w:rsidRPr="007F06A0">
        <w:rPr>
          <w:rFonts w:ascii="Arial" w:hAnsi="Arial" w:cs="Arial"/>
          <w:i/>
          <w:sz w:val="24"/>
          <w:szCs w:val="24"/>
          <w:lang w:val="en-US"/>
        </w:rPr>
        <w:t>World's Poultry Science Journal,</w:t>
      </w:r>
      <w:r w:rsidRPr="007F06A0">
        <w:rPr>
          <w:rFonts w:ascii="Arial" w:hAnsi="Arial" w:cs="Arial"/>
          <w:sz w:val="24"/>
          <w:szCs w:val="24"/>
          <w:lang w:val="en-US"/>
        </w:rPr>
        <w:t xml:space="preserve"> </w:t>
      </w:r>
      <w:r w:rsidRPr="007F06A0">
        <w:rPr>
          <w:rFonts w:ascii="Arial" w:hAnsi="Arial" w:cs="Arial"/>
          <w:i/>
          <w:sz w:val="24"/>
          <w:szCs w:val="24"/>
          <w:lang w:val="en-US"/>
        </w:rPr>
        <w:t>66</w:t>
      </w:r>
      <w:r w:rsidRPr="007F06A0">
        <w:rPr>
          <w:rFonts w:ascii="Arial" w:hAnsi="Arial" w:cs="Arial"/>
          <w:sz w:val="24"/>
          <w:szCs w:val="24"/>
          <w:lang w:val="en-US"/>
        </w:rPr>
        <w:t xml:space="preserve">, 673-698.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 xml:space="preserve">Castro, L., Guzmán, C., &amp; Escalante, H. (2014). Aprovechamiento de la biomasa </w:t>
      </w:r>
      <w:proofErr w:type="spellStart"/>
      <w:r w:rsidRPr="007F06A0">
        <w:rPr>
          <w:rFonts w:ascii="Arial" w:hAnsi="Arial" w:cs="Arial"/>
          <w:sz w:val="24"/>
          <w:szCs w:val="24"/>
        </w:rPr>
        <w:t>lignocelulósica</w:t>
      </w:r>
      <w:proofErr w:type="spellEnd"/>
      <w:r w:rsidRPr="007F06A0">
        <w:rPr>
          <w:rFonts w:ascii="Arial" w:hAnsi="Arial" w:cs="Arial"/>
          <w:sz w:val="24"/>
          <w:szCs w:val="24"/>
        </w:rPr>
        <w:t>, Algunas experiencias de investigación en Colombia</w:t>
      </w:r>
      <w:r w:rsidRPr="007F06A0">
        <w:rPr>
          <w:rFonts w:ascii="Arial" w:hAnsi="Arial" w:cs="Arial"/>
          <w:sz w:val="24"/>
          <w:szCs w:val="24"/>
          <w:lang w:val="es-ES"/>
        </w:rPr>
        <w:t xml:space="preserve">. Digestión anaerobia de una biomasa </w:t>
      </w:r>
      <w:proofErr w:type="spellStart"/>
      <w:r w:rsidRPr="007F06A0">
        <w:rPr>
          <w:rFonts w:ascii="Arial" w:hAnsi="Arial" w:cs="Arial"/>
          <w:sz w:val="24"/>
          <w:szCs w:val="24"/>
          <w:lang w:val="es-ES"/>
        </w:rPr>
        <w:t>lignocelulósica</w:t>
      </w:r>
      <w:proofErr w:type="spellEnd"/>
      <w:r w:rsidRPr="007F06A0">
        <w:rPr>
          <w:rFonts w:ascii="Arial" w:hAnsi="Arial" w:cs="Arial"/>
          <w:sz w:val="24"/>
          <w:szCs w:val="24"/>
          <w:lang w:val="es-ES"/>
        </w:rPr>
        <w:t xml:space="preserve"> en Colombia: Bagazo de Fique como caso de estudio. </w:t>
      </w:r>
      <w:r w:rsidRPr="007F06A0">
        <w:rPr>
          <w:rFonts w:ascii="Arial" w:hAnsi="Arial" w:cs="Arial"/>
          <w:sz w:val="24"/>
          <w:szCs w:val="24"/>
        </w:rPr>
        <w:t xml:space="preserve">Bogotá, Colombia: </w:t>
      </w:r>
      <w:proofErr w:type="spellStart"/>
      <w:r w:rsidRPr="007F06A0">
        <w:rPr>
          <w:rFonts w:ascii="Arial" w:hAnsi="Arial" w:cs="Arial"/>
          <w:sz w:val="24"/>
          <w:szCs w:val="24"/>
        </w:rPr>
        <w:t>Utadeo</w:t>
      </w:r>
      <w:proofErr w:type="spellEnd"/>
      <w:r w:rsidRPr="007F06A0">
        <w:rPr>
          <w:rFonts w:ascii="Arial" w:hAnsi="Arial" w:cs="Arial"/>
          <w:sz w:val="24"/>
          <w:szCs w:val="24"/>
        </w:rPr>
        <w:t xml:space="preserve">. </w:t>
      </w:r>
    </w:p>
    <w:p w:rsidR="00DC1CB3"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 xml:space="preserve">Dávila-Rincón, J., Machuca-Martínez, F., &amp; </w:t>
      </w:r>
      <w:proofErr w:type="spellStart"/>
      <w:r w:rsidRPr="007F06A0">
        <w:rPr>
          <w:rFonts w:ascii="Arial" w:hAnsi="Arial" w:cs="Arial"/>
          <w:sz w:val="24"/>
          <w:szCs w:val="24"/>
        </w:rPr>
        <w:t>Marriaga</w:t>
      </w:r>
      <w:proofErr w:type="spellEnd"/>
      <w:r w:rsidRPr="007F06A0">
        <w:rPr>
          <w:rFonts w:ascii="Arial" w:hAnsi="Arial" w:cs="Arial"/>
          <w:sz w:val="24"/>
          <w:szCs w:val="24"/>
        </w:rPr>
        <w:t xml:space="preserve">-Cabrales, N. (2009). Reducción de demanda química de oxígeno, carbono orgánico total y sólidos totales en vinazas mediante </w:t>
      </w:r>
      <w:proofErr w:type="spellStart"/>
      <w:r w:rsidRPr="007F06A0">
        <w:rPr>
          <w:rFonts w:ascii="Arial" w:hAnsi="Arial" w:cs="Arial"/>
          <w:sz w:val="24"/>
          <w:szCs w:val="24"/>
        </w:rPr>
        <w:t>electroflotación</w:t>
      </w:r>
      <w:proofErr w:type="spellEnd"/>
      <w:r w:rsidRPr="007F06A0">
        <w:rPr>
          <w:rFonts w:ascii="Arial" w:hAnsi="Arial" w:cs="Arial"/>
          <w:sz w:val="24"/>
          <w:szCs w:val="24"/>
        </w:rPr>
        <w:t xml:space="preserve">/oxidación. </w:t>
      </w:r>
      <w:r w:rsidRPr="007F06A0">
        <w:rPr>
          <w:rFonts w:ascii="Arial" w:hAnsi="Arial" w:cs="Arial"/>
          <w:i/>
          <w:sz w:val="24"/>
          <w:szCs w:val="24"/>
        </w:rPr>
        <w:t>Revista Ingeniería e Investigación</w:t>
      </w:r>
      <w:r w:rsidRPr="007F06A0">
        <w:rPr>
          <w:rFonts w:ascii="Arial" w:hAnsi="Arial" w:cs="Arial"/>
          <w:sz w:val="24"/>
          <w:szCs w:val="24"/>
        </w:rPr>
        <w:t xml:space="preserve">, </w:t>
      </w:r>
      <w:r w:rsidRPr="007F06A0">
        <w:rPr>
          <w:rFonts w:ascii="Arial" w:hAnsi="Arial" w:cs="Arial"/>
          <w:i/>
          <w:sz w:val="24"/>
          <w:szCs w:val="24"/>
        </w:rPr>
        <w:t>29</w:t>
      </w:r>
      <w:r w:rsidRPr="007F06A0">
        <w:rPr>
          <w:rFonts w:ascii="Arial" w:hAnsi="Arial" w:cs="Arial"/>
          <w:sz w:val="24"/>
          <w:szCs w:val="24"/>
        </w:rPr>
        <w:t xml:space="preserve"> (1), 35-38.</w:t>
      </w:r>
    </w:p>
    <w:p w:rsidR="00894FD9"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proofErr w:type="spellStart"/>
      <w:r w:rsidRPr="007F06A0">
        <w:rPr>
          <w:rFonts w:ascii="Arial" w:hAnsi="Arial" w:cs="Arial"/>
          <w:sz w:val="24"/>
          <w:szCs w:val="24"/>
        </w:rPr>
        <w:t>Djalma</w:t>
      </w:r>
      <w:proofErr w:type="spellEnd"/>
      <w:r w:rsidRPr="007F06A0">
        <w:rPr>
          <w:rFonts w:ascii="Arial" w:hAnsi="Arial" w:cs="Arial"/>
          <w:sz w:val="24"/>
          <w:szCs w:val="24"/>
        </w:rPr>
        <w:t xml:space="preserve">, A., </w:t>
      </w:r>
      <w:proofErr w:type="spellStart"/>
      <w:r w:rsidRPr="007F06A0">
        <w:rPr>
          <w:rFonts w:ascii="Arial" w:hAnsi="Arial" w:cs="Arial"/>
          <w:sz w:val="24"/>
          <w:szCs w:val="24"/>
        </w:rPr>
        <w:t>Koyama</w:t>
      </w:r>
      <w:proofErr w:type="spellEnd"/>
      <w:r w:rsidRPr="007F06A0">
        <w:rPr>
          <w:rFonts w:ascii="Arial" w:hAnsi="Arial" w:cs="Arial"/>
          <w:sz w:val="24"/>
          <w:szCs w:val="24"/>
        </w:rPr>
        <w:t xml:space="preserve">, M.H., De </w:t>
      </w:r>
      <w:proofErr w:type="spellStart"/>
      <w:r w:rsidRPr="007F06A0">
        <w:rPr>
          <w:rFonts w:ascii="Arial" w:hAnsi="Arial" w:cs="Arial"/>
          <w:sz w:val="24"/>
          <w:szCs w:val="24"/>
        </w:rPr>
        <w:t>Araújo</w:t>
      </w:r>
      <w:proofErr w:type="spellEnd"/>
      <w:r w:rsidRPr="007F06A0">
        <w:rPr>
          <w:rFonts w:ascii="Arial" w:hAnsi="Arial" w:cs="Arial"/>
          <w:sz w:val="24"/>
          <w:szCs w:val="24"/>
        </w:rPr>
        <w:t xml:space="preserve">, M.M., &amp; </w:t>
      </w:r>
      <w:proofErr w:type="spellStart"/>
      <w:r w:rsidRPr="007F06A0">
        <w:rPr>
          <w:rFonts w:ascii="Arial" w:hAnsi="Arial" w:cs="Arial"/>
          <w:sz w:val="24"/>
          <w:szCs w:val="24"/>
        </w:rPr>
        <w:t>Zaiat</w:t>
      </w:r>
      <w:proofErr w:type="spellEnd"/>
      <w:r w:rsidRPr="007F06A0">
        <w:rPr>
          <w:rFonts w:ascii="Arial" w:hAnsi="Arial" w:cs="Arial"/>
          <w:sz w:val="24"/>
          <w:szCs w:val="24"/>
        </w:rPr>
        <w:t xml:space="preserve">, M. (2016). </w:t>
      </w:r>
      <w:proofErr w:type="spellStart"/>
      <w:proofErr w:type="gramStart"/>
      <w:r w:rsidRPr="007F06A0">
        <w:rPr>
          <w:rFonts w:ascii="Arial" w:hAnsi="Arial" w:cs="Arial"/>
          <w:sz w:val="24"/>
          <w:szCs w:val="24"/>
          <w:lang w:val="en-US"/>
        </w:rPr>
        <w:t>Thermophilic</w:t>
      </w:r>
      <w:proofErr w:type="spellEnd"/>
      <w:r w:rsidRPr="007F06A0">
        <w:rPr>
          <w:rFonts w:ascii="Arial" w:hAnsi="Arial" w:cs="Arial"/>
          <w:sz w:val="24"/>
          <w:szCs w:val="24"/>
          <w:lang w:val="en-US"/>
        </w:rPr>
        <w:t xml:space="preserve"> anaerobic digestion of raw sugarcane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rPr>
        <w:t>Renewable</w:t>
      </w:r>
      <w:proofErr w:type="spellEnd"/>
      <w:r w:rsidRPr="007F06A0">
        <w:rPr>
          <w:rFonts w:ascii="Arial" w:hAnsi="Arial" w:cs="Arial"/>
          <w:i/>
          <w:sz w:val="24"/>
          <w:szCs w:val="24"/>
        </w:rPr>
        <w:t xml:space="preserve"> </w:t>
      </w:r>
      <w:proofErr w:type="spellStart"/>
      <w:r w:rsidRPr="007F06A0">
        <w:rPr>
          <w:rFonts w:ascii="Arial" w:hAnsi="Arial" w:cs="Arial"/>
          <w:i/>
          <w:sz w:val="24"/>
          <w:szCs w:val="24"/>
        </w:rPr>
        <w:t>Energy</w:t>
      </w:r>
      <w:proofErr w:type="spellEnd"/>
      <w:r w:rsidRPr="007F06A0">
        <w:rPr>
          <w:rFonts w:ascii="Arial" w:hAnsi="Arial" w:cs="Arial"/>
          <w:i/>
          <w:sz w:val="24"/>
          <w:szCs w:val="24"/>
        </w:rPr>
        <w:t>,</w:t>
      </w:r>
      <w:r w:rsidRPr="007F06A0">
        <w:rPr>
          <w:rFonts w:ascii="Arial" w:hAnsi="Arial" w:cs="Arial"/>
          <w:sz w:val="24"/>
          <w:szCs w:val="24"/>
        </w:rPr>
        <w:t xml:space="preserve"> </w:t>
      </w:r>
      <w:r w:rsidRPr="007F06A0">
        <w:rPr>
          <w:rFonts w:ascii="Arial" w:hAnsi="Arial" w:cs="Arial"/>
          <w:i/>
          <w:sz w:val="24"/>
          <w:szCs w:val="24"/>
        </w:rPr>
        <w:t>89</w:t>
      </w:r>
      <w:r w:rsidRPr="007F06A0">
        <w:rPr>
          <w:rFonts w:ascii="Arial" w:hAnsi="Arial" w:cs="Arial"/>
          <w:sz w:val="24"/>
          <w:szCs w:val="24"/>
        </w:rPr>
        <w:t xml:space="preserve">, 245- 252.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 xml:space="preserve">Escalante, H., </w:t>
      </w:r>
      <w:proofErr w:type="spellStart"/>
      <w:r w:rsidRPr="007F06A0">
        <w:rPr>
          <w:rFonts w:ascii="Arial" w:hAnsi="Arial" w:cs="Arial"/>
          <w:sz w:val="24"/>
          <w:szCs w:val="24"/>
        </w:rPr>
        <w:t>Orduz</w:t>
      </w:r>
      <w:proofErr w:type="spellEnd"/>
      <w:r w:rsidRPr="007F06A0">
        <w:rPr>
          <w:rFonts w:ascii="Arial" w:hAnsi="Arial" w:cs="Arial"/>
          <w:sz w:val="24"/>
          <w:szCs w:val="24"/>
        </w:rPr>
        <w:t>, J., Zapata, H., Cardona, M.C., &amp; Duarte, M. (2010). Atlas del potencial energético de la biomasa residual en Colombia. Unidad de planeación minero energética, Universidad Industrial de Santander, UIS.</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Espinoza-Escalante, F., Pelayo-</w:t>
      </w:r>
      <w:proofErr w:type="spellStart"/>
      <w:r w:rsidRPr="007F06A0">
        <w:rPr>
          <w:rFonts w:ascii="Arial" w:hAnsi="Arial" w:cs="Arial"/>
          <w:sz w:val="24"/>
          <w:szCs w:val="24"/>
        </w:rPr>
        <w:t>Ortíza</w:t>
      </w:r>
      <w:proofErr w:type="spellEnd"/>
      <w:r w:rsidRPr="007F06A0">
        <w:rPr>
          <w:rFonts w:ascii="Arial" w:hAnsi="Arial" w:cs="Arial"/>
          <w:sz w:val="24"/>
          <w:szCs w:val="24"/>
        </w:rPr>
        <w:t xml:space="preserve">, C., Navarro-Corona, J., González-García, Y., </w:t>
      </w:r>
      <w:proofErr w:type="spellStart"/>
      <w:r w:rsidRPr="007F06A0">
        <w:rPr>
          <w:rFonts w:ascii="Arial" w:hAnsi="Arial" w:cs="Arial"/>
          <w:sz w:val="24"/>
          <w:szCs w:val="24"/>
        </w:rPr>
        <w:t>Bories</w:t>
      </w:r>
      <w:proofErr w:type="spellEnd"/>
      <w:r w:rsidRPr="007F06A0">
        <w:rPr>
          <w:rFonts w:ascii="Arial" w:hAnsi="Arial" w:cs="Arial"/>
          <w:sz w:val="24"/>
          <w:szCs w:val="24"/>
        </w:rPr>
        <w:t xml:space="preserve">, A., &amp; Gutiérrez-Pulido, H. (2009). </w:t>
      </w:r>
      <w:r w:rsidRPr="007F06A0">
        <w:rPr>
          <w:rFonts w:ascii="Arial" w:hAnsi="Arial" w:cs="Arial"/>
          <w:sz w:val="24"/>
          <w:szCs w:val="24"/>
          <w:lang w:val="en-US"/>
        </w:rPr>
        <w:t xml:space="preserve">Anaerobic digestion of the </w:t>
      </w:r>
      <w:proofErr w:type="spellStart"/>
      <w:r w:rsidRPr="007F06A0">
        <w:rPr>
          <w:rFonts w:ascii="Arial" w:hAnsi="Arial" w:cs="Arial"/>
          <w:sz w:val="24"/>
          <w:szCs w:val="24"/>
          <w:lang w:val="en-US"/>
        </w:rPr>
        <w:t>vinasses</w:t>
      </w:r>
      <w:proofErr w:type="spellEnd"/>
      <w:r w:rsidRPr="007F06A0">
        <w:rPr>
          <w:rFonts w:ascii="Arial" w:hAnsi="Arial" w:cs="Arial"/>
          <w:sz w:val="24"/>
          <w:szCs w:val="24"/>
          <w:lang w:val="en-US"/>
        </w:rPr>
        <w:t xml:space="preserve"> from the fermentation of Agave </w:t>
      </w:r>
      <w:proofErr w:type="spellStart"/>
      <w:r w:rsidRPr="007F06A0">
        <w:rPr>
          <w:rFonts w:ascii="Arial" w:hAnsi="Arial" w:cs="Arial"/>
          <w:sz w:val="24"/>
          <w:szCs w:val="24"/>
          <w:lang w:val="en-US"/>
        </w:rPr>
        <w:t>tequilana</w:t>
      </w:r>
      <w:proofErr w:type="spellEnd"/>
      <w:r w:rsidRPr="007F06A0">
        <w:rPr>
          <w:rFonts w:ascii="Arial" w:hAnsi="Arial" w:cs="Arial"/>
          <w:sz w:val="24"/>
          <w:szCs w:val="24"/>
          <w:lang w:val="en-US"/>
        </w:rPr>
        <w:t xml:space="preserve"> Weber to tequila: The effect of pH, temperature and hydraulic retention time on the production of hydrogen and methane. </w:t>
      </w:r>
      <w:proofErr w:type="spellStart"/>
      <w:r w:rsidRPr="007F06A0">
        <w:rPr>
          <w:rFonts w:ascii="Arial" w:hAnsi="Arial" w:cs="Arial"/>
          <w:i/>
          <w:sz w:val="24"/>
          <w:szCs w:val="24"/>
        </w:rPr>
        <w:t>Biomass</w:t>
      </w:r>
      <w:proofErr w:type="spellEnd"/>
      <w:r w:rsidRPr="007F06A0">
        <w:rPr>
          <w:rFonts w:ascii="Arial" w:hAnsi="Arial" w:cs="Arial"/>
          <w:i/>
          <w:sz w:val="24"/>
          <w:szCs w:val="24"/>
        </w:rPr>
        <w:t xml:space="preserve"> and </w:t>
      </w:r>
      <w:proofErr w:type="spellStart"/>
      <w:r w:rsidRPr="007F06A0">
        <w:rPr>
          <w:rFonts w:ascii="Arial" w:hAnsi="Arial" w:cs="Arial"/>
          <w:i/>
          <w:sz w:val="24"/>
          <w:szCs w:val="24"/>
        </w:rPr>
        <w:t>bioenergy</w:t>
      </w:r>
      <w:proofErr w:type="spellEnd"/>
      <w:r w:rsidRPr="007F06A0">
        <w:rPr>
          <w:rFonts w:ascii="Arial" w:hAnsi="Arial" w:cs="Arial"/>
          <w:sz w:val="24"/>
          <w:szCs w:val="24"/>
        </w:rPr>
        <w:t xml:space="preserve">, </w:t>
      </w:r>
      <w:r w:rsidRPr="007F06A0">
        <w:rPr>
          <w:rFonts w:ascii="Arial" w:hAnsi="Arial" w:cs="Arial"/>
          <w:i/>
          <w:sz w:val="24"/>
          <w:szCs w:val="24"/>
        </w:rPr>
        <w:t>33</w:t>
      </w:r>
      <w:r w:rsidRPr="007F06A0">
        <w:rPr>
          <w:rFonts w:ascii="Arial" w:hAnsi="Arial" w:cs="Arial"/>
          <w:sz w:val="24"/>
          <w:szCs w:val="24"/>
        </w:rPr>
        <w:t xml:space="preserve">, 4–20.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r w:rsidRPr="007F06A0">
        <w:rPr>
          <w:rFonts w:ascii="Arial" w:hAnsi="Arial" w:cs="Arial"/>
          <w:sz w:val="24"/>
          <w:szCs w:val="24"/>
        </w:rPr>
        <w:t xml:space="preserve">Fernandez, J.M., Plaza, C., Garcia-Gil, J.C., &amp; Polo, A. (2009). </w:t>
      </w:r>
      <w:r w:rsidRPr="007F06A0">
        <w:rPr>
          <w:rFonts w:ascii="Arial" w:hAnsi="Arial" w:cs="Arial"/>
          <w:sz w:val="24"/>
          <w:szCs w:val="24"/>
          <w:lang w:val="en-US"/>
        </w:rPr>
        <w:t xml:space="preserve">Biochemical properties and </w:t>
      </w:r>
      <w:proofErr w:type="spellStart"/>
      <w:r w:rsidRPr="007F06A0">
        <w:rPr>
          <w:rFonts w:ascii="Arial" w:hAnsi="Arial" w:cs="Arial"/>
          <w:sz w:val="24"/>
          <w:szCs w:val="24"/>
          <w:lang w:val="en-US"/>
        </w:rPr>
        <w:t>berley</w:t>
      </w:r>
      <w:proofErr w:type="spellEnd"/>
      <w:r w:rsidRPr="007F06A0">
        <w:rPr>
          <w:rFonts w:ascii="Arial" w:hAnsi="Arial" w:cs="Arial"/>
          <w:sz w:val="24"/>
          <w:szCs w:val="24"/>
          <w:lang w:val="en-US"/>
        </w:rPr>
        <w:t xml:space="preserve"> yield in a semi arid </w:t>
      </w:r>
      <w:proofErr w:type="spellStart"/>
      <w:r w:rsidRPr="007F06A0">
        <w:rPr>
          <w:rFonts w:ascii="Arial" w:hAnsi="Arial" w:cs="Arial"/>
          <w:sz w:val="24"/>
          <w:szCs w:val="24"/>
          <w:lang w:val="en-US"/>
        </w:rPr>
        <w:t>mediterranean</w:t>
      </w:r>
      <w:proofErr w:type="spellEnd"/>
      <w:r w:rsidRPr="007F06A0">
        <w:rPr>
          <w:rFonts w:ascii="Arial" w:hAnsi="Arial" w:cs="Arial"/>
          <w:sz w:val="24"/>
          <w:szCs w:val="24"/>
          <w:lang w:val="en-US"/>
        </w:rPr>
        <w:t xml:space="preserve"> soil amended with two kinds of sewage sludge. </w:t>
      </w:r>
      <w:r w:rsidRPr="007F06A0">
        <w:rPr>
          <w:rFonts w:ascii="Arial" w:hAnsi="Arial" w:cs="Arial"/>
          <w:i/>
          <w:sz w:val="24"/>
          <w:szCs w:val="24"/>
          <w:lang w:val="en-US"/>
        </w:rPr>
        <w:t>Applied soil ecology</w:t>
      </w:r>
      <w:r w:rsidRPr="007F06A0">
        <w:rPr>
          <w:rFonts w:ascii="Arial" w:hAnsi="Arial" w:cs="Arial"/>
          <w:sz w:val="24"/>
          <w:szCs w:val="24"/>
          <w:lang w:val="en-US"/>
        </w:rPr>
        <w:t xml:space="preserve">, </w:t>
      </w:r>
      <w:r w:rsidRPr="007F06A0">
        <w:rPr>
          <w:rFonts w:ascii="Arial" w:hAnsi="Arial" w:cs="Arial"/>
          <w:i/>
          <w:sz w:val="24"/>
          <w:szCs w:val="24"/>
          <w:lang w:val="en-US"/>
        </w:rPr>
        <w:t>42</w:t>
      </w:r>
      <w:r w:rsidRPr="007F06A0">
        <w:rPr>
          <w:rFonts w:ascii="Arial" w:hAnsi="Arial" w:cs="Arial"/>
          <w:sz w:val="24"/>
          <w:szCs w:val="24"/>
          <w:lang w:val="en-US"/>
        </w:rPr>
        <w:t xml:space="preserve">, 18-24.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Huang, G., Wang, X., &amp; Han L. (2011).</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Rapid estimation of nutrients in chicken manure during plant-field composting using physicochemical properties.</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102</w:t>
      </w:r>
      <w:r w:rsidRPr="007F06A0">
        <w:rPr>
          <w:rFonts w:ascii="Arial" w:hAnsi="Arial" w:cs="Arial"/>
          <w:sz w:val="24"/>
          <w:szCs w:val="24"/>
          <w:lang w:val="en-US"/>
        </w:rPr>
        <w:t>, 1455–1461.</w:t>
      </w:r>
    </w:p>
    <w:p w:rsidR="00564EE6" w:rsidRPr="008C0C6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r w:rsidRPr="000F1E5E">
        <w:rPr>
          <w:rFonts w:ascii="Arial" w:hAnsi="Arial" w:cs="Arial"/>
          <w:sz w:val="24"/>
          <w:szCs w:val="24"/>
        </w:rPr>
        <w:t>Galí</w:t>
      </w:r>
      <w:proofErr w:type="spellEnd"/>
      <w:r w:rsidRPr="000F1E5E">
        <w:rPr>
          <w:rFonts w:ascii="Arial" w:hAnsi="Arial" w:cs="Arial"/>
          <w:sz w:val="24"/>
          <w:szCs w:val="24"/>
        </w:rPr>
        <w:t xml:space="preserve">, A., </w:t>
      </w:r>
      <w:proofErr w:type="spellStart"/>
      <w:r w:rsidRPr="000F1E5E">
        <w:rPr>
          <w:rFonts w:ascii="Arial" w:hAnsi="Arial" w:cs="Arial"/>
          <w:sz w:val="24"/>
          <w:szCs w:val="24"/>
        </w:rPr>
        <w:t>Benabdallah</w:t>
      </w:r>
      <w:proofErr w:type="spellEnd"/>
      <w:r w:rsidRPr="000F1E5E">
        <w:rPr>
          <w:rFonts w:ascii="Arial" w:hAnsi="Arial" w:cs="Arial"/>
          <w:sz w:val="24"/>
          <w:szCs w:val="24"/>
        </w:rPr>
        <w:t xml:space="preserve">, T., </w:t>
      </w:r>
      <w:proofErr w:type="spellStart"/>
      <w:r w:rsidRPr="000F1E5E">
        <w:rPr>
          <w:rFonts w:ascii="Arial" w:hAnsi="Arial" w:cs="Arial"/>
          <w:sz w:val="24"/>
          <w:szCs w:val="24"/>
        </w:rPr>
        <w:t>Astals</w:t>
      </w:r>
      <w:proofErr w:type="spellEnd"/>
      <w:r w:rsidRPr="000F1E5E">
        <w:rPr>
          <w:rFonts w:ascii="Arial" w:hAnsi="Arial" w:cs="Arial"/>
          <w:sz w:val="24"/>
          <w:szCs w:val="24"/>
        </w:rPr>
        <w:t xml:space="preserve">, S., &amp; Mata-Alvarez, J. (2009). </w:t>
      </w:r>
      <w:proofErr w:type="gramStart"/>
      <w:r w:rsidRPr="007F06A0">
        <w:rPr>
          <w:rFonts w:ascii="Arial" w:hAnsi="Arial" w:cs="Arial"/>
          <w:sz w:val="24"/>
          <w:szCs w:val="24"/>
          <w:lang w:val="en-US"/>
        </w:rPr>
        <w:t>Modified version of ADM1 model for agro-waste application.</w:t>
      </w:r>
      <w:proofErr w:type="gramEnd"/>
      <w:r w:rsidRPr="007F06A0">
        <w:rPr>
          <w:rFonts w:ascii="Arial" w:hAnsi="Arial" w:cs="Arial"/>
          <w:sz w:val="24"/>
          <w:szCs w:val="24"/>
          <w:lang w:val="en-US"/>
        </w:rPr>
        <w:t xml:space="preserve"> </w:t>
      </w:r>
      <w:proofErr w:type="spellStart"/>
      <w:r w:rsidRPr="008C0C6C">
        <w:rPr>
          <w:rFonts w:ascii="Arial" w:hAnsi="Arial" w:cs="Arial"/>
          <w:i/>
          <w:sz w:val="24"/>
          <w:szCs w:val="24"/>
          <w:lang w:val="en-US"/>
        </w:rPr>
        <w:t>Bioresource</w:t>
      </w:r>
      <w:proofErr w:type="spellEnd"/>
      <w:r w:rsidRPr="008C0C6C">
        <w:rPr>
          <w:rFonts w:ascii="Arial" w:hAnsi="Arial" w:cs="Arial"/>
          <w:i/>
          <w:sz w:val="24"/>
          <w:szCs w:val="24"/>
          <w:lang w:val="en-US"/>
        </w:rPr>
        <w:t xml:space="preserve"> Technology</w:t>
      </w:r>
      <w:r w:rsidRPr="008C0C6C">
        <w:rPr>
          <w:rFonts w:ascii="Arial" w:hAnsi="Arial" w:cs="Arial"/>
          <w:sz w:val="24"/>
          <w:szCs w:val="24"/>
          <w:lang w:val="en-US"/>
        </w:rPr>
        <w:t xml:space="preserve">, </w:t>
      </w:r>
      <w:r w:rsidRPr="008C0C6C">
        <w:rPr>
          <w:rFonts w:ascii="Arial" w:hAnsi="Arial" w:cs="Arial"/>
          <w:i/>
          <w:sz w:val="24"/>
          <w:szCs w:val="24"/>
          <w:lang w:val="en-US"/>
        </w:rPr>
        <w:t>100</w:t>
      </w:r>
      <w:r w:rsidRPr="008C0C6C">
        <w:rPr>
          <w:rFonts w:ascii="Arial" w:hAnsi="Arial" w:cs="Arial"/>
          <w:sz w:val="24"/>
          <w:szCs w:val="24"/>
          <w:lang w:val="en-US"/>
        </w:rPr>
        <w:t xml:space="preserve">, 2783–2790. </w:t>
      </w:r>
    </w:p>
    <w:p w:rsidR="0026767C" w:rsidRPr="00AB3A8C" w:rsidRDefault="007F06A0" w:rsidP="0026767C">
      <w:pPr>
        <w:autoSpaceDE w:val="0"/>
        <w:autoSpaceDN w:val="0"/>
        <w:adjustRightInd w:val="0"/>
        <w:spacing w:after="0" w:line="360" w:lineRule="auto"/>
        <w:ind w:left="708" w:hanging="708"/>
        <w:jc w:val="both"/>
        <w:rPr>
          <w:rFonts w:ascii="Arial" w:hAnsi="Arial" w:cs="Arial"/>
          <w:sz w:val="24"/>
          <w:szCs w:val="24"/>
          <w:lang w:val="en-US"/>
        </w:rPr>
      </w:pPr>
      <w:r w:rsidRPr="007F06A0">
        <w:rPr>
          <w:rFonts w:ascii="Arial" w:hAnsi="Arial" w:cs="Arial"/>
          <w:sz w:val="24"/>
          <w:szCs w:val="24"/>
        </w:rPr>
        <w:lastRenderedPageBreak/>
        <w:t xml:space="preserve">Jáuregui-Jáuregui, J.A., Méndez-Acosta, H.O., González-Álvarez, V., </w:t>
      </w:r>
      <w:proofErr w:type="spellStart"/>
      <w:r w:rsidRPr="007F06A0">
        <w:rPr>
          <w:rFonts w:ascii="Arial" w:hAnsi="Arial" w:cs="Arial"/>
          <w:sz w:val="24"/>
          <w:szCs w:val="24"/>
        </w:rPr>
        <w:t>Snell</w:t>
      </w:r>
      <w:proofErr w:type="spellEnd"/>
      <w:r w:rsidRPr="007F06A0">
        <w:rPr>
          <w:rFonts w:ascii="Arial" w:hAnsi="Arial" w:cs="Arial"/>
          <w:sz w:val="24"/>
          <w:szCs w:val="24"/>
        </w:rPr>
        <w:t xml:space="preserve">-Castro, R., Alcaraz-González, V., &amp; </w:t>
      </w:r>
      <w:proofErr w:type="spellStart"/>
      <w:r w:rsidRPr="007F06A0">
        <w:rPr>
          <w:rFonts w:ascii="Arial" w:hAnsi="Arial" w:cs="Arial"/>
          <w:sz w:val="24"/>
          <w:szCs w:val="24"/>
        </w:rPr>
        <w:t>Godon</w:t>
      </w:r>
      <w:proofErr w:type="spellEnd"/>
      <w:r w:rsidRPr="007F06A0">
        <w:rPr>
          <w:rFonts w:ascii="Arial" w:hAnsi="Arial" w:cs="Arial"/>
          <w:sz w:val="24"/>
          <w:szCs w:val="24"/>
        </w:rPr>
        <w:t xml:space="preserve">, J.J. (2014). </w:t>
      </w:r>
      <w:r w:rsidRPr="007F06A0">
        <w:rPr>
          <w:rFonts w:ascii="Arial" w:hAnsi="Arial" w:cs="Arial"/>
          <w:sz w:val="24"/>
          <w:szCs w:val="24"/>
          <w:lang w:val="en-US"/>
        </w:rPr>
        <w:t xml:space="preserve">Anaerobic treatment of tequila </w:t>
      </w:r>
      <w:proofErr w:type="spellStart"/>
      <w:r w:rsidRPr="007F06A0">
        <w:rPr>
          <w:rFonts w:ascii="Arial" w:hAnsi="Arial" w:cs="Arial"/>
          <w:sz w:val="24"/>
          <w:szCs w:val="24"/>
          <w:lang w:val="en-US"/>
        </w:rPr>
        <w:t>vinasses</w:t>
      </w:r>
      <w:proofErr w:type="spellEnd"/>
      <w:r w:rsidRPr="007F06A0">
        <w:rPr>
          <w:rFonts w:ascii="Arial" w:hAnsi="Arial" w:cs="Arial"/>
          <w:sz w:val="24"/>
          <w:szCs w:val="24"/>
          <w:lang w:val="en-US"/>
        </w:rPr>
        <w:t xml:space="preserve"> under seasonal operating conditions: Start-up, normal operation and restart-up after a long stop and starvation period.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168</w:t>
      </w:r>
      <w:r w:rsidRPr="007F06A0">
        <w:rPr>
          <w:rFonts w:ascii="Arial" w:hAnsi="Arial" w:cs="Arial"/>
          <w:sz w:val="24"/>
          <w:szCs w:val="24"/>
          <w:lang w:val="en-US"/>
        </w:rPr>
        <w:t xml:space="preserve">, 33–40. </w:t>
      </w:r>
    </w:p>
    <w:p w:rsidR="0026767C" w:rsidRPr="00AB3A8C" w:rsidRDefault="007F06A0" w:rsidP="0026767C">
      <w:pPr>
        <w:autoSpaceDE w:val="0"/>
        <w:autoSpaceDN w:val="0"/>
        <w:adjustRightInd w:val="0"/>
        <w:spacing w:after="0" w:line="360" w:lineRule="auto"/>
        <w:ind w:left="708" w:hanging="708"/>
        <w:jc w:val="both"/>
        <w:rPr>
          <w:rFonts w:ascii="Arial" w:hAnsi="Arial" w:cs="Arial"/>
          <w:sz w:val="24"/>
          <w:szCs w:val="24"/>
          <w:lang w:val="en-US"/>
        </w:rPr>
      </w:pPr>
      <w:proofErr w:type="gramStart"/>
      <w:r w:rsidRPr="00480096">
        <w:rPr>
          <w:rFonts w:ascii="Arial" w:hAnsi="Arial" w:cs="Arial"/>
          <w:sz w:val="24"/>
          <w:szCs w:val="24"/>
          <w:lang w:val="en-US"/>
        </w:rPr>
        <w:t xml:space="preserve">Jimenez, A.M., </w:t>
      </w:r>
      <w:proofErr w:type="spellStart"/>
      <w:r w:rsidRPr="00480096">
        <w:rPr>
          <w:rFonts w:ascii="Arial" w:hAnsi="Arial" w:cs="Arial"/>
          <w:sz w:val="24"/>
          <w:szCs w:val="24"/>
          <w:lang w:val="en-US"/>
        </w:rPr>
        <w:t>Borjaba</w:t>
      </w:r>
      <w:proofErr w:type="spellEnd"/>
      <w:r w:rsidRPr="00480096">
        <w:rPr>
          <w:rFonts w:ascii="Arial" w:hAnsi="Arial" w:cs="Arial"/>
          <w:sz w:val="24"/>
          <w:szCs w:val="24"/>
          <w:lang w:val="en-US"/>
        </w:rPr>
        <w:t xml:space="preserve">, R., Martín, A., &amp; </w:t>
      </w:r>
      <w:proofErr w:type="spellStart"/>
      <w:r w:rsidRPr="00480096">
        <w:rPr>
          <w:rFonts w:ascii="Arial" w:hAnsi="Arial" w:cs="Arial"/>
          <w:sz w:val="24"/>
          <w:szCs w:val="24"/>
          <w:lang w:val="en-US"/>
        </w:rPr>
        <w:t>Raposo</w:t>
      </w:r>
      <w:proofErr w:type="spellEnd"/>
      <w:r w:rsidRPr="00480096">
        <w:rPr>
          <w:rFonts w:ascii="Arial" w:hAnsi="Arial" w:cs="Arial"/>
          <w:sz w:val="24"/>
          <w:szCs w:val="24"/>
          <w:lang w:val="en-US"/>
        </w:rPr>
        <w:t>, F. (2006).</w:t>
      </w:r>
      <w:proofErr w:type="gramEnd"/>
      <w:r w:rsidRPr="00480096">
        <w:rPr>
          <w:rFonts w:ascii="Arial" w:hAnsi="Arial" w:cs="Arial"/>
          <w:sz w:val="24"/>
          <w:szCs w:val="24"/>
          <w:lang w:val="en-US"/>
        </w:rPr>
        <w:t xml:space="preserve"> </w:t>
      </w:r>
      <w:r w:rsidRPr="007F06A0">
        <w:rPr>
          <w:rFonts w:ascii="Arial" w:hAnsi="Arial" w:cs="Arial"/>
          <w:sz w:val="24"/>
          <w:szCs w:val="24"/>
          <w:lang w:val="en-US"/>
        </w:rPr>
        <w:t xml:space="preserve">Kinetic analysis of the anaerobic digestion of untreated </w:t>
      </w:r>
      <w:proofErr w:type="spellStart"/>
      <w:r w:rsidRPr="007F06A0">
        <w:rPr>
          <w:rFonts w:ascii="Arial" w:hAnsi="Arial" w:cs="Arial"/>
          <w:sz w:val="24"/>
          <w:szCs w:val="24"/>
          <w:lang w:val="en-US"/>
        </w:rPr>
        <w:t>vinasses</w:t>
      </w:r>
      <w:proofErr w:type="spellEnd"/>
      <w:r w:rsidRPr="007F06A0">
        <w:rPr>
          <w:rFonts w:ascii="Arial" w:hAnsi="Arial" w:cs="Arial"/>
          <w:sz w:val="24"/>
          <w:szCs w:val="24"/>
          <w:lang w:val="en-US"/>
        </w:rPr>
        <w:t xml:space="preserve"> and </w:t>
      </w:r>
      <w:proofErr w:type="spellStart"/>
      <w:r w:rsidRPr="007F06A0">
        <w:rPr>
          <w:rFonts w:ascii="Arial" w:hAnsi="Arial" w:cs="Arial"/>
          <w:sz w:val="24"/>
          <w:szCs w:val="24"/>
          <w:lang w:val="en-US"/>
        </w:rPr>
        <w:t>vinasses</w:t>
      </w:r>
      <w:proofErr w:type="spellEnd"/>
      <w:r w:rsidRPr="007F06A0">
        <w:rPr>
          <w:rFonts w:ascii="Arial" w:hAnsi="Arial" w:cs="Arial"/>
          <w:sz w:val="24"/>
          <w:szCs w:val="24"/>
          <w:lang w:val="en-US"/>
        </w:rPr>
        <w:t xml:space="preserve"> previously treated with </w:t>
      </w:r>
      <w:proofErr w:type="spellStart"/>
      <w:r w:rsidRPr="008D220F">
        <w:rPr>
          <w:rFonts w:ascii="Arial" w:hAnsi="Arial" w:cs="Arial"/>
          <w:i/>
          <w:sz w:val="24"/>
          <w:szCs w:val="24"/>
          <w:lang w:val="en-US"/>
        </w:rPr>
        <w:t>Penicillium</w:t>
      </w:r>
      <w:proofErr w:type="spellEnd"/>
      <w:r w:rsidRPr="008D220F">
        <w:rPr>
          <w:rFonts w:ascii="Arial" w:hAnsi="Arial" w:cs="Arial"/>
          <w:i/>
          <w:sz w:val="24"/>
          <w:szCs w:val="24"/>
          <w:lang w:val="en-US"/>
        </w:rPr>
        <w:t xml:space="preserve"> </w:t>
      </w:r>
      <w:proofErr w:type="spellStart"/>
      <w:r w:rsidRPr="008D220F">
        <w:rPr>
          <w:rFonts w:ascii="Arial" w:hAnsi="Arial" w:cs="Arial"/>
          <w:i/>
          <w:sz w:val="24"/>
          <w:szCs w:val="24"/>
          <w:lang w:val="en-US"/>
        </w:rPr>
        <w:t>decumbens</w:t>
      </w:r>
      <w:proofErr w:type="spellEnd"/>
      <w:r w:rsidRPr="007F06A0">
        <w:rPr>
          <w:rFonts w:ascii="Arial" w:hAnsi="Arial" w:cs="Arial"/>
          <w:sz w:val="24"/>
          <w:szCs w:val="24"/>
          <w:lang w:val="en-US"/>
        </w:rPr>
        <w:t xml:space="preserve">. </w:t>
      </w:r>
      <w:r w:rsidRPr="007F06A0">
        <w:rPr>
          <w:rFonts w:ascii="Arial" w:hAnsi="Arial" w:cs="Arial"/>
          <w:i/>
          <w:sz w:val="24"/>
          <w:szCs w:val="24"/>
          <w:lang w:val="en-US"/>
        </w:rPr>
        <w:t>Journal of Environmental Management</w:t>
      </w:r>
      <w:r w:rsidRPr="007F06A0">
        <w:rPr>
          <w:rFonts w:ascii="Arial" w:hAnsi="Arial" w:cs="Arial"/>
          <w:sz w:val="24"/>
          <w:szCs w:val="24"/>
          <w:lang w:val="en-US"/>
        </w:rPr>
        <w:t xml:space="preserve">, </w:t>
      </w:r>
      <w:r w:rsidRPr="007F06A0">
        <w:rPr>
          <w:rFonts w:ascii="Arial" w:hAnsi="Arial" w:cs="Arial"/>
          <w:i/>
          <w:sz w:val="24"/>
          <w:szCs w:val="24"/>
          <w:lang w:val="en-US"/>
        </w:rPr>
        <w:t>80</w:t>
      </w:r>
      <w:r w:rsidRPr="007F06A0">
        <w:rPr>
          <w:rFonts w:ascii="Arial" w:hAnsi="Arial" w:cs="Arial"/>
          <w:sz w:val="24"/>
          <w:szCs w:val="24"/>
          <w:lang w:val="en-US"/>
        </w:rPr>
        <w:t xml:space="preserve">, 303–310.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Kumar, S. (2008).</w:t>
      </w:r>
      <w:proofErr w:type="gramEnd"/>
      <w:r w:rsidRPr="007F06A0">
        <w:rPr>
          <w:rFonts w:ascii="Arial" w:hAnsi="Arial" w:cs="Arial"/>
          <w:sz w:val="24"/>
          <w:szCs w:val="24"/>
          <w:lang w:val="en-US"/>
        </w:rPr>
        <w:t xml:space="preserve"> Anaerobic biotechnology for </w:t>
      </w:r>
      <w:proofErr w:type="spellStart"/>
      <w:r w:rsidRPr="007F06A0">
        <w:rPr>
          <w:rFonts w:ascii="Arial" w:hAnsi="Arial" w:cs="Arial"/>
          <w:sz w:val="24"/>
          <w:szCs w:val="24"/>
          <w:lang w:val="en-US"/>
        </w:rPr>
        <w:t>bioenergy</w:t>
      </w:r>
      <w:proofErr w:type="spellEnd"/>
      <w:r w:rsidRPr="007F06A0">
        <w:rPr>
          <w:rFonts w:ascii="Arial" w:hAnsi="Arial" w:cs="Arial"/>
          <w:sz w:val="24"/>
          <w:szCs w:val="24"/>
          <w:lang w:val="en-US"/>
        </w:rPr>
        <w:t xml:space="preserve"> production: Principles and applications. </w:t>
      </w:r>
      <w:proofErr w:type="gramStart"/>
      <w:r w:rsidRPr="007F06A0">
        <w:rPr>
          <w:rFonts w:ascii="Arial" w:hAnsi="Arial" w:cs="Arial"/>
          <w:i/>
          <w:sz w:val="24"/>
          <w:szCs w:val="24"/>
          <w:lang w:val="en-US"/>
        </w:rPr>
        <w:t>Blackwell Publishing</w:t>
      </w:r>
      <w:r w:rsidRPr="007F06A0">
        <w:rPr>
          <w:rFonts w:ascii="Arial" w:hAnsi="Arial" w:cs="Arial"/>
          <w:sz w:val="24"/>
          <w:szCs w:val="24"/>
          <w:lang w:val="en-US"/>
        </w:rPr>
        <w:t>, USA 2008, 299-63.</w:t>
      </w:r>
      <w:proofErr w:type="gramEnd"/>
      <w:r w:rsidRPr="007F06A0">
        <w:rPr>
          <w:rFonts w:ascii="Arial" w:hAnsi="Arial" w:cs="Arial"/>
          <w:sz w:val="24"/>
          <w:szCs w:val="24"/>
          <w:lang w:val="en-US"/>
        </w:rPr>
        <w:t xml:space="preserve">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r w:rsidRPr="007F06A0">
        <w:rPr>
          <w:rFonts w:ascii="Arial" w:hAnsi="Arial" w:cs="Arial"/>
          <w:sz w:val="24"/>
          <w:szCs w:val="24"/>
          <w:lang w:val="en-US"/>
        </w:rPr>
        <w:t>Labatut</w:t>
      </w:r>
      <w:proofErr w:type="spellEnd"/>
      <w:r w:rsidRPr="007F06A0">
        <w:rPr>
          <w:rFonts w:ascii="Arial" w:hAnsi="Arial" w:cs="Arial"/>
          <w:sz w:val="24"/>
          <w:szCs w:val="24"/>
          <w:lang w:val="en-US"/>
        </w:rPr>
        <w:t xml:space="preserve">, R.A, </w:t>
      </w:r>
      <w:proofErr w:type="spellStart"/>
      <w:r w:rsidRPr="007F06A0">
        <w:rPr>
          <w:rFonts w:ascii="Arial" w:hAnsi="Arial" w:cs="Arial"/>
          <w:sz w:val="24"/>
          <w:szCs w:val="24"/>
          <w:lang w:val="en-US"/>
        </w:rPr>
        <w:t>Angenent</w:t>
      </w:r>
      <w:proofErr w:type="spellEnd"/>
      <w:r w:rsidRPr="007F06A0">
        <w:rPr>
          <w:rFonts w:ascii="Arial" w:hAnsi="Arial" w:cs="Arial"/>
          <w:sz w:val="24"/>
          <w:szCs w:val="24"/>
          <w:lang w:val="en-US"/>
        </w:rPr>
        <w:t xml:space="preserve">, L., &amp; Scott, N.R., (2011). </w:t>
      </w:r>
      <w:proofErr w:type="gramStart"/>
      <w:r w:rsidRPr="007F06A0">
        <w:rPr>
          <w:rFonts w:ascii="Arial" w:hAnsi="Arial" w:cs="Arial"/>
          <w:sz w:val="24"/>
          <w:szCs w:val="24"/>
          <w:lang w:val="en-US"/>
        </w:rPr>
        <w:t>Biochemical methane potential and biodegradability of complex organic substrates.</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 102</w:t>
      </w:r>
      <w:r w:rsidRPr="007F06A0">
        <w:rPr>
          <w:rFonts w:ascii="Arial" w:hAnsi="Arial" w:cs="Arial"/>
          <w:sz w:val="24"/>
          <w:szCs w:val="24"/>
          <w:lang w:val="en-US"/>
        </w:rPr>
        <w:t xml:space="preserve">, 2255–2264. </w:t>
      </w:r>
    </w:p>
    <w:p w:rsidR="00223564"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 xml:space="preserve">Li, Y., Zhang, R., He Y., Zhang, C., Liu, X., Chen, C., &amp; </w:t>
      </w:r>
      <w:proofErr w:type="spellStart"/>
      <w:r w:rsidRPr="007F06A0">
        <w:rPr>
          <w:rFonts w:ascii="Arial" w:hAnsi="Arial" w:cs="Arial"/>
          <w:sz w:val="24"/>
          <w:szCs w:val="24"/>
          <w:lang w:val="en-US"/>
        </w:rPr>
        <w:t>Lui</w:t>
      </w:r>
      <w:proofErr w:type="spellEnd"/>
      <w:r w:rsidRPr="007F06A0">
        <w:rPr>
          <w:rFonts w:ascii="Arial" w:hAnsi="Arial" w:cs="Arial"/>
          <w:sz w:val="24"/>
          <w:szCs w:val="24"/>
          <w:lang w:val="en-US"/>
        </w:rPr>
        <w:t>, G. (2014).</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 xml:space="preserve">Anaerobic co-digestion of chicken manure and corn </w:t>
      </w:r>
      <w:proofErr w:type="spellStart"/>
      <w:r w:rsidRPr="007F06A0">
        <w:rPr>
          <w:rFonts w:ascii="Arial" w:hAnsi="Arial" w:cs="Arial"/>
          <w:sz w:val="24"/>
          <w:szCs w:val="24"/>
          <w:lang w:val="en-US"/>
        </w:rPr>
        <w:t>stover</w:t>
      </w:r>
      <w:proofErr w:type="spellEnd"/>
      <w:r w:rsidRPr="007F06A0">
        <w:rPr>
          <w:rFonts w:ascii="Arial" w:hAnsi="Arial" w:cs="Arial"/>
          <w:sz w:val="24"/>
          <w:szCs w:val="24"/>
          <w:lang w:val="en-US"/>
        </w:rPr>
        <w:t xml:space="preserve"> in batch and continuously stirred tank reactor (CSTR).</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156</w:t>
      </w:r>
      <w:r w:rsidRPr="007F06A0">
        <w:rPr>
          <w:rFonts w:ascii="Arial" w:hAnsi="Arial" w:cs="Arial"/>
          <w:sz w:val="24"/>
          <w:szCs w:val="24"/>
          <w:lang w:val="en-US"/>
        </w:rPr>
        <w:t xml:space="preserve">, 342–347.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proofErr w:type="gramStart"/>
      <w:r w:rsidRPr="007F06A0">
        <w:rPr>
          <w:rFonts w:ascii="Arial" w:hAnsi="Arial" w:cs="Arial"/>
          <w:sz w:val="24"/>
          <w:szCs w:val="24"/>
          <w:lang w:val="en-US"/>
        </w:rPr>
        <w:t>Li, Y., Zhang, R., Chen, C., Liu, G., He, Y., &amp; Liu, X. (2013).</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 xml:space="preserve">Biogas production from co-digestion of corn </w:t>
      </w:r>
      <w:proofErr w:type="spellStart"/>
      <w:r w:rsidRPr="007F06A0">
        <w:rPr>
          <w:rFonts w:ascii="Arial" w:hAnsi="Arial" w:cs="Arial"/>
          <w:sz w:val="24"/>
          <w:szCs w:val="24"/>
          <w:lang w:val="en-US"/>
        </w:rPr>
        <w:t>stover</w:t>
      </w:r>
      <w:proofErr w:type="spellEnd"/>
      <w:r w:rsidRPr="007F06A0">
        <w:rPr>
          <w:rFonts w:ascii="Arial" w:hAnsi="Arial" w:cs="Arial"/>
          <w:sz w:val="24"/>
          <w:szCs w:val="24"/>
          <w:lang w:val="en-US"/>
        </w:rPr>
        <w:t xml:space="preserve"> and chicken manure under anaerobic wet, hemi-solid, and solid state conditions.</w:t>
      </w:r>
      <w:proofErr w:type="gramEnd"/>
      <w:r w:rsidRPr="007F06A0">
        <w:rPr>
          <w:rFonts w:ascii="Arial" w:hAnsi="Arial" w:cs="Arial"/>
          <w:i/>
          <w:sz w:val="24"/>
          <w:szCs w:val="24"/>
          <w:lang w:val="en-US"/>
        </w:rPr>
        <w:t xml:space="preserve"> </w:t>
      </w:r>
      <w:proofErr w:type="spellStart"/>
      <w:r w:rsidRPr="007F06A0">
        <w:rPr>
          <w:rFonts w:ascii="Arial" w:hAnsi="Arial" w:cs="Arial"/>
          <w:i/>
          <w:sz w:val="24"/>
          <w:szCs w:val="24"/>
        </w:rPr>
        <w:t>Bioresource</w:t>
      </w:r>
      <w:proofErr w:type="spellEnd"/>
      <w:r w:rsidRPr="007F06A0">
        <w:rPr>
          <w:rFonts w:ascii="Arial" w:hAnsi="Arial" w:cs="Arial"/>
          <w:i/>
          <w:sz w:val="24"/>
          <w:szCs w:val="24"/>
        </w:rPr>
        <w:t xml:space="preserve"> </w:t>
      </w:r>
      <w:proofErr w:type="spellStart"/>
      <w:r w:rsidRPr="007F06A0">
        <w:rPr>
          <w:rFonts w:ascii="Arial" w:hAnsi="Arial" w:cs="Arial"/>
          <w:i/>
          <w:sz w:val="24"/>
          <w:szCs w:val="24"/>
        </w:rPr>
        <w:t>Technology</w:t>
      </w:r>
      <w:proofErr w:type="spellEnd"/>
      <w:r w:rsidRPr="007F06A0">
        <w:rPr>
          <w:rFonts w:ascii="Arial" w:hAnsi="Arial" w:cs="Arial"/>
          <w:sz w:val="24"/>
          <w:szCs w:val="24"/>
        </w:rPr>
        <w:t xml:space="preserve">, </w:t>
      </w:r>
      <w:r w:rsidRPr="007F06A0">
        <w:rPr>
          <w:rFonts w:ascii="Arial" w:hAnsi="Arial" w:cs="Arial"/>
          <w:i/>
          <w:sz w:val="24"/>
          <w:szCs w:val="24"/>
        </w:rPr>
        <w:t>149</w:t>
      </w:r>
      <w:r w:rsidRPr="007F06A0">
        <w:rPr>
          <w:rFonts w:ascii="Arial" w:hAnsi="Arial" w:cs="Arial"/>
          <w:sz w:val="24"/>
          <w:szCs w:val="24"/>
        </w:rPr>
        <w:t>, 406–412.</w:t>
      </w:r>
    </w:p>
    <w:p w:rsidR="007F06A0" w:rsidRPr="00AB3A8C" w:rsidRDefault="007F06A0">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 xml:space="preserve">Marin-Batista, J., Castro, L., &amp; Escalante, H. (2015). Efecto de la carga orgánica de la gallinaza de jaula en el potencial de biometanización. </w:t>
      </w:r>
      <w:r w:rsidRPr="007F06A0">
        <w:rPr>
          <w:rFonts w:ascii="Arial" w:hAnsi="Arial" w:cs="Arial"/>
          <w:i/>
          <w:sz w:val="24"/>
          <w:szCs w:val="24"/>
        </w:rPr>
        <w:t>Revista Colombiana de Biotecnología</w:t>
      </w:r>
      <w:r w:rsidRPr="007F06A0">
        <w:rPr>
          <w:rFonts w:ascii="Arial" w:hAnsi="Arial" w:cs="Arial"/>
          <w:sz w:val="24"/>
          <w:szCs w:val="24"/>
        </w:rPr>
        <w:t xml:space="preserve">, </w:t>
      </w:r>
      <w:r w:rsidRPr="007F06A0">
        <w:rPr>
          <w:rFonts w:ascii="Arial" w:hAnsi="Arial" w:cs="Arial"/>
          <w:i/>
          <w:sz w:val="24"/>
          <w:szCs w:val="24"/>
        </w:rPr>
        <w:t>17</w:t>
      </w:r>
      <w:r w:rsidRPr="007F06A0">
        <w:rPr>
          <w:rFonts w:ascii="Arial" w:hAnsi="Arial" w:cs="Arial"/>
          <w:sz w:val="24"/>
          <w:szCs w:val="24"/>
        </w:rPr>
        <w:t xml:space="preserve"> (1), 18-23.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r w:rsidRPr="007F06A0">
        <w:rPr>
          <w:rFonts w:ascii="Arial" w:hAnsi="Arial" w:cs="Arial"/>
          <w:sz w:val="24"/>
          <w:szCs w:val="24"/>
        </w:rPr>
        <w:t>Mata-Alvarez, J., Dosta, J., Romero-</w:t>
      </w:r>
      <w:proofErr w:type="spellStart"/>
      <w:r w:rsidRPr="007F06A0">
        <w:rPr>
          <w:rFonts w:ascii="Arial" w:hAnsi="Arial" w:cs="Arial"/>
          <w:sz w:val="24"/>
          <w:szCs w:val="24"/>
        </w:rPr>
        <w:t>Güiza</w:t>
      </w:r>
      <w:proofErr w:type="spellEnd"/>
      <w:r w:rsidRPr="007F06A0">
        <w:rPr>
          <w:rFonts w:ascii="Arial" w:hAnsi="Arial" w:cs="Arial"/>
          <w:sz w:val="24"/>
          <w:szCs w:val="24"/>
        </w:rPr>
        <w:t xml:space="preserve">, M.S., </w:t>
      </w:r>
      <w:proofErr w:type="spellStart"/>
      <w:r w:rsidRPr="007F06A0">
        <w:rPr>
          <w:rFonts w:ascii="Arial" w:hAnsi="Arial" w:cs="Arial"/>
          <w:sz w:val="24"/>
          <w:szCs w:val="24"/>
        </w:rPr>
        <w:t>Fonoll</w:t>
      </w:r>
      <w:proofErr w:type="spellEnd"/>
      <w:r w:rsidRPr="007F06A0">
        <w:rPr>
          <w:rFonts w:ascii="Arial" w:hAnsi="Arial" w:cs="Arial"/>
          <w:sz w:val="24"/>
          <w:szCs w:val="24"/>
        </w:rPr>
        <w:t xml:space="preserve">, X., Peces, M., &amp; </w:t>
      </w:r>
      <w:proofErr w:type="spellStart"/>
      <w:r w:rsidRPr="007F06A0">
        <w:rPr>
          <w:rFonts w:ascii="Arial" w:hAnsi="Arial" w:cs="Arial"/>
          <w:sz w:val="24"/>
          <w:szCs w:val="24"/>
        </w:rPr>
        <w:t>Astals</w:t>
      </w:r>
      <w:proofErr w:type="spellEnd"/>
      <w:r w:rsidRPr="007F06A0">
        <w:rPr>
          <w:rFonts w:ascii="Arial" w:hAnsi="Arial" w:cs="Arial"/>
          <w:sz w:val="24"/>
          <w:szCs w:val="24"/>
        </w:rPr>
        <w:t xml:space="preserve">, S. (2014). </w:t>
      </w:r>
      <w:proofErr w:type="gramStart"/>
      <w:r w:rsidRPr="007F06A0">
        <w:rPr>
          <w:rFonts w:ascii="Arial" w:hAnsi="Arial" w:cs="Arial"/>
          <w:sz w:val="24"/>
          <w:szCs w:val="24"/>
          <w:lang w:val="en-US"/>
        </w:rPr>
        <w:t>A critical review on anaerobic co-digestion achievements between 2010 and 2013.</w:t>
      </w:r>
      <w:proofErr w:type="gramEnd"/>
      <w:r w:rsidRPr="007F06A0">
        <w:rPr>
          <w:rFonts w:ascii="Arial" w:hAnsi="Arial" w:cs="Arial"/>
          <w:sz w:val="24"/>
          <w:szCs w:val="24"/>
          <w:lang w:val="en-US"/>
        </w:rPr>
        <w:t xml:space="preserve"> </w:t>
      </w:r>
      <w:r w:rsidRPr="007F06A0">
        <w:rPr>
          <w:rFonts w:ascii="Arial" w:hAnsi="Arial" w:cs="Arial"/>
          <w:i/>
          <w:sz w:val="24"/>
          <w:szCs w:val="24"/>
          <w:lang w:val="en-US"/>
        </w:rPr>
        <w:t>Renewable Sustainable Energy</w:t>
      </w:r>
      <w:r w:rsidRPr="007F06A0">
        <w:rPr>
          <w:rFonts w:ascii="Arial" w:hAnsi="Arial" w:cs="Arial"/>
          <w:sz w:val="24"/>
          <w:szCs w:val="24"/>
          <w:lang w:val="en-US"/>
        </w:rPr>
        <w:t xml:space="preserve">, </w:t>
      </w:r>
      <w:r w:rsidRPr="007F06A0">
        <w:rPr>
          <w:rFonts w:ascii="Arial" w:hAnsi="Arial" w:cs="Arial"/>
          <w:i/>
          <w:sz w:val="24"/>
          <w:szCs w:val="24"/>
          <w:lang w:val="en-US"/>
        </w:rPr>
        <w:t>36</w:t>
      </w:r>
      <w:r w:rsidRPr="007F06A0">
        <w:rPr>
          <w:rFonts w:ascii="Arial" w:hAnsi="Arial" w:cs="Arial"/>
          <w:sz w:val="24"/>
          <w:szCs w:val="24"/>
          <w:lang w:val="en-US"/>
        </w:rPr>
        <w:t>, 412–427.</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r w:rsidRPr="007F06A0">
        <w:rPr>
          <w:rFonts w:ascii="Arial" w:hAnsi="Arial" w:cs="Arial"/>
          <w:sz w:val="24"/>
          <w:szCs w:val="24"/>
          <w:lang w:val="en-US"/>
        </w:rPr>
        <w:t xml:space="preserve">Miller, G. (1959). </w:t>
      </w:r>
      <w:proofErr w:type="gramStart"/>
      <w:r w:rsidRPr="007F06A0">
        <w:rPr>
          <w:rFonts w:ascii="Arial" w:hAnsi="Arial" w:cs="Arial"/>
          <w:sz w:val="24"/>
          <w:szCs w:val="24"/>
          <w:lang w:val="en-US"/>
        </w:rPr>
        <w:t xml:space="preserve">Use of </w:t>
      </w:r>
      <w:proofErr w:type="spellStart"/>
      <w:r w:rsidRPr="007F06A0">
        <w:rPr>
          <w:rFonts w:ascii="Arial" w:hAnsi="Arial" w:cs="Arial"/>
          <w:sz w:val="24"/>
          <w:szCs w:val="24"/>
          <w:lang w:val="en-US"/>
        </w:rPr>
        <w:t>DinitrosaIicyIic</w:t>
      </w:r>
      <w:proofErr w:type="spellEnd"/>
      <w:r w:rsidRPr="007F06A0">
        <w:rPr>
          <w:rFonts w:ascii="Arial" w:hAnsi="Arial" w:cs="Arial"/>
          <w:sz w:val="24"/>
          <w:szCs w:val="24"/>
          <w:lang w:val="en-US"/>
        </w:rPr>
        <w:t xml:space="preserve"> acid reagent for determination of reducing sugar.</w:t>
      </w:r>
      <w:proofErr w:type="gramEnd"/>
      <w:r w:rsidRPr="007F06A0">
        <w:rPr>
          <w:rFonts w:ascii="Arial" w:hAnsi="Arial" w:cs="Arial"/>
          <w:sz w:val="24"/>
          <w:szCs w:val="24"/>
          <w:lang w:val="en-US"/>
        </w:rPr>
        <w:t xml:space="preserve"> </w:t>
      </w:r>
      <w:r w:rsidRPr="007F06A0">
        <w:rPr>
          <w:rFonts w:ascii="Arial" w:hAnsi="Arial" w:cs="Arial"/>
          <w:i/>
          <w:sz w:val="24"/>
          <w:szCs w:val="24"/>
          <w:lang w:val="en-US"/>
        </w:rPr>
        <w:t>Analytical Chemistry</w:t>
      </w:r>
      <w:r w:rsidRPr="007F06A0">
        <w:rPr>
          <w:rFonts w:ascii="Arial" w:hAnsi="Arial" w:cs="Arial"/>
          <w:sz w:val="24"/>
          <w:szCs w:val="24"/>
          <w:lang w:val="en-US"/>
        </w:rPr>
        <w:t xml:space="preserve">, </w:t>
      </w:r>
      <w:r w:rsidRPr="007F06A0">
        <w:rPr>
          <w:rFonts w:ascii="Arial" w:hAnsi="Arial" w:cs="Arial"/>
          <w:i/>
          <w:sz w:val="24"/>
          <w:szCs w:val="24"/>
          <w:lang w:val="en-US"/>
        </w:rPr>
        <w:t>31</w:t>
      </w:r>
      <w:r w:rsidRPr="007F06A0">
        <w:rPr>
          <w:rFonts w:ascii="Arial" w:hAnsi="Arial" w:cs="Arial"/>
          <w:sz w:val="24"/>
          <w:szCs w:val="24"/>
          <w:lang w:val="en-US"/>
        </w:rPr>
        <w:t xml:space="preserve"> (3), 426-428.</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proofErr w:type="gramStart"/>
      <w:r w:rsidRPr="007F06A0">
        <w:rPr>
          <w:rFonts w:ascii="Arial" w:hAnsi="Arial" w:cs="Arial"/>
          <w:sz w:val="24"/>
          <w:szCs w:val="24"/>
          <w:lang w:val="en-US"/>
        </w:rPr>
        <w:lastRenderedPageBreak/>
        <w:t>Moraes</w:t>
      </w:r>
      <w:proofErr w:type="spellEnd"/>
      <w:r w:rsidRPr="007F06A0">
        <w:rPr>
          <w:rFonts w:ascii="Arial" w:hAnsi="Arial" w:cs="Arial"/>
          <w:sz w:val="24"/>
          <w:szCs w:val="24"/>
          <w:lang w:val="en-US"/>
        </w:rPr>
        <w:t xml:space="preserve">, B.S., </w:t>
      </w:r>
      <w:proofErr w:type="spellStart"/>
      <w:r w:rsidRPr="007F06A0">
        <w:rPr>
          <w:rFonts w:ascii="Arial" w:hAnsi="Arial" w:cs="Arial"/>
          <w:sz w:val="24"/>
          <w:szCs w:val="24"/>
          <w:lang w:val="en-US"/>
        </w:rPr>
        <w:t>Zaiat</w:t>
      </w:r>
      <w:proofErr w:type="spellEnd"/>
      <w:r w:rsidRPr="007F06A0">
        <w:rPr>
          <w:rFonts w:ascii="Arial" w:hAnsi="Arial" w:cs="Arial"/>
          <w:sz w:val="24"/>
          <w:szCs w:val="24"/>
          <w:lang w:val="en-US"/>
        </w:rPr>
        <w:t xml:space="preserve">, M., &amp; </w:t>
      </w:r>
      <w:proofErr w:type="spellStart"/>
      <w:r w:rsidRPr="007F06A0">
        <w:rPr>
          <w:rFonts w:ascii="Arial" w:hAnsi="Arial" w:cs="Arial"/>
          <w:sz w:val="24"/>
          <w:szCs w:val="24"/>
          <w:lang w:val="en-US"/>
        </w:rPr>
        <w:t>Bonomi</w:t>
      </w:r>
      <w:proofErr w:type="spellEnd"/>
      <w:r w:rsidRPr="007F06A0">
        <w:rPr>
          <w:rFonts w:ascii="Arial" w:hAnsi="Arial" w:cs="Arial"/>
          <w:sz w:val="24"/>
          <w:szCs w:val="24"/>
          <w:lang w:val="en-US"/>
        </w:rPr>
        <w:t>, A. (2015).</w:t>
      </w:r>
      <w:proofErr w:type="gramEnd"/>
      <w:r w:rsidRPr="007F06A0">
        <w:rPr>
          <w:rFonts w:ascii="Arial" w:hAnsi="Arial" w:cs="Arial"/>
          <w:sz w:val="24"/>
          <w:szCs w:val="24"/>
          <w:lang w:val="en-US"/>
        </w:rPr>
        <w:t xml:space="preserve"> Anaerobic digestion of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from sugarcane ethanol production in Brazil: Challenges and perspectives. </w:t>
      </w:r>
      <w:r w:rsidRPr="007F06A0">
        <w:rPr>
          <w:rFonts w:ascii="Arial" w:hAnsi="Arial" w:cs="Arial"/>
          <w:i/>
          <w:sz w:val="24"/>
          <w:szCs w:val="24"/>
          <w:lang w:val="en-US"/>
        </w:rPr>
        <w:t>Renewable and Sustainable Energy Reviews</w:t>
      </w:r>
      <w:r w:rsidRPr="007F06A0">
        <w:rPr>
          <w:rFonts w:ascii="Arial" w:hAnsi="Arial" w:cs="Arial"/>
          <w:sz w:val="24"/>
          <w:szCs w:val="24"/>
          <w:lang w:val="en-US"/>
        </w:rPr>
        <w:t xml:space="preserve">, </w:t>
      </w:r>
      <w:r w:rsidRPr="007F06A0">
        <w:rPr>
          <w:rFonts w:ascii="Arial" w:hAnsi="Arial" w:cs="Arial"/>
          <w:i/>
          <w:sz w:val="24"/>
          <w:szCs w:val="24"/>
          <w:lang w:val="en-US"/>
        </w:rPr>
        <w:t>44</w:t>
      </w:r>
      <w:r w:rsidRPr="007F06A0">
        <w:rPr>
          <w:rFonts w:ascii="Arial" w:hAnsi="Arial" w:cs="Arial"/>
          <w:sz w:val="24"/>
          <w:szCs w:val="24"/>
          <w:lang w:val="en-US"/>
        </w:rPr>
        <w:t xml:space="preserve">, 888–903. </w:t>
      </w:r>
    </w:p>
    <w:p w:rsidR="00F43CFC" w:rsidRPr="00AB3A8C" w:rsidRDefault="007F06A0" w:rsidP="00F43CFC">
      <w:pPr>
        <w:autoSpaceDE w:val="0"/>
        <w:autoSpaceDN w:val="0"/>
        <w:adjustRightInd w:val="0"/>
        <w:spacing w:after="0" w:line="360" w:lineRule="auto"/>
        <w:ind w:left="708" w:hanging="708"/>
        <w:jc w:val="both"/>
        <w:rPr>
          <w:rFonts w:ascii="Arial" w:hAnsi="Arial" w:cs="Arial"/>
          <w:sz w:val="24"/>
          <w:szCs w:val="24"/>
          <w:lang w:val="en-US"/>
        </w:rPr>
      </w:pPr>
      <w:proofErr w:type="spellStart"/>
      <w:proofErr w:type="gramStart"/>
      <w:r w:rsidRPr="00480096">
        <w:rPr>
          <w:rFonts w:ascii="Arial" w:hAnsi="Arial" w:cs="Arial"/>
          <w:sz w:val="24"/>
          <w:szCs w:val="24"/>
          <w:lang w:val="en-US"/>
        </w:rPr>
        <w:t>Niu</w:t>
      </w:r>
      <w:proofErr w:type="spellEnd"/>
      <w:r w:rsidRPr="00480096">
        <w:rPr>
          <w:rFonts w:ascii="Arial" w:hAnsi="Arial" w:cs="Arial"/>
          <w:sz w:val="24"/>
          <w:szCs w:val="24"/>
          <w:lang w:val="en-US"/>
        </w:rPr>
        <w:t xml:space="preserve">, Q., </w:t>
      </w:r>
      <w:proofErr w:type="spellStart"/>
      <w:r w:rsidRPr="00480096">
        <w:rPr>
          <w:rFonts w:ascii="Arial" w:hAnsi="Arial" w:cs="Arial"/>
          <w:sz w:val="24"/>
          <w:szCs w:val="24"/>
          <w:lang w:val="en-US"/>
        </w:rPr>
        <w:t>Qiao</w:t>
      </w:r>
      <w:proofErr w:type="spellEnd"/>
      <w:r w:rsidRPr="00480096">
        <w:rPr>
          <w:rFonts w:ascii="Arial" w:hAnsi="Arial" w:cs="Arial"/>
          <w:sz w:val="24"/>
          <w:szCs w:val="24"/>
          <w:lang w:val="en-US"/>
        </w:rPr>
        <w:t xml:space="preserve">, W., </w:t>
      </w:r>
      <w:proofErr w:type="spellStart"/>
      <w:r w:rsidRPr="00480096">
        <w:rPr>
          <w:rFonts w:ascii="Arial" w:hAnsi="Arial" w:cs="Arial"/>
          <w:sz w:val="24"/>
          <w:szCs w:val="24"/>
          <w:lang w:val="en-US"/>
        </w:rPr>
        <w:t>Qiang</w:t>
      </w:r>
      <w:proofErr w:type="spellEnd"/>
      <w:r w:rsidRPr="00480096">
        <w:rPr>
          <w:rFonts w:ascii="Arial" w:hAnsi="Arial" w:cs="Arial"/>
          <w:sz w:val="24"/>
          <w:szCs w:val="24"/>
          <w:lang w:val="en-US"/>
        </w:rPr>
        <w:t xml:space="preserve">, H., </w:t>
      </w:r>
      <w:proofErr w:type="spellStart"/>
      <w:r w:rsidRPr="00480096">
        <w:rPr>
          <w:rFonts w:ascii="Arial" w:hAnsi="Arial" w:cs="Arial"/>
          <w:sz w:val="24"/>
          <w:szCs w:val="24"/>
          <w:lang w:val="en-US"/>
        </w:rPr>
        <w:t>Hojo</w:t>
      </w:r>
      <w:proofErr w:type="spellEnd"/>
      <w:r w:rsidRPr="00480096">
        <w:rPr>
          <w:rFonts w:ascii="Arial" w:hAnsi="Arial" w:cs="Arial"/>
          <w:sz w:val="24"/>
          <w:szCs w:val="24"/>
          <w:lang w:val="en-US"/>
        </w:rPr>
        <w:t>, T., &amp; Li, Y. (2013).</w:t>
      </w:r>
      <w:proofErr w:type="gramEnd"/>
      <w:r w:rsidRPr="00480096">
        <w:rPr>
          <w:rFonts w:ascii="Arial" w:hAnsi="Arial" w:cs="Arial"/>
          <w:sz w:val="24"/>
          <w:szCs w:val="24"/>
          <w:lang w:val="en-US"/>
        </w:rPr>
        <w:t xml:space="preserve"> </w:t>
      </w:r>
      <w:proofErr w:type="spellStart"/>
      <w:r w:rsidRPr="007F06A0">
        <w:rPr>
          <w:rFonts w:ascii="Arial" w:hAnsi="Arial" w:cs="Arial"/>
          <w:sz w:val="24"/>
          <w:szCs w:val="24"/>
          <w:lang w:val="en-US"/>
        </w:rPr>
        <w:t>Mesophilic</w:t>
      </w:r>
      <w:proofErr w:type="spellEnd"/>
      <w:r w:rsidRPr="007F06A0">
        <w:rPr>
          <w:rFonts w:ascii="Arial" w:hAnsi="Arial" w:cs="Arial"/>
          <w:sz w:val="24"/>
          <w:szCs w:val="24"/>
          <w:lang w:val="en-US"/>
        </w:rPr>
        <w:t xml:space="preserve"> methane fermentation of chicken manure at a wide range of ammonia concentration: Stability, inhibition and recovery.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137</w:t>
      </w:r>
      <w:r w:rsidRPr="007F06A0">
        <w:rPr>
          <w:rFonts w:ascii="Arial" w:hAnsi="Arial" w:cs="Arial"/>
          <w:sz w:val="24"/>
          <w:szCs w:val="24"/>
          <w:lang w:val="en-US"/>
        </w:rPr>
        <w:t>, 358–367.</w:t>
      </w:r>
    </w:p>
    <w:p w:rsidR="0042217C" w:rsidRPr="00AB3A8C" w:rsidRDefault="007F06A0" w:rsidP="0042217C">
      <w:pPr>
        <w:autoSpaceDE w:val="0"/>
        <w:autoSpaceDN w:val="0"/>
        <w:adjustRightInd w:val="0"/>
        <w:spacing w:after="0" w:line="360" w:lineRule="auto"/>
        <w:ind w:left="708" w:hanging="708"/>
        <w:jc w:val="both"/>
        <w:rPr>
          <w:rFonts w:ascii="Arial" w:hAnsi="Arial" w:cs="Arial"/>
          <w:sz w:val="24"/>
          <w:szCs w:val="24"/>
          <w:lang w:val="en-US"/>
        </w:rPr>
      </w:pPr>
      <w:proofErr w:type="spellStart"/>
      <w:proofErr w:type="gramStart"/>
      <w:r w:rsidRPr="00480096">
        <w:rPr>
          <w:rFonts w:ascii="Arial" w:hAnsi="Arial" w:cs="Arial"/>
          <w:sz w:val="24"/>
          <w:szCs w:val="24"/>
          <w:lang w:val="en-US"/>
        </w:rPr>
        <w:t>Pagés</w:t>
      </w:r>
      <w:proofErr w:type="spellEnd"/>
      <w:r w:rsidRPr="00480096">
        <w:rPr>
          <w:rFonts w:ascii="Arial" w:hAnsi="Arial" w:cs="Arial"/>
          <w:sz w:val="24"/>
          <w:szCs w:val="24"/>
          <w:lang w:val="en-US"/>
        </w:rPr>
        <w:t xml:space="preserve">-Díaz, J., </w:t>
      </w:r>
      <w:proofErr w:type="spellStart"/>
      <w:r w:rsidRPr="00480096">
        <w:rPr>
          <w:rFonts w:ascii="Arial" w:hAnsi="Arial" w:cs="Arial"/>
          <w:sz w:val="24"/>
          <w:szCs w:val="24"/>
          <w:lang w:val="en-US"/>
        </w:rPr>
        <w:t>Pereda</w:t>
      </w:r>
      <w:proofErr w:type="spellEnd"/>
      <w:r w:rsidRPr="00480096">
        <w:rPr>
          <w:rFonts w:ascii="Arial" w:hAnsi="Arial" w:cs="Arial"/>
          <w:sz w:val="24"/>
          <w:szCs w:val="24"/>
          <w:lang w:val="en-US"/>
        </w:rPr>
        <w:t xml:space="preserve">-Reyes, I., </w:t>
      </w:r>
      <w:proofErr w:type="spellStart"/>
      <w:r w:rsidRPr="00480096">
        <w:rPr>
          <w:rFonts w:ascii="Arial" w:hAnsi="Arial" w:cs="Arial"/>
          <w:sz w:val="24"/>
          <w:szCs w:val="24"/>
          <w:lang w:val="en-US"/>
        </w:rPr>
        <w:t>Taherzadeh</w:t>
      </w:r>
      <w:proofErr w:type="spellEnd"/>
      <w:r w:rsidRPr="00480096">
        <w:rPr>
          <w:rFonts w:ascii="Arial" w:hAnsi="Arial" w:cs="Arial"/>
          <w:sz w:val="24"/>
          <w:szCs w:val="24"/>
          <w:lang w:val="en-US"/>
        </w:rPr>
        <w:t xml:space="preserve">, M., </w:t>
      </w:r>
      <w:proofErr w:type="spellStart"/>
      <w:r w:rsidRPr="00480096">
        <w:rPr>
          <w:rFonts w:ascii="Arial" w:hAnsi="Arial" w:cs="Arial"/>
          <w:sz w:val="24"/>
          <w:szCs w:val="24"/>
          <w:lang w:val="en-US"/>
        </w:rPr>
        <w:t>Sárvári-Horváth</w:t>
      </w:r>
      <w:proofErr w:type="spellEnd"/>
      <w:r w:rsidRPr="00480096">
        <w:rPr>
          <w:rFonts w:ascii="Arial" w:hAnsi="Arial" w:cs="Arial"/>
          <w:sz w:val="24"/>
          <w:szCs w:val="24"/>
          <w:lang w:val="en-US"/>
        </w:rPr>
        <w:t xml:space="preserve">, I., &amp; </w:t>
      </w:r>
      <w:proofErr w:type="spellStart"/>
      <w:r w:rsidRPr="00480096">
        <w:rPr>
          <w:rFonts w:ascii="Arial" w:hAnsi="Arial" w:cs="Arial"/>
          <w:sz w:val="24"/>
          <w:szCs w:val="24"/>
          <w:lang w:val="en-US"/>
        </w:rPr>
        <w:t>Lundin</w:t>
      </w:r>
      <w:proofErr w:type="spellEnd"/>
      <w:r w:rsidRPr="00480096">
        <w:rPr>
          <w:rFonts w:ascii="Arial" w:hAnsi="Arial" w:cs="Arial"/>
          <w:sz w:val="24"/>
          <w:szCs w:val="24"/>
          <w:lang w:val="en-US"/>
        </w:rPr>
        <w:t>, M. (2014).</w:t>
      </w:r>
      <w:proofErr w:type="gramEnd"/>
      <w:r w:rsidRPr="00480096">
        <w:rPr>
          <w:rFonts w:ascii="Arial" w:hAnsi="Arial" w:cs="Arial"/>
          <w:sz w:val="24"/>
          <w:szCs w:val="24"/>
          <w:lang w:val="en-US"/>
        </w:rPr>
        <w:t xml:space="preserve"> </w:t>
      </w:r>
      <w:r w:rsidRPr="007F06A0">
        <w:rPr>
          <w:rFonts w:ascii="Arial" w:hAnsi="Arial" w:cs="Arial"/>
          <w:sz w:val="24"/>
          <w:szCs w:val="24"/>
          <w:lang w:val="en-US"/>
        </w:rPr>
        <w:t xml:space="preserve">Anaerobic co-digestion of solid slaughterhouse wastes </w:t>
      </w:r>
      <w:proofErr w:type="spellStart"/>
      <w:r w:rsidRPr="007F06A0">
        <w:rPr>
          <w:rFonts w:ascii="Arial" w:hAnsi="Arial" w:cs="Arial"/>
          <w:sz w:val="24"/>
          <w:szCs w:val="24"/>
          <w:lang w:val="en-US"/>
        </w:rPr>
        <w:t>withagro</w:t>
      </w:r>
      <w:proofErr w:type="spellEnd"/>
      <w:r w:rsidRPr="007F06A0">
        <w:rPr>
          <w:rFonts w:ascii="Arial" w:hAnsi="Arial" w:cs="Arial"/>
          <w:sz w:val="24"/>
          <w:szCs w:val="24"/>
          <w:lang w:val="en-US"/>
        </w:rPr>
        <w:t xml:space="preserve">-residues: Synergistic and antagonistic interactions determined in batch digestion assays. </w:t>
      </w:r>
      <w:r w:rsidRPr="007F06A0">
        <w:rPr>
          <w:rFonts w:ascii="Arial" w:hAnsi="Arial" w:cs="Arial"/>
          <w:i/>
          <w:sz w:val="24"/>
          <w:szCs w:val="24"/>
          <w:lang w:val="en-US"/>
        </w:rPr>
        <w:t>Chemical Engineering Journal</w:t>
      </w:r>
      <w:r w:rsidRPr="007F06A0">
        <w:rPr>
          <w:rFonts w:ascii="Arial" w:hAnsi="Arial" w:cs="Arial"/>
          <w:sz w:val="24"/>
          <w:szCs w:val="24"/>
          <w:lang w:val="en-US"/>
        </w:rPr>
        <w:t xml:space="preserve">, </w:t>
      </w:r>
      <w:r w:rsidRPr="007F06A0">
        <w:rPr>
          <w:rFonts w:ascii="Arial" w:hAnsi="Arial" w:cs="Arial"/>
          <w:i/>
          <w:sz w:val="24"/>
          <w:szCs w:val="24"/>
          <w:lang w:val="en-US"/>
        </w:rPr>
        <w:t>245</w:t>
      </w:r>
      <w:r w:rsidRPr="007F06A0">
        <w:rPr>
          <w:rFonts w:ascii="Arial" w:hAnsi="Arial" w:cs="Arial"/>
          <w:sz w:val="24"/>
          <w:szCs w:val="24"/>
          <w:lang w:val="en-US"/>
        </w:rPr>
        <w:t xml:space="preserve">, 89–98.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r w:rsidRPr="000F1E5E">
        <w:rPr>
          <w:rFonts w:ascii="Arial" w:hAnsi="Arial" w:cs="Arial"/>
          <w:sz w:val="24"/>
          <w:szCs w:val="24"/>
        </w:rPr>
        <w:t>Syaichurrozi</w:t>
      </w:r>
      <w:proofErr w:type="spellEnd"/>
      <w:r w:rsidRPr="000F1E5E">
        <w:rPr>
          <w:rFonts w:ascii="Arial" w:hAnsi="Arial" w:cs="Arial"/>
          <w:sz w:val="24"/>
          <w:szCs w:val="24"/>
        </w:rPr>
        <w:t xml:space="preserve">, I., </w:t>
      </w:r>
      <w:proofErr w:type="spellStart"/>
      <w:r w:rsidRPr="000F1E5E">
        <w:rPr>
          <w:rFonts w:ascii="Arial" w:hAnsi="Arial" w:cs="Arial"/>
          <w:sz w:val="24"/>
          <w:szCs w:val="24"/>
        </w:rPr>
        <w:t>Budiyono</w:t>
      </w:r>
      <w:proofErr w:type="spellEnd"/>
      <w:r w:rsidRPr="000F1E5E">
        <w:rPr>
          <w:rFonts w:ascii="Arial" w:hAnsi="Arial" w:cs="Arial"/>
          <w:sz w:val="24"/>
          <w:szCs w:val="24"/>
        </w:rPr>
        <w:t xml:space="preserve">, &amp; </w:t>
      </w:r>
      <w:proofErr w:type="spellStart"/>
      <w:r w:rsidRPr="000F1E5E">
        <w:rPr>
          <w:rFonts w:ascii="Arial" w:hAnsi="Arial" w:cs="Arial"/>
          <w:sz w:val="24"/>
          <w:szCs w:val="24"/>
        </w:rPr>
        <w:t>Sumardiono</w:t>
      </w:r>
      <w:proofErr w:type="spellEnd"/>
      <w:r w:rsidRPr="000F1E5E">
        <w:rPr>
          <w:rFonts w:ascii="Arial" w:hAnsi="Arial" w:cs="Arial"/>
          <w:sz w:val="24"/>
          <w:szCs w:val="24"/>
        </w:rPr>
        <w:t xml:space="preserve">, S. (2013). </w:t>
      </w:r>
      <w:proofErr w:type="gramStart"/>
      <w:r w:rsidRPr="007F06A0">
        <w:rPr>
          <w:rFonts w:ascii="Arial" w:hAnsi="Arial" w:cs="Arial"/>
          <w:sz w:val="24"/>
          <w:szCs w:val="24"/>
          <w:lang w:val="en-US"/>
        </w:rPr>
        <w:t xml:space="preserve">Predicting kinetic model of biogas production and biodegradability organic materials: Biogas production from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 xml:space="preserve"> at variation of COD/N ratio.</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149</w:t>
      </w:r>
      <w:r w:rsidRPr="007F06A0">
        <w:rPr>
          <w:rFonts w:ascii="Arial" w:hAnsi="Arial" w:cs="Arial"/>
          <w:sz w:val="24"/>
          <w:szCs w:val="24"/>
          <w:lang w:val="en-US"/>
        </w:rPr>
        <w:t>, 390–397.</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proofErr w:type="spellStart"/>
      <w:r w:rsidRPr="007F06A0">
        <w:rPr>
          <w:rFonts w:ascii="Arial" w:hAnsi="Arial" w:cs="Arial"/>
          <w:sz w:val="24"/>
          <w:szCs w:val="24"/>
          <w:lang w:val="en-US"/>
        </w:rPr>
        <w:t>Raposo</w:t>
      </w:r>
      <w:proofErr w:type="spellEnd"/>
      <w:r w:rsidRPr="007F06A0">
        <w:rPr>
          <w:rFonts w:ascii="Arial" w:hAnsi="Arial" w:cs="Arial"/>
          <w:sz w:val="24"/>
          <w:szCs w:val="24"/>
          <w:lang w:val="en-US"/>
        </w:rPr>
        <w:t xml:space="preserve">, F., Banks, C.J., </w:t>
      </w:r>
      <w:proofErr w:type="spellStart"/>
      <w:r w:rsidRPr="007F06A0">
        <w:rPr>
          <w:rFonts w:ascii="Arial" w:hAnsi="Arial" w:cs="Arial"/>
          <w:sz w:val="24"/>
          <w:szCs w:val="24"/>
          <w:lang w:val="en-US"/>
        </w:rPr>
        <w:t>Siegert</w:t>
      </w:r>
      <w:proofErr w:type="spellEnd"/>
      <w:r w:rsidRPr="007F06A0">
        <w:rPr>
          <w:rFonts w:ascii="Arial" w:hAnsi="Arial" w:cs="Arial"/>
          <w:sz w:val="24"/>
          <w:szCs w:val="24"/>
          <w:lang w:val="en-US"/>
        </w:rPr>
        <w:t xml:space="preserve">, I., Heaven, S., &amp; </w:t>
      </w:r>
      <w:proofErr w:type="spellStart"/>
      <w:r w:rsidRPr="007F06A0">
        <w:rPr>
          <w:rFonts w:ascii="Arial" w:hAnsi="Arial" w:cs="Arial"/>
          <w:sz w:val="24"/>
          <w:szCs w:val="24"/>
          <w:lang w:val="en-US"/>
        </w:rPr>
        <w:t>Borja</w:t>
      </w:r>
      <w:proofErr w:type="spellEnd"/>
      <w:r w:rsidRPr="007F06A0">
        <w:rPr>
          <w:rFonts w:ascii="Arial" w:hAnsi="Arial" w:cs="Arial"/>
          <w:sz w:val="24"/>
          <w:szCs w:val="24"/>
          <w:lang w:val="en-US"/>
        </w:rPr>
        <w:t xml:space="preserve">, R. (2006). Influence of </w:t>
      </w:r>
      <w:proofErr w:type="spellStart"/>
      <w:r w:rsidRPr="007F06A0">
        <w:rPr>
          <w:rFonts w:ascii="Arial" w:hAnsi="Arial" w:cs="Arial"/>
          <w:sz w:val="24"/>
          <w:szCs w:val="24"/>
          <w:lang w:val="en-US"/>
        </w:rPr>
        <w:t>inoculum</w:t>
      </w:r>
      <w:proofErr w:type="spellEnd"/>
      <w:r w:rsidRPr="007F06A0">
        <w:rPr>
          <w:rFonts w:ascii="Arial" w:hAnsi="Arial" w:cs="Arial"/>
          <w:sz w:val="24"/>
          <w:szCs w:val="24"/>
          <w:lang w:val="en-US"/>
        </w:rPr>
        <w:t xml:space="preserve"> to substrate ratio on the biochemical methane potential of maize in batch tests. </w:t>
      </w:r>
      <w:proofErr w:type="spellStart"/>
      <w:r w:rsidRPr="007F06A0">
        <w:rPr>
          <w:rFonts w:ascii="Arial" w:hAnsi="Arial" w:cs="Arial"/>
          <w:i/>
          <w:sz w:val="24"/>
          <w:szCs w:val="24"/>
        </w:rPr>
        <w:t>Process</w:t>
      </w:r>
      <w:proofErr w:type="spellEnd"/>
      <w:r w:rsidRPr="007F06A0">
        <w:rPr>
          <w:rFonts w:ascii="Arial" w:hAnsi="Arial" w:cs="Arial"/>
          <w:i/>
          <w:sz w:val="24"/>
          <w:szCs w:val="24"/>
        </w:rPr>
        <w:t xml:space="preserve"> </w:t>
      </w:r>
      <w:proofErr w:type="spellStart"/>
      <w:r w:rsidRPr="007F06A0">
        <w:rPr>
          <w:rFonts w:ascii="Arial" w:hAnsi="Arial" w:cs="Arial"/>
          <w:i/>
          <w:sz w:val="24"/>
          <w:szCs w:val="24"/>
        </w:rPr>
        <w:t>Biochemistry</w:t>
      </w:r>
      <w:proofErr w:type="spellEnd"/>
      <w:r w:rsidRPr="007F06A0">
        <w:rPr>
          <w:rFonts w:ascii="Arial" w:hAnsi="Arial" w:cs="Arial"/>
          <w:sz w:val="24"/>
          <w:szCs w:val="24"/>
        </w:rPr>
        <w:t xml:space="preserve">, </w:t>
      </w:r>
      <w:r w:rsidRPr="007F06A0">
        <w:rPr>
          <w:rFonts w:ascii="Arial" w:hAnsi="Arial" w:cs="Arial"/>
          <w:i/>
          <w:sz w:val="24"/>
          <w:szCs w:val="24"/>
        </w:rPr>
        <w:t>41</w:t>
      </w:r>
      <w:r w:rsidRPr="007F06A0">
        <w:rPr>
          <w:rFonts w:ascii="Arial" w:hAnsi="Arial" w:cs="Arial"/>
          <w:sz w:val="24"/>
          <w:szCs w:val="24"/>
        </w:rPr>
        <w:t xml:space="preserve">, 1444–1450.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rPr>
      </w:pPr>
      <w:r w:rsidRPr="007F06A0">
        <w:rPr>
          <w:rFonts w:ascii="Arial" w:hAnsi="Arial" w:cs="Arial"/>
          <w:sz w:val="24"/>
          <w:szCs w:val="24"/>
        </w:rPr>
        <w:t xml:space="preserve">Rosales, L., Bermúdez, J., </w:t>
      </w:r>
      <w:proofErr w:type="spellStart"/>
      <w:r w:rsidRPr="007F06A0">
        <w:rPr>
          <w:rFonts w:ascii="Arial" w:hAnsi="Arial" w:cs="Arial"/>
          <w:sz w:val="24"/>
          <w:szCs w:val="24"/>
        </w:rPr>
        <w:t>Moronta</w:t>
      </w:r>
      <w:proofErr w:type="spellEnd"/>
      <w:r w:rsidRPr="007F06A0">
        <w:rPr>
          <w:rFonts w:ascii="Arial" w:hAnsi="Arial" w:cs="Arial"/>
          <w:sz w:val="24"/>
          <w:szCs w:val="24"/>
        </w:rPr>
        <w:t xml:space="preserve">, R., &amp; Morales, E. (2007). Gallinaza: Un Residual Avícola como fuente alternativa de nutrientes para producción de biomasa </w:t>
      </w:r>
      <w:proofErr w:type="spellStart"/>
      <w:r w:rsidRPr="007F06A0">
        <w:rPr>
          <w:rFonts w:ascii="Arial" w:hAnsi="Arial" w:cs="Arial"/>
          <w:sz w:val="24"/>
          <w:szCs w:val="24"/>
        </w:rPr>
        <w:t>microalgal</w:t>
      </w:r>
      <w:proofErr w:type="spellEnd"/>
      <w:r w:rsidRPr="007F06A0">
        <w:rPr>
          <w:rFonts w:ascii="Arial" w:hAnsi="Arial" w:cs="Arial"/>
          <w:sz w:val="24"/>
          <w:szCs w:val="24"/>
        </w:rPr>
        <w:t xml:space="preserve">. </w:t>
      </w:r>
      <w:r w:rsidRPr="007F06A0">
        <w:rPr>
          <w:rFonts w:ascii="Arial" w:hAnsi="Arial" w:cs="Arial"/>
          <w:i/>
          <w:sz w:val="24"/>
          <w:szCs w:val="24"/>
        </w:rPr>
        <w:t>Revista Colombiana de Biotecnología</w:t>
      </w:r>
      <w:r w:rsidRPr="007F06A0">
        <w:rPr>
          <w:rFonts w:ascii="Arial" w:hAnsi="Arial" w:cs="Arial"/>
          <w:sz w:val="24"/>
          <w:szCs w:val="24"/>
        </w:rPr>
        <w:t xml:space="preserve">, </w:t>
      </w:r>
      <w:r w:rsidRPr="007F06A0">
        <w:rPr>
          <w:rFonts w:ascii="Arial" w:hAnsi="Arial" w:cs="Arial"/>
          <w:i/>
          <w:sz w:val="24"/>
          <w:szCs w:val="24"/>
        </w:rPr>
        <w:t xml:space="preserve">9 </w:t>
      </w:r>
      <w:r w:rsidRPr="007F06A0">
        <w:rPr>
          <w:rFonts w:ascii="Arial" w:hAnsi="Arial" w:cs="Arial"/>
          <w:sz w:val="24"/>
          <w:szCs w:val="24"/>
        </w:rPr>
        <w:t>(1), 41-48.</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r w:rsidRPr="007F06A0">
        <w:rPr>
          <w:rFonts w:ascii="Arial" w:hAnsi="Arial" w:cs="Arial"/>
          <w:sz w:val="24"/>
          <w:szCs w:val="24"/>
        </w:rPr>
        <w:t xml:space="preserve">Quintero, M., Castro, L., Ortiz, C., Guzmán, C., &amp; Escalante, H. (2012). </w:t>
      </w:r>
      <w:r w:rsidRPr="007F06A0">
        <w:rPr>
          <w:rFonts w:ascii="Arial" w:hAnsi="Arial" w:cs="Arial"/>
          <w:sz w:val="24"/>
          <w:szCs w:val="24"/>
          <w:lang w:val="en-US"/>
        </w:rPr>
        <w:t xml:space="preserve">Enhancement of starting up anaerobic digestion of </w:t>
      </w:r>
      <w:proofErr w:type="spellStart"/>
      <w:r w:rsidRPr="007F06A0">
        <w:rPr>
          <w:rFonts w:ascii="Arial" w:hAnsi="Arial" w:cs="Arial"/>
          <w:sz w:val="24"/>
          <w:szCs w:val="24"/>
          <w:lang w:val="en-US"/>
        </w:rPr>
        <w:t>lignocellulosic</w:t>
      </w:r>
      <w:proofErr w:type="spellEnd"/>
      <w:r w:rsidRPr="007F06A0">
        <w:rPr>
          <w:rFonts w:ascii="Arial" w:hAnsi="Arial" w:cs="Arial"/>
          <w:sz w:val="24"/>
          <w:szCs w:val="24"/>
          <w:lang w:val="en-US"/>
        </w:rPr>
        <w:t xml:space="preserve"> substrate: </w:t>
      </w:r>
      <w:proofErr w:type="spellStart"/>
      <w:r w:rsidRPr="007F06A0">
        <w:rPr>
          <w:rFonts w:ascii="Arial" w:hAnsi="Arial" w:cs="Arial"/>
          <w:sz w:val="24"/>
          <w:szCs w:val="24"/>
          <w:lang w:val="en-US"/>
        </w:rPr>
        <w:t>fique’s</w:t>
      </w:r>
      <w:proofErr w:type="spellEnd"/>
      <w:r w:rsidRPr="007F06A0">
        <w:rPr>
          <w:rFonts w:ascii="Arial" w:hAnsi="Arial" w:cs="Arial"/>
          <w:sz w:val="24"/>
          <w:szCs w:val="24"/>
          <w:lang w:val="en-US"/>
        </w:rPr>
        <w:t xml:space="preserve"> </w:t>
      </w:r>
      <w:proofErr w:type="spellStart"/>
      <w:r w:rsidRPr="007F06A0">
        <w:rPr>
          <w:rFonts w:ascii="Arial" w:hAnsi="Arial" w:cs="Arial"/>
          <w:sz w:val="24"/>
          <w:szCs w:val="24"/>
          <w:lang w:val="en-US"/>
        </w:rPr>
        <w:t>bagasse</w:t>
      </w:r>
      <w:proofErr w:type="spellEnd"/>
      <w:r w:rsidRPr="007F06A0">
        <w:rPr>
          <w:rFonts w:ascii="Arial" w:hAnsi="Arial" w:cs="Arial"/>
          <w:sz w:val="24"/>
          <w:szCs w:val="24"/>
          <w:lang w:val="en-US"/>
        </w:rPr>
        <w:t xml:space="preserve"> as an example.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108</w:t>
      </w:r>
      <w:r w:rsidRPr="007F06A0">
        <w:rPr>
          <w:rFonts w:ascii="Arial" w:hAnsi="Arial" w:cs="Arial"/>
          <w:sz w:val="24"/>
          <w:szCs w:val="24"/>
          <w:lang w:val="en-US"/>
        </w:rPr>
        <w:t>, 8-13.</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Yang, G., Zhang, P., Zhang, G., Wang, Y., &amp; Yang, A. (2015) Degradation properties of protein and carbohydrate during sludge anaerobic digestion.</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192</w:t>
      </w:r>
      <w:r w:rsidRPr="007F06A0">
        <w:rPr>
          <w:rFonts w:ascii="Arial" w:hAnsi="Arial" w:cs="Arial"/>
          <w:sz w:val="24"/>
          <w:szCs w:val="24"/>
          <w:lang w:val="en-US"/>
        </w:rPr>
        <w:t>, 126–130.</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t xml:space="preserve">Wang, M., Li, S.P., Yin, L., Liu, D., Zhang, Y., Li, W., &amp; </w:t>
      </w:r>
      <w:proofErr w:type="spellStart"/>
      <w:r w:rsidRPr="007F06A0">
        <w:rPr>
          <w:rFonts w:ascii="Arial" w:hAnsi="Arial" w:cs="Arial"/>
          <w:sz w:val="24"/>
          <w:szCs w:val="24"/>
          <w:lang w:val="en-US"/>
        </w:rPr>
        <w:t>Zheng</w:t>
      </w:r>
      <w:proofErr w:type="spellEnd"/>
      <w:r w:rsidRPr="007F06A0">
        <w:rPr>
          <w:rFonts w:ascii="Arial" w:hAnsi="Arial" w:cs="Arial"/>
          <w:sz w:val="24"/>
          <w:szCs w:val="24"/>
          <w:lang w:val="en-US"/>
        </w:rPr>
        <w:t>, G. (2014).</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A novel alternate feeding mode for semi-continuous anaerobic co-digestion of food waste with chicken manure.</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164</w:t>
      </w:r>
      <w:r w:rsidRPr="007F06A0">
        <w:rPr>
          <w:rFonts w:ascii="Arial" w:hAnsi="Arial" w:cs="Arial"/>
          <w:sz w:val="24"/>
          <w:szCs w:val="24"/>
          <w:lang w:val="en-US"/>
        </w:rPr>
        <w:t xml:space="preserve">, 309–314.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gramStart"/>
      <w:r w:rsidRPr="007F06A0">
        <w:rPr>
          <w:rFonts w:ascii="Arial" w:hAnsi="Arial" w:cs="Arial"/>
          <w:sz w:val="24"/>
          <w:szCs w:val="24"/>
          <w:lang w:val="en-US"/>
        </w:rPr>
        <w:lastRenderedPageBreak/>
        <w:t>Ward, A.J., Hobbs, P.J., Holliman, P.J., &amp; Jones, D.L. (2008).</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Optimization of the anaerobic digestion of agricultural resources.</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w:t>
      </w:r>
      <w:r w:rsidRPr="007F06A0">
        <w:rPr>
          <w:rFonts w:ascii="Arial" w:hAnsi="Arial" w:cs="Arial"/>
          <w:sz w:val="24"/>
          <w:szCs w:val="24"/>
          <w:lang w:val="en-US"/>
        </w:rPr>
        <w:t xml:space="preserve">, </w:t>
      </w:r>
      <w:r w:rsidRPr="007F06A0">
        <w:rPr>
          <w:rFonts w:ascii="Arial" w:hAnsi="Arial" w:cs="Arial"/>
          <w:i/>
          <w:sz w:val="24"/>
          <w:szCs w:val="24"/>
          <w:lang w:val="en-US"/>
        </w:rPr>
        <w:t>99</w:t>
      </w:r>
      <w:r w:rsidRPr="007F06A0">
        <w:rPr>
          <w:rFonts w:ascii="Arial" w:hAnsi="Arial" w:cs="Arial"/>
          <w:sz w:val="24"/>
          <w:szCs w:val="24"/>
          <w:lang w:val="en-US"/>
        </w:rPr>
        <w:t xml:space="preserve">, 7928-7940. </w:t>
      </w:r>
    </w:p>
    <w:p w:rsidR="00564EE6" w:rsidRPr="00AB3A8C" w:rsidRDefault="007F06A0" w:rsidP="00FE23C2">
      <w:pPr>
        <w:autoSpaceDE w:val="0"/>
        <w:autoSpaceDN w:val="0"/>
        <w:adjustRightInd w:val="0"/>
        <w:spacing w:after="0" w:line="360" w:lineRule="auto"/>
        <w:ind w:left="708" w:hanging="708"/>
        <w:jc w:val="both"/>
        <w:rPr>
          <w:rFonts w:ascii="Arial" w:hAnsi="Arial" w:cs="Arial"/>
          <w:sz w:val="24"/>
          <w:szCs w:val="24"/>
          <w:lang w:val="en-US"/>
        </w:rPr>
      </w:pPr>
      <w:proofErr w:type="spellStart"/>
      <w:proofErr w:type="gramStart"/>
      <w:r w:rsidRPr="007F06A0">
        <w:rPr>
          <w:rFonts w:ascii="Arial" w:hAnsi="Arial" w:cs="Arial"/>
          <w:sz w:val="24"/>
          <w:szCs w:val="24"/>
          <w:lang w:val="en-US"/>
        </w:rPr>
        <w:t>Zieminski</w:t>
      </w:r>
      <w:proofErr w:type="spellEnd"/>
      <w:r w:rsidRPr="007F06A0">
        <w:rPr>
          <w:rFonts w:ascii="Arial" w:hAnsi="Arial" w:cs="Arial"/>
          <w:sz w:val="24"/>
          <w:szCs w:val="24"/>
          <w:lang w:val="en-US"/>
        </w:rPr>
        <w:t xml:space="preserve">, K., &amp; </w:t>
      </w:r>
      <w:proofErr w:type="spellStart"/>
      <w:r w:rsidRPr="007F06A0">
        <w:rPr>
          <w:rFonts w:ascii="Arial" w:hAnsi="Arial" w:cs="Arial"/>
          <w:sz w:val="24"/>
          <w:szCs w:val="24"/>
          <w:lang w:val="en-US"/>
        </w:rPr>
        <w:t>Kowalska-Wentel</w:t>
      </w:r>
      <w:proofErr w:type="spellEnd"/>
      <w:r w:rsidRPr="007F06A0">
        <w:rPr>
          <w:rFonts w:ascii="Arial" w:hAnsi="Arial" w:cs="Arial"/>
          <w:sz w:val="24"/>
          <w:szCs w:val="24"/>
          <w:lang w:val="en-US"/>
        </w:rPr>
        <w:t>, M. (2015).</w:t>
      </w:r>
      <w:proofErr w:type="gramEnd"/>
      <w:r w:rsidRPr="007F06A0">
        <w:rPr>
          <w:rFonts w:ascii="Arial" w:hAnsi="Arial" w:cs="Arial"/>
          <w:sz w:val="24"/>
          <w:szCs w:val="24"/>
          <w:lang w:val="en-US"/>
        </w:rPr>
        <w:t xml:space="preserve"> </w:t>
      </w:r>
      <w:proofErr w:type="gramStart"/>
      <w:r w:rsidRPr="007F06A0">
        <w:rPr>
          <w:rFonts w:ascii="Arial" w:hAnsi="Arial" w:cs="Arial"/>
          <w:sz w:val="24"/>
          <w:szCs w:val="24"/>
          <w:lang w:val="en-US"/>
        </w:rPr>
        <w:t xml:space="preserve">Effect of enzymatic pretreatment on anaerobic co-digestion of sugar beet pulp silage and </w:t>
      </w:r>
      <w:proofErr w:type="spellStart"/>
      <w:r w:rsidRPr="007F06A0">
        <w:rPr>
          <w:rFonts w:ascii="Arial" w:hAnsi="Arial" w:cs="Arial"/>
          <w:sz w:val="24"/>
          <w:szCs w:val="24"/>
          <w:lang w:val="en-US"/>
        </w:rPr>
        <w:t>vinasse</w:t>
      </w:r>
      <w:proofErr w:type="spellEnd"/>
      <w:r w:rsidRPr="007F06A0">
        <w:rPr>
          <w:rFonts w:ascii="Arial" w:hAnsi="Arial" w:cs="Arial"/>
          <w:sz w:val="24"/>
          <w:szCs w:val="24"/>
          <w:lang w:val="en-US"/>
        </w:rPr>
        <w:t>.</w:t>
      </w:r>
      <w:proofErr w:type="gramEnd"/>
      <w:r w:rsidRPr="007F06A0">
        <w:rPr>
          <w:rFonts w:ascii="Arial" w:hAnsi="Arial" w:cs="Arial"/>
          <w:sz w:val="24"/>
          <w:szCs w:val="24"/>
          <w:lang w:val="en-US"/>
        </w:rPr>
        <w:t xml:space="preserve"> </w:t>
      </w:r>
      <w:proofErr w:type="spellStart"/>
      <w:r w:rsidRPr="007F06A0">
        <w:rPr>
          <w:rFonts w:ascii="Arial" w:hAnsi="Arial" w:cs="Arial"/>
          <w:i/>
          <w:sz w:val="24"/>
          <w:szCs w:val="24"/>
          <w:lang w:val="en-US"/>
        </w:rPr>
        <w:t>Bioresource</w:t>
      </w:r>
      <w:proofErr w:type="spellEnd"/>
      <w:r w:rsidRPr="007F06A0">
        <w:rPr>
          <w:rFonts w:ascii="Arial" w:hAnsi="Arial" w:cs="Arial"/>
          <w:i/>
          <w:sz w:val="24"/>
          <w:szCs w:val="24"/>
          <w:lang w:val="en-US"/>
        </w:rPr>
        <w:t xml:space="preserve"> Technology, 180</w:t>
      </w:r>
      <w:r w:rsidRPr="007F06A0">
        <w:rPr>
          <w:rFonts w:ascii="Arial" w:hAnsi="Arial" w:cs="Arial"/>
          <w:sz w:val="24"/>
          <w:szCs w:val="24"/>
          <w:lang w:val="en-US"/>
        </w:rPr>
        <w:t>, 274–280.</w:t>
      </w:r>
    </w:p>
    <w:p w:rsidR="00AC4E8E" w:rsidRPr="00AB3A8C" w:rsidRDefault="00AC4E8E" w:rsidP="00FE23C2">
      <w:pPr>
        <w:tabs>
          <w:tab w:val="left" w:pos="2290"/>
        </w:tabs>
        <w:spacing w:line="360" w:lineRule="auto"/>
        <w:jc w:val="both"/>
        <w:rPr>
          <w:rFonts w:ascii="Arial" w:hAnsi="Arial" w:cs="Arial"/>
          <w:b/>
          <w:sz w:val="24"/>
          <w:szCs w:val="24"/>
          <w:lang w:val="en-US"/>
        </w:rPr>
      </w:pPr>
      <w:bookmarkStart w:id="0" w:name="_GoBack"/>
      <w:bookmarkEnd w:id="0"/>
    </w:p>
    <w:sectPr w:rsidR="00AC4E8E" w:rsidRPr="00AB3A8C" w:rsidSect="008227FC">
      <w:footerReference w:type="default" r:id="rId16"/>
      <w:footerReference w:type="first" r:id="rId17"/>
      <w:pgSz w:w="12247" w:h="15593"/>
      <w:pgMar w:top="1418"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2DC" w:rsidRDefault="00B452DC" w:rsidP="008A5F08">
      <w:pPr>
        <w:spacing w:after="0" w:line="240" w:lineRule="auto"/>
      </w:pPr>
      <w:r>
        <w:separator/>
      </w:r>
    </w:p>
  </w:endnote>
  <w:endnote w:type="continuationSeparator" w:id="0">
    <w:p w:rsidR="00B452DC" w:rsidRDefault="00B452DC" w:rsidP="008A5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Optimum">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7" w:usb1="00000000" w:usb2="00000000" w:usb3="00000000" w:csb0="00000093" w:csb1="00000000"/>
  </w:font>
  <w:font w:name="ITC Legacy Sans Std Book">
    <w:panose1 w:val="00000000000000000000"/>
    <w:charset w:val="00"/>
    <w:family w:val="modern"/>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04280"/>
      <w:docPartObj>
        <w:docPartGallery w:val="Page Numbers (Bottom of Page)"/>
        <w:docPartUnique/>
      </w:docPartObj>
    </w:sdtPr>
    <w:sdtContent>
      <w:p w:rsidR="00E01C98" w:rsidRDefault="00A472AA">
        <w:pPr>
          <w:pStyle w:val="Piedepgina"/>
        </w:pPr>
        <w:fldSimple w:instr="PAGE   \* MERGEFORMAT">
          <w:r w:rsidR="00480096" w:rsidRPr="00480096">
            <w:rPr>
              <w:noProof/>
              <w:lang w:val="es-ES"/>
            </w:rPr>
            <w:t>2</w:t>
          </w:r>
        </w:fldSimple>
      </w:p>
    </w:sdtContent>
  </w:sdt>
  <w:p w:rsidR="00E01C98" w:rsidRDefault="00E01C9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98" w:rsidRPr="00617F78" w:rsidRDefault="00E01C98" w:rsidP="000724A4">
    <w:pPr>
      <w:pStyle w:val="Default"/>
      <w:spacing w:line="360" w:lineRule="auto"/>
      <w:rPr>
        <w:lang w:val="es-CO"/>
      </w:rPr>
    </w:pPr>
  </w:p>
  <w:p w:rsidR="00E01C98" w:rsidRDefault="00E01C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2DC" w:rsidRDefault="00B452DC" w:rsidP="008A5F08">
      <w:pPr>
        <w:spacing w:after="0" w:line="240" w:lineRule="auto"/>
      </w:pPr>
      <w:r>
        <w:separator/>
      </w:r>
    </w:p>
  </w:footnote>
  <w:footnote w:type="continuationSeparator" w:id="0">
    <w:p w:rsidR="00B452DC" w:rsidRDefault="00B452DC" w:rsidP="008A5F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A71"/>
    <w:multiLevelType w:val="hybridMultilevel"/>
    <w:tmpl w:val="2578DF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7F7C9B"/>
    <w:multiLevelType w:val="hybridMultilevel"/>
    <w:tmpl w:val="29DC2BF8"/>
    <w:lvl w:ilvl="0" w:tplc="DBB2D27A">
      <w:start w:val="1"/>
      <w:numFmt w:val="lowerLetter"/>
      <w:lvlText w:val="(%1)"/>
      <w:lvlJc w:val="left"/>
      <w:pPr>
        <w:ind w:left="3900" w:hanging="360"/>
      </w:pPr>
      <w:rPr>
        <w:rFonts w:hint="default"/>
      </w:rPr>
    </w:lvl>
    <w:lvl w:ilvl="1" w:tplc="240A0019" w:tentative="1">
      <w:start w:val="1"/>
      <w:numFmt w:val="lowerLetter"/>
      <w:lvlText w:val="%2."/>
      <w:lvlJc w:val="left"/>
      <w:pPr>
        <w:ind w:left="4620" w:hanging="360"/>
      </w:pPr>
    </w:lvl>
    <w:lvl w:ilvl="2" w:tplc="240A001B" w:tentative="1">
      <w:start w:val="1"/>
      <w:numFmt w:val="lowerRoman"/>
      <w:lvlText w:val="%3."/>
      <w:lvlJc w:val="right"/>
      <w:pPr>
        <w:ind w:left="5340" w:hanging="180"/>
      </w:pPr>
    </w:lvl>
    <w:lvl w:ilvl="3" w:tplc="240A000F" w:tentative="1">
      <w:start w:val="1"/>
      <w:numFmt w:val="decimal"/>
      <w:lvlText w:val="%4."/>
      <w:lvlJc w:val="left"/>
      <w:pPr>
        <w:ind w:left="6060" w:hanging="360"/>
      </w:pPr>
    </w:lvl>
    <w:lvl w:ilvl="4" w:tplc="240A0019" w:tentative="1">
      <w:start w:val="1"/>
      <w:numFmt w:val="lowerLetter"/>
      <w:lvlText w:val="%5."/>
      <w:lvlJc w:val="left"/>
      <w:pPr>
        <w:ind w:left="6780" w:hanging="360"/>
      </w:pPr>
    </w:lvl>
    <w:lvl w:ilvl="5" w:tplc="240A001B" w:tentative="1">
      <w:start w:val="1"/>
      <w:numFmt w:val="lowerRoman"/>
      <w:lvlText w:val="%6."/>
      <w:lvlJc w:val="right"/>
      <w:pPr>
        <w:ind w:left="7500" w:hanging="180"/>
      </w:pPr>
    </w:lvl>
    <w:lvl w:ilvl="6" w:tplc="240A000F" w:tentative="1">
      <w:start w:val="1"/>
      <w:numFmt w:val="decimal"/>
      <w:lvlText w:val="%7."/>
      <w:lvlJc w:val="left"/>
      <w:pPr>
        <w:ind w:left="8220" w:hanging="360"/>
      </w:pPr>
    </w:lvl>
    <w:lvl w:ilvl="7" w:tplc="240A0019" w:tentative="1">
      <w:start w:val="1"/>
      <w:numFmt w:val="lowerLetter"/>
      <w:lvlText w:val="%8."/>
      <w:lvlJc w:val="left"/>
      <w:pPr>
        <w:ind w:left="8940" w:hanging="360"/>
      </w:pPr>
    </w:lvl>
    <w:lvl w:ilvl="8" w:tplc="240A001B" w:tentative="1">
      <w:start w:val="1"/>
      <w:numFmt w:val="lowerRoman"/>
      <w:lvlText w:val="%9."/>
      <w:lvlJc w:val="right"/>
      <w:pPr>
        <w:ind w:left="9660" w:hanging="180"/>
      </w:pPr>
    </w:lvl>
  </w:abstractNum>
  <w:abstractNum w:abstractNumId="2">
    <w:nsid w:val="140C4F5F"/>
    <w:multiLevelType w:val="multilevel"/>
    <w:tmpl w:val="6D70E7E8"/>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nsid w:val="1838640F"/>
    <w:multiLevelType w:val="hybridMultilevel"/>
    <w:tmpl w:val="FA903292"/>
    <w:lvl w:ilvl="0" w:tplc="C180E092">
      <w:start w:val="1"/>
      <w:numFmt w:val="lowerLetter"/>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4">
    <w:nsid w:val="27B46372"/>
    <w:multiLevelType w:val="hybridMultilevel"/>
    <w:tmpl w:val="D87EFA7A"/>
    <w:lvl w:ilvl="0" w:tplc="4748162C">
      <w:start w:val="1"/>
      <w:numFmt w:val="lowerLetter"/>
      <w:lvlText w:val="(%1)"/>
      <w:lvlJc w:val="left"/>
      <w:pPr>
        <w:ind w:left="2771" w:hanging="360"/>
      </w:pPr>
      <w:rPr>
        <w:rFonts w:hint="default"/>
      </w:rPr>
    </w:lvl>
    <w:lvl w:ilvl="1" w:tplc="240A0019" w:tentative="1">
      <w:start w:val="1"/>
      <w:numFmt w:val="lowerLetter"/>
      <w:lvlText w:val="%2."/>
      <w:lvlJc w:val="left"/>
      <w:pPr>
        <w:ind w:left="3491" w:hanging="360"/>
      </w:pPr>
    </w:lvl>
    <w:lvl w:ilvl="2" w:tplc="240A001B" w:tentative="1">
      <w:start w:val="1"/>
      <w:numFmt w:val="lowerRoman"/>
      <w:lvlText w:val="%3."/>
      <w:lvlJc w:val="right"/>
      <w:pPr>
        <w:ind w:left="4211" w:hanging="180"/>
      </w:pPr>
    </w:lvl>
    <w:lvl w:ilvl="3" w:tplc="240A000F" w:tentative="1">
      <w:start w:val="1"/>
      <w:numFmt w:val="decimal"/>
      <w:lvlText w:val="%4."/>
      <w:lvlJc w:val="left"/>
      <w:pPr>
        <w:ind w:left="4931" w:hanging="360"/>
      </w:pPr>
    </w:lvl>
    <w:lvl w:ilvl="4" w:tplc="240A0019" w:tentative="1">
      <w:start w:val="1"/>
      <w:numFmt w:val="lowerLetter"/>
      <w:lvlText w:val="%5."/>
      <w:lvlJc w:val="left"/>
      <w:pPr>
        <w:ind w:left="5651" w:hanging="360"/>
      </w:pPr>
    </w:lvl>
    <w:lvl w:ilvl="5" w:tplc="240A001B" w:tentative="1">
      <w:start w:val="1"/>
      <w:numFmt w:val="lowerRoman"/>
      <w:lvlText w:val="%6."/>
      <w:lvlJc w:val="right"/>
      <w:pPr>
        <w:ind w:left="6371" w:hanging="180"/>
      </w:pPr>
    </w:lvl>
    <w:lvl w:ilvl="6" w:tplc="240A000F" w:tentative="1">
      <w:start w:val="1"/>
      <w:numFmt w:val="decimal"/>
      <w:lvlText w:val="%7."/>
      <w:lvlJc w:val="left"/>
      <w:pPr>
        <w:ind w:left="7091" w:hanging="360"/>
      </w:pPr>
    </w:lvl>
    <w:lvl w:ilvl="7" w:tplc="240A0019" w:tentative="1">
      <w:start w:val="1"/>
      <w:numFmt w:val="lowerLetter"/>
      <w:lvlText w:val="%8."/>
      <w:lvlJc w:val="left"/>
      <w:pPr>
        <w:ind w:left="7811" w:hanging="360"/>
      </w:pPr>
    </w:lvl>
    <w:lvl w:ilvl="8" w:tplc="240A001B" w:tentative="1">
      <w:start w:val="1"/>
      <w:numFmt w:val="lowerRoman"/>
      <w:lvlText w:val="%9."/>
      <w:lvlJc w:val="right"/>
      <w:pPr>
        <w:ind w:left="8531" w:hanging="180"/>
      </w:pPr>
    </w:lvl>
  </w:abstractNum>
  <w:abstractNum w:abstractNumId="5">
    <w:nsid w:val="28032AFF"/>
    <w:multiLevelType w:val="hybridMultilevel"/>
    <w:tmpl w:val="55367A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4B07EB0"/>
    <w:multiLevelType w:val="multilevel"/>
    <w:tmpl w:val="4EF6B61E"/>
    <w:lvl w:ilvl="0">
      <w:start w:val="1"/>
      <w:numFmt w:val="decimal"/>
      <w:lvlText w:val="%1."/>
      <w:lvlJc w:val="left"/>
      <w:pPr>
        <w:ind w:left="432" w:hanging="432"/>
      </w:pPr>
      <w:rPr>
        <w:rFonts w:ascii="Times New Roman" w:hAnsi="Times New Roman" w:cs="Times New Roman" w:hint="default"/>
        <w:b/>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7D771A7"/>
    <w:multiLevelType w:val="hybridMultilevel"/>
    <w:tmpl w:val="A79CA7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2811620"/>
    <w:multiLevelType w:val="multilevel"/>
    <w:tmpl w:val="21D40FB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DCB3B00"/>
    <w:multiLevelType w:val="hybridMultilevel"/>
    <w:tmpl w:val="7982D7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0F17C42"/>
    <w:multiLevelType w:val="multilevel"/>
    <w:tmpl w:val="ACB2A760"/>
    <w:lvl w:ilvl="0">
      <w:start w:val="1"/>
      <w:numFmt w:val="decimal"/>
      <w:lvlText w:val="%1."/>
      <w:lvlJc w:val="left"/>
      <w:pPr>
        <w:ind w:left="360" w:hanging="360"/>
      </w:pPr>
      <w:rPr>
        <w:rFonts w:hint="default"/>
      </w:rPr>
    </w:lvl>
    <w:lvl w:ilvl="1">
      <w:start w:val="1"/>
      <w:numFmt w:val="decimal"/>
      <w:isLgl/>
      <w:lvlText w:val="%2."/>
      <w:lvlJc w:val="left"/>
      <w:pPr>
        <w:ind w:left="420" w:hanging="420"/>
      </w:pPr>
      <w:rPr>
        <w:rFonts w:ascii="Arial" w:eastAsiaTheme="minorHAnsi" w:hAnsi="Arial" w:cs="Arial"/>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11">
    <w:nsid w:val="5A8565D1"/>
    <w:multiLevelType w:val="hybridMultilevel"/>
    <w:tmpl w:val="129E8E96"/>
    <w:lvl w:ilvl="0" w:tplc="5BAC28F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1E67A43"/>
    <w:multiLevelType w:val="hybridMultilevel"/>
    <w:tmpl w:val="4C1053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7CB3241"/>
    <w:multiLevelType w:val="hybridMultilevel"/>
    <w:tmpl w:val="0F7E9E46"/>
    <w:lvl w:ilvl="0" w:tplc="9FC616DA">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4">
    <w:nsid w:val="79A3259E"/>
    <w:multiLevelType w:val="hybridMultilevel"/>
    <w:tmpl w:val="99968F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4"/>
  </w:num>
  <w:num w:numId="6">
    <w:abstractNumId w:val="14"/>
  </w:num>
  <w:num w:numId="7">
    <w:abstractNumId w:val="13"/>
  </w:num>
  <w:num w:numId="8">
    <w:abstractNumId w:val="11"/>
  </w:num>
  <w:num w:numId="9">
    <w:abstractNumId w:val="7"/>
  </w:num>
  <w:num w:numId="10">
    <w:abstractNumId w:val="12"/>
  </w:num>
  <w:num w:numId="11">
    <w:abstractNumId w:val="6"/>
  </w:num>
  <w:num w:numId="12">
    <w:abstractNumId w:val="9"/>
  </w:num>
  <w:num w:numId="13">
    <w:abstractNumId w:val="0"/>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A71D6E"/>
    <w:rsid w:val="00003DAB"/>
    <w:rsid w:val="00010F37"/>
    <w:rsid w:val="00011ECC"/>
    <w:rsid w:val="00012132"/>
    <w:rsid w:val="0001246A"/>
    <w:rsid w:val="00015338"/>
    <w:rsid w:val="00015EB8"/>
    <w:rsid w:val="00020658"/>
    <w:rsid w:val="000217D2"/>
    <w:rsid w:val="00021E4C"/>
    <w:rsid w:val="00023099"/>
    <w:rsid w:val="00027E87"/>
    <w:rsid w:val="000300A5"/>
    <w:rsid w:val="00032259"/>
    <w:rsid w:val="000347F5"/>
    <w:rsid w:val="00040A0F"/>
    <w:rsid w:val="00040D7B"/>
    <w:rsid w:val="00042927"/>
    <w:rsid w:val="000539FE"/>
    <w:rsid w:val="00055578"/>
    <w:rsid w:val="00057684"/>
    <w:rsid w:val="000636C4"/>
    <w:rsid w:val="0006432D"/>
    <w:rsid w:val="000654A3"/>
    <w:rsid w:val="000724A4"/>
    <w:rsid w:val="00075C41"/>
    <w:rsid w:val="00076A5E"/>
    <w:rsid w:val="00081CD6"/>
    <w:rsid w:val="000829FE"/>
    <w:rsid w:val="00083B8B"/>
    <w:rsid w:val="00087934"/>
    <w:rsid w:val="0009191A"/>
    <w:rsid w:val="0009250B"/>
    <w:rsid w:val="00092B61"/>
    <w:rsid w:val="000A1637"/>
    <w:rsid w:val="000A43C5"/>
    <w:rsid w:val="000C15F1"/>
    <w:rsid w:val="000C401A"/>
    <w:rsid w:val="000C58F8"/>
    <w:rsid w:val="000C7E6C"/>
    <w:rsid w:val="000D1C2A"/>
    <w:rsid w:val="000D1CF4"/>
    <w:rsid w:val="000D3B5A"/>
    <w:rsid w:val="000D45DA"/>
    <w:rsid w:val="000E0429"/>
    <w:rsid w:val="000E0A86"/>
    <w:rsid w:val="000E559A"/>
    <w:rsid w:val="000E7195"/>
    <w:rsid w:val="000F139B"/>
    <w:rsid w:val="000F1414"/>
    <w:rsid w:val="000F1E5E"/>
    <w:rsid w:val="000F3002"/>
    <w:rsid w:val="000F35D8"/>
    <w:rsid w:val="000F5ECD"/>
    <w:rsid w:val="000F60FC"/>
    <w:rsid w:val="000F6452"/>
    <w:rsid w:val="00101449"/>
    <w:rsid w:val="00102345"/>
    <w:rsid w:val="00102555"/>
    <w:rsid w:val="001049C2"/>
    <w:rsid w:val="001117E7"/>
    <w:rsid w:val="00113B99"/>
    <w:rsid w:val="001201BB"/>
    <w:rsid w:val="0012053E"/>
    <w:rsid w:val="0012069F"/>
    <w:rsid w:val="00120F55"/>
    <w:rsid w:val="00125AAD"/>
    <w:rsid w:val="0012726C"/>
    <w:rsid w:val="001346D1"/>
    <w:rsid w:val="001437E4"/>
    <w:rsid w:val="00144C35"/>
    <w:rsid w:val="00146F2B"/>
    <w:rsid w:val="00151A00"/>
    <w:rsid w:val="00155367"/>
    <w:rsid w:val="00157AF0"/>
    <w:rsid w:val="001668A1"/>
    <w:rsid w:val="00166DF7"/>
    <w:rsid w:val="00173835"/>
    <w:rsid w:val="0017637E"/>
    <w:rsid w:val="00176B2D"/>
    <w:rsid w:val="00177108"/>
    <w:rsid w:val="00190AF0"/>
    <w:rsid w:val="001968A2"/>
    <w:rsid w:val="001A0469"/>
    <w:rsid w:val="001A3BE5"/>
    <w:rsid w:val="001A68FF"/>
    <w:rsid w:val="001B4384"/>
    <w:rsid w:val="001B4802"/>
    <w:rsid w:val="001C3F59"/>
    <w:rsid w:val="001C42AE"/>
    <w:rsid w:val="001C47D0"/>
    <w:rsid w:val="001D2CC4"/>
    <w:rsid w:val="001D3759"/>
    <w:rsid w:val="001D4DAF"/>
    <w:rsid w:val="001D7E8B"/>
    <w:rsid w:val="001E140C"/>
    <w:rsid w:val="001E395D"/>
    <w:rsid w:val="001E452A"/>
    <w:rsid w:val="001E5403"/>
    <w:rsid w:val="001E5413"/>
    <w:rsid w:val="001E6400"/>
    <w:rsid w:val="001E7FC4"/>
    <w:rsid w:val="001F180F"/>
    <w:rsid w:val="001F4640"/>
    <w:rsid w:val="002044FC"/>
    <w:rsid w:val="00204853"/>
    <w:rsid w:val="0020750D"/>
    <w:rsid w:val="00210C6F"/>
    <w:rsid w:val="00210D8A"/>
    <w:rsid w:val="002117DA"/>
    <w:rsid w:val="00211E48"/>
    <w:rsid w:val="002154C5"/>
    <w:rsid w:val="00216DBB"/>
    <w:rsid w:val="00220E38"/>
    <w:rsid w:val="00223564"/>
    <w:rsid w:val="00226574"/>
    <w:rsid w:val="00226987"/>
    <w:rsid w:val="00235FFA"/>
    <w:rsid w:val="00236123"/>
    <w:rsid w:val="002365FF"/>
    <w:rsid w:val="00236879"/>
    <w:rsid w:val="00240258"/>
    <w:rsid w:val="002432D6"/>
    <w:rsid w:val="0024377B"/>
    <w:rsid w:val="002439FC"/>
    <w:rsid w:val="00252225"/>
    <w:rsid w:val="00253918"/>
    <w:rsid w:val="00254326"/>
    <w:rsid w:val="002561BD"/>
    <w:rsid w:val="00257267"/>
    <w:rsid w:val="00260369"/>
    <w:rsid w:val="00264F4D"/>
    <w:rsid w:val="002651FF"/>
    <w:rsid w:val="00266CA1"/>
    <w:rsid w:val="0026767C"/>
    <w:rsid w:val="00267E55"/>
    <w:rsid w:val="00267ED4"/>
    <w:rsid w:val="00270863"/>
    <w:rsid w:val="00272580"/>
    <w:rsid w:val="00273169"/>
    <w:rsid w:val="00275140"/>
    <w:rsid w:val="00276393"/>
    <w:rsid w:val="0027679E"/>
    <w:rsid w:val="002817CF"/>
    <w:rsid w:val="00282A4C"/>
    <w:rsid w:val="002836BF"/>
    <w:rsid w:val="002919FE"/>
    <w:rsid w:val="00297173"/>
    <w:rsid w:val="002978CB"/>
    <w:rsid w:val="002A2B6D"/>
    <w:rsid w:val="002B1DDC"/>
    <w:rsid w:val="002B2BCF"/>
    <w:rsid w:val="002B3587"/>
    <w:rsid w:val="002B4E4D"/>
    <w:rsid w:val="002C237B"/>
    <w:rsid w:val="002C345B"/>
    <w:rsid w:val="002C61D0"/>
    <w:rsid w:val="002D0933"/>
    <w:rsid w:val="002D0B02"/>
    <w:rsid w:val="002E0135"/>
    <w:rsid w:val="002E502B"/>
    <w:rsid w:val="002E5BD7"/>
    <w:rsid w:val="002F1BB1"/>
    <w:rsid w:val="002F5003"/>
    <w:rsid w:val="002F5570"/>
    <w:rsid w:val="00301285"/>
    <w:rsid w:val="0030177A"/>
    <w:rsid w:val="00304A2D"/>
    <w:rsid w:val="00305B25"/>
    <w:rsid w:val="00306737"/>
    <w:rsid w:val="00310B1A"/>
    <w:rsid w:val="003125DA"/>
    <w:rsid w:val="0031482A"/>
    <w:rsid w:val="003148D1"/>
    <w:rsid w:val="00317559"/>
    <w:rsid w:val="0032195F"/>
    <w:rsid w:val="00322EAD"/>
    <w:rsid w:val="003261A6"/>
    <w:rsid w:val="0034340F"/>
    <w:rsid w:val="00345899"/>
    <w:rsid w:val="0034714F"/>
    <w:rsid w:val="00352741"/>
    <w:rsid w:val="00354A04"/>
    <w:rsid w:val="00354DC3"/>
    <w:rsid w:val="00357961"/>
    <w:rsid w:val="003631B5"/>
    <w:rsid w:val="00370DD6"/>
    <w:rsid w:val="003718AC"/>
    <w:rsid w:val="00380758"/>
    <w:rsid w:val="00380F86"/>
    <w:rsid w:val="003904A7"/>
    <w:rsid w:val="00390B9A"/>
    <w:rsid w:val="0039167D"/>
    <w:rsid w:val="00394BC8"/>
    <w:rsid w:val="003970FB"/>
    <w:rsid w:val="003972D7"/>
    <w:rsid w:val="00397CC9"/>
    <w:rsid w:val="003A19DE"/>
    <w:rsid w:val="003A4182"/>
    <w:rsid w:val="003A61AC"/>
    <w:rsid w:val="003A6795"/>
    <w:rsid w:val="003B0272"/>
    <w:rsid w:val="003B1876"/>
    <w:rsid w:val="003B4DB3"/>
    <w:rsid w:val="003C49AC"/>
    <w:rsid w:val="003C71A5"/>
    <w:rsid w:val="003D2979"/>
    <w:rsid w:val="003D2A70"/>
    <w:rsid w:val="003D3E99"/>
    <w:rsid w:val="003D3FFB"/>
    <w:rsid w:val="003D6D60"/>
    <w:rsid w:val="003D6F49"/>
    <w:rsid w:val="003E0E2D"/>
    <w:rsid w:val="003E744F"/>
    <w:rsid w:val="003F26EA"/>
    <w:rsid w:val="003F44C5"/>
    <w:rsid w:val="003F47EC"/>
    <w:rsid w:val="003F5C22"/>
    <w:rsid w:val="003F6ADB"/>
    <w:rsid w:val="0040116B"/>
    <w:rsid w:val="0040131B"/>
    <w:rsid w:val="0040180A"/>
    <w:rsid w:val="00401EEA"/>
    <w:rsid w:val="00402CF2"/>
    <w:rsid w:val="00404F0C"/>
    <w:rsid w:val="0040687D"/>
    <w:rsid w:val="00407215"/>
    <w:rsid w:val="0040724B"/>
    <w:rsid w:val="00407A64"/>
    <w:rsid w:val="00411A2A"/>
    <w:rsid w:val="00415846"/>
    <w:rsid w:val="00415995"/>
    <w:rsid w:val="0042178C"/>
    <w:rsid w:val="0042217C"/>
    <w:rsid w:val="0042636B"/>
    <w:rsid w:val="00430BAA"/>
    <w:rsid w:val="0043146B"/>
    <w:rsid w:val="0043475B"/>
    <w:rsid w:val="00435304"/>
    <w:rsid w:val="0043548C"/>
    <w:rsid w:val="00436A00"/>
    <w:rsid w:val="004435FC"/>
    <w:rsid w:val="00444CA2"/>
    <w:rsid w:val="00445131"/>
    <w:rsid w:val="004459E2"/>
    <w:rsid w:val="004461AE"/>
    <w:rsid w:val="00447F68"/>
    <w:rsid w:val="00451283"/>
    <w:rsid w:val="00451CBE"/>
    <w:rsid w:val="00452F03"/>
    <w:rsid w:val="0045324B"/>
    <w:rsid w:val="004552D1"/>
    <w:rsid w:val="00456345"/>
    <w:rsid w:val="00457638"/>
    <w:rsid w:val="00462356"/>
    <w:rsid w:val="004627A4"/>
    <w:rsid w:val="00473B71"/>
    <w:rsid w:val="00476CF5"/>
    <w:rsid w:val="00480096"/>
    <w:rsid w:val="0048107E"/>
    <w:rsid w:val="0049228A"/>
    <w:rsid w:val="00494705"/>
    <w:rsid w:val="00496B53"/>
    <w:rsid w:val="004A247F"/>
    <w:rsid w:val="004A36FF"/>
    <w:rsid w:val="004A48F1"/>
    <w:rsid w:val="004A6502"/>
    <w:rsid w:val="004A79F4"/>
    <w:rsid w:val="004B080B"/>
    <w:rsid w:val="004B255E"/>
    <w:rsid w:val="004B26FB"/>
    <w:rsid w:val="004B5F4D"/>
    <w:rsid w:val="004B779C"/>
    <w:rsid w:val="004C0925"/>
    <w:rsid w:val="004C15A8"/>
    <w:rsid w:val="004C1C84"/>
    <w:rsid w:val="004C1F89"/>
    <w:rsid w:val="004C2B37"/>
    <w:rsid w:val="004C56C5"/>
    <w:rsid w:val="004C6FEF"/>
    <w:rsid w:val="004D0960"/>
    <w:rsid w:val="004D1F31"/>
    <w:rsid w:val="004D3533"/>
    <w:rsid w:val="004D48CE"/>
    <w:rsid w:val="004D73B6"/>
    <w:rsid w:val="004D7CE0"/>
    <w:rsid w:val="004E0709"/>
    <w:rsid w:val="004E1E60"/>
    <w:rsid w:val="00502391"/>
    <w:rsid w:val="00504025"/>
    <w:rsid w:val="00505836"/>
    <w:rsid w:val="005060CC"/>
    <w:rsid w:val="0051147B"/>
    <w:rsid w:val="005213C6"/>
    <w:rsid w:val="005216D3"/>
    <w:rsid w:val="005260D0"/>
    <w:rsid w:val="00526AFA"/>
    <w:rsid w:val="00531179"/>
    <w:rsid w:val="0053236C"/>
    <w:rsid w:val="00532630"/>
    <w:rsid w:val="0053374D"/>
    <w:rsid w:val="00537CED"/>
    <w:rsid w:val="00540BEF"/>
    <w:rsid w:val="0054719D"/>
    <w:rsid w:val="005522A8"/>
    <w:rsid w:val="005537D0"/>
    <w:rsid w:val="00554739"/>
    <w:rsid w:val="00556E31"/>
    <w:rsid w:val="0056103A"/>
    <w:rsid w:val="00563CFB"/>
    <w:rsid w:val="0056422E"/>
    <w:rsid w:val="00564936"/>
    <w:rsid w:val="00564EE6"/>
    <w:rsid w:val="00570D25"/>
    <w:rsid w:val="005716BF"/>
    <w:rsid w:val="00573B42"/>
    <w:rsid w:val="00574604"/>
    <w:rsid w:val="00577F40"/>
    <w:rsid w:val="005803AB"/>
    <w:rsid w:val="00581128"/>
    <w:rsid w:val="005825B7"/>
    <w:rsid w:val="00582962"/>
    <w:rsid w:val="00584297"/>
    <w:rsid w:val="005858B6"/>
    <w:rsid w:val="00586ACF"/>
    <w:rsid w:val="00591432"/>
    <w:rsid w:val="0059170F"/>
    <w:rsid w:val="005A0800"/>
    <w:rsid w:val="005A1A86"/>
    <w:rsid w:val="005A4FA0"/>
    <w:rsid w:val="005A513E"/>
    <w:rsid w:val="005A63BC"/>
    <w:rsid w:val="005A663A"/>
    <w:rsid w:val="005A67FB"/>
    <w:rsid w:val="005C3949"/>
    <w:rsid w:val="005C506F"/>
    <w:rsid w:val="005D56AD"/>
    <w:rsid w:val="005D5A48"/>
    <w:rsid w:val="005D7CDB"/>
    <w:rsid w:val="005E1E40"/>
    <w:rsid w:val="005E7C05"/>
    <w:rsid w:val="005F1DEB"/>
    <w:rsid w:val="005F44A8"/>
    <w:rsid w:val="005F48B9"/>
    <w:rsid w:val="005F6C67"/>
    <w:rsid w:val="0060210E"/>
    <w:rsid w:val="00604204"/>
    <w:rsid w:val="0060690C"/>
    <w:rsid w:val="00607823"/>
    <w:rsid w:val="0061190C"/>
    <w:rsid w:val="00612060"/>
    <w:rsid w:val="0061371B"/>
    <w:rsid w:val="00614421"/>
    <w:rsid w:val="006148B2"/>
    <w:rsid w:val="00616B56"/>
    <w:rsid w:val="00617F78"/>
    <w:rsid w:val="006258FB"/>
    <w:rsid w:val="00625A43"/>
    <w:rsid w:val="006321C1"/>
    <w:rsid w:val="00635070"/>
    <w:rsid w:val="00635FB1"/>
    <w:rsid w:val="00641F63"/>
    <w:rsid w:val="00646E0D"/>
    <w:rsid w:val="00651FD3"/>
    <w:rsid w:val="006602C7"/>
    <w:rsid w:val="006649D7"/>
    <w:rsid w:val="00664BAB"/>
    <w:rsid w:val="00665685"/>
    <w:rsid w:val="00666904"/>
    <w:rsid w:val="006746BC"/>
    <w:rsid w:val="00674986"/>
    <w:rsid w:val="00680440"/>
    <w:rsid w:val="00680791"/>
    <w:rsid w:val="00681948"/>
    <w:rsid w:val="00682693"/>
    <w:rsid w:val="00682A83"/>
    <w:rsid w:val="00682B16"/>
    <w:rsid w:val="00682DDF"/>
    <w:rsid w:val="00686014"/>
    <w:rsid w:val="0068785D"/>
    <w:rsid w:val="006A061D"/>
    <w:rsid w:val="006A07B5"/>
    <w:rsid w:val="006A109E"/>
    <w:rsid w:val="006A161B"/>
    <w:rsid w:val="006A3420"/>
    <w:rsid w:val="006A350F"/>
    <w:rsid w:val="006A370A"/>
    <w:rsid w:val="006A7E61"/>
    <w:rsid w:val="006B1C2B"/>
    <w:rsid w:val="006B3197"/>
    <w:rsid w:val="006B463E"/>
    <w:rsid w:val="006C4339"/>
    <w:rsid w:val="006C57AC"/>
    <w:rsid w:val="006C700A"/>
    <w:rsid w:val="006D3C35"/>
    <w:rsid w:val="006E0B1E"/>
    <w:rsid w:val="006E1945"/>
    <w:rsid w:val="006E3DBB"/>
    <w:rsid w:val="006F5A14"/>
    <w:rsid w:val="007050DE"/>
    <w:rsid w:val="0070612A"/>
    <w:rsid w:val="007126EC"/>
    <w:rsid w:val="007134B7"/>
    <w:rsid w:val="00713608"/>
    <w:rsid w:val="007201D7"/>
    <w:rsid w:val="00725A45"/>
    <w:rsid w:val="00725F3C"/>
    <w:rsid w:val="0073751A"/>
    <w:rsid w:val="00743145"/>
    <w:rsid w:val="00747B14"/>
    <w:rsid w:val="00752631"/>
    <w:rsid w:val="00757943"/>
    <w:rsid w:val="0076196A"/>
    <w:rsid w:val="00761AEB"/>
    <w:rsid w:val="00762483"/>
    <w:rsid w:val="00763F38"/>
    <w:rsid w:val="007643BE"/>
    <w:rsid w:val="00766E39"/>
    <w:rsid w:val="00771A29"/>
    <w:rsid w:val="0077248A"/>
    <w:rsid w:val="007805D2"/>
    <w:rsid w:val="00780B3A"/>
    <w:rsid w:val="00781B3B"/>
    <w:rsid w:val="007858DF"/>
    <w:rsid w:val="00786599"/>
    <w:rsid w:val="00793632"/>
    <w:rsid w:val="0079487E"/>
    <w:rsid w:val="00794C9F"/>
    <w:rsid w:val="007969DC"/>
    <w:rsid w:val="007A21F6"/>
    <w:rsid w:val="007A31CF"/>
    <w:rsid w:val="007A36D9"/>
    <w:rsid w:val="007A3B26"/>
    <w:rsid w:val="007B396C"/>
    <w:rsid w:val="007B5F8B"/>
    <w:rsid w:val="007B7B7B"/>
    <w:rsid w:val="007C0C8C"/>
    <w:rsid w:val="007C23F2"/>
    <w:rsid w:val="007C2B12"/>
    <w:rsid w:val="007C2EDD"/>
    <w:rsid w:val="007C2F45"/>
    <w:rsid w:val="007C384C"/>
    <w:rsid w:val="007C6098"/>
    <w:rsid w:val="007C6420"/>
    <w:rsid w:val="007C69A4"/>
    <w:rsid w:val="007C7083"/>
    <w:rsid w:val="007D48E4"/>
    <w:rsid w:val="007D5AC2"/>
    <w:rsid w:val="007E6FCA"/>
    <w:rsid w:val="007F06A0"/>
    <w:rsid w:val="007F4B32"/>
    <w:rsid w:val="007F5120"/>
    <w:rsid w:val="007F5127"/>
    <w:rsid w:val="007F5FD0"/>
    <w:rsid w:val="00803298"/>
    <w:rsid w:val="008059E5"/>
    <w:rsid w:val="00810186"/>
    <w:rsid w:val="00810B8E"/>
    <w:rsid w:val="00813491"/>
    <w:rsid w:val="00814549"/>
    <w:rsid w:val="00816FB1"/>
    <w:rsid w:val="008227FC"/>
    <w:rsid w:val="00825BB5"/>
    <w:rsid w:val="00835241"/>
    <w:rsid w:val="0083624B"/>
    <w:rsid w:val="008420AB"/>
    <w:rsid w:val="008433A5"/>
    <w:rsid w:val="008514DF"/>
    <w:rsid w:val="00851C26"/>
    <w:rsid w:val="0085694C"/>
    <w:rsid w:val="008614AE"/>
    <w:rsid w:val="0086235D"/>
    <w:rsid w:val="00863502"/>
    <w:rsid w:val="008653E7"/>
    <w:rsid w:val="0086549A"/>
    <w:rsid w:val="00865AC9"/>
    <w:rsid w:val="0087325B"/>
    <w:rsid w:val="00875432"/>
    <w:rsid w:val="00880AF2"/>
    <w:rsid w:val="008859D6"/>
    <w:rsid w:val="00885BB6"/>
    <w:rsid w:val="00891400"/>
    <w:rsid w:val="008915A0"/>
    <w:rsid w:val="00894FD9"/>
    <w:rsid w:val="008A15D2"/>
    <w:rsid w:val="008A4011"/>
    <w:rsid w:val="008A4C0F"/>
    <w:rsid w:val="008A5F08"/>
    <w:rsid w:val="008A6690"/>
    <w:rsid w:val="008A6E10"/>
    <w:rsid w:val="008B2C8D"/>
    <w:rsid w:val="008B444D"/>
    <w:rsid w:val="008B4EFC"/>
    <w:rsid w:val="008B7A3E"/>
    <w:rsid w:val="008C0435"/>
    <w:rsid w:val="008C0513"/>
    <w:rsid w:val="008C0C6C"/>
    <w:rsid w:val="008D067E"/>
    <w:rsid w:val="008D220F"/>
    <w:rsid w:val="008D52B4"/>
    <w:rsid w:val="008D68D2"/>
    <w:rsid w:val="008D78FD"/>
    <w:rsid w:val="008E2F7C"/>
    <w:rsid w:val="008E32DD"/>
    <w:rsid w:val="008E4C14"/>
    <w:rsid w:val="008E7698"/>
    <w:rsid w:val="008F1221"/>
    <w:rsid w:val="008F3121"/>
    <w:rsid w:val="008F33D2"/>
    <w:rsid w:val="008F44D1"/>
    <w:rsid w:val="008F5605"/>
    <w:rsid w:val="008F5B80"/>
    <w:rsid w:val="0090129A"/>
    <w:rsid w:val="00902AFE"/>
    <w:rsid w:val="0090317E"/>
    <w:rsid w:val="00903E08"/>
    <w:rsid w:val="00904068"/>
    <w:rsid w:val="00906A67"/>
    <w:rsid w:val="00907EEE"/>
    <w:rsid w:val="009110BA"/>
    <w:rsid w:val="00911A84"/>
    <w:rsid w:val="00912484"/>
    <w:rsid w:val="00914024"/>
    <w:rsid w:val="009276EB"/>
    <w:rsid w:val="00934215"/>
    <w:rsid w:val="00934EA1"/>
    <w:rsid w:val="00935D45"/>
    <w:rsid w:val="009360ED"/>
    <w:rsid w:val="00937769"/>
    <w:rsid w:val="0094109B"/>
    <w:rsid w:val="00945652"/>
    <w:rsid w:val="00946122"/>
    <w:rsid w:val="009502D1"/>
    <w:rsid w:val="009504EE"/>
    <w:rsid w:val="00954F37"/>
    <w:rsid w:val="0096276F"/>
    <w:rsid w:val="00964BD2"/>
    <w:rsid w:val="00966ABE"/>
    <w:rsid w:val="00971115"/>
    <w:rsid w:val="00972E58"/>
    <w:rsid w:val="00972F4F"/>
    <w:rsid w:val="00975EB4"/>
    <w:rsid w:val="0097675D"/>
    <w:rsid w:val="009779CD"/>
    <w:rsid w:val="009809F6"/>
    <w:rsid w:val="00983DC3"/>
    <w:rsid w:val="0098430D"/>
    <w:rsid w:val="009845FF"/>
    <w:rsid w:val="00984A3E"/>
    <w:rsid w:val="0099238C"/>
    <w:rsid w:val="00994301"/>
    <w:rsid w:val="0099490A"/>
    <w:rsid w:val="009965CB"/>
    <w:rsid w:val="009A4FC9"/>
    <w:rsid w:val="009A7B65"/>
    <w:rsid w:val="009B5BF3"/>
    <w:rsid w:val="009B77D9"/>
    <w:rsid w:val="009C16B2"/>
    <w:rsid w:val="009C2E11"/>
    <w:rsid w:val="009C2E30"/>
    <w:rsid w:val="009C334D"/>
    <w:rsid w:val="009C4E37"/>
    <w:rsid w:val="009C5E3F"/>
    <w:rsid w:val="009C6286"/>
    <w:rsid w:val="009D07C7"/>
    <w:rsid w:val="009D0CEA"/>
    <w:rsid w:val="009D106E"/>
    <w:rsid w:val="009D4359"/>
    <w:rsid w:val="009D5ED0"/>
    <w:rsid w:val="009E0A81"/>
    <w:rsid w:val="009E1668"/>
    <w:rsid w:val="009E190E"/>
    <w:rsid w:val="009E3883"/>
    <w:rsid w:val="009E5211"/>
    <w:rsid w:val="009E62FB"/>
    <w:rsid w:val="009E6E44"/>
    <w:rsid w:val="009F024E"/>
    <w:rsid w:val="009F11EE"/>
    <w:rsid w:val="009F1285"/>
    <w:rsid w:val="009F4133"/>
    <w:rsid w:val="009F4487"/>
    <w:rsid w:val="009F7EED"/>
    <w:rsid w:val="00A01695"/>
    <w:rsid w:val="00A03B1C"/>
    <w:rsid w:val="00A05E12"/>
    <w:rsid w:val="00A06584"/>
    <w:rsid w:val="00A146D3"/>
    <w:rsid w:val="00A2151F"/>
    <w:rsid w:val="00A218A4"/>
    <w:rsid w:val="00A263F9"/>
    <w:rsid w:val="00A301D7"/>
    <w:rsid w:val="00A32204"/>
    <w:rsid w:val="00A34A5C"/>
    <w:rsid w:val="00A36425"/>
    <w:rsid w:val="00A3751D"/>
    <w:rsid w:val="00A43D35"/>
    <w:rsid w:val="00A4484D"/>
    <w:rsid w:val="00A468AB"/>
    <w:rsid w:val="00A46F6D"/>
    <w:rsid w:val="00A472AA"/>
    <w:rsid w:val="00A47EAC"/>
    <w:rsid w:val="00A519D5"/>
    <w:rsid w:val="00A51CC7"/>
    <w:rsid w:val="00A56FAC"/>
    <w:rsid w:val="00A63633"/>
    <w:rsid w:val="00A644CC"/>
    <w:rsid w:val="00A70EE8"/>
    <w:rsid w:val="00A71D6E"/>
    <w:rsid w:val="00A73794"/>
    <w:rsid w:val="00A81A01"/>
    <w:rsid w:val="00A82F65"/>
    <w:rsid w:val="00A87CE0"/>
    <w:rsid w:val="00A91F46"/>
    <w:rsid w:val="00A926BF"/>
    <w:rsid w:val="00A93314"/>
    <w:rsid w:val="00A9502C"/>
    <w:rsid w:val="00AA0178"/>
    <w:rsid w:val="00AA0FEC"/>
    <w:rsid w:val="00AA4102"/>
    <w:rsid w:val="00AA586B"/>
    <w:rsid w:val="00AB2DE9"/>
    <w:rsid w:val="00AB3A8C"/>
    <w:rsid w:val="00AB4655"/>
    <w:rsid w:val="00AB4BAD"/>
    <w:rsid w:val="00AB67C5"/>
    <w:rsid w:val="00AC047C"/>
    <w:rsid w:val="00AC1577"/>
    <w:rsid w:val="00AC4E8E"/>
    <w:rsid w:val="00AC7094"/>
    <w:rsid w:val="00AE5982"/>
    <w:rsid w:val="00AF013F"/>
    <w:rsid w:val="00AF4F30"/>
    <w:rsid w:val="00AF53D4"/>
    <w:rsid w:val="00AF7A10"/>
    <w:rsid w:val="00AF7FD7"/>
    <w:rsid w:val="00B007EC"/>
    <w:rsid w:val="00B033F2"/>
    <w:rsid w:val="00B113C8"/>
    <w:rsid w:val="00B13817"/>
    <w:rsid w:val="00B14E2B"/>
    <w:rsid w:val="00B15770"/>
    <w:rsid w:val="00B16B95"/>
    <w:rsid w:val="00B17B18"/>
    <w:rsid w:val="00B17C2E"/>
    <w:rsid w:val="00B21810"/>
    <w:rsid w:val="00B22EA2"/>
    <w:rsid w:val="00B23587"/>
    <w:rsid w:val="00B26CCE"/>
    <w:rsid w:val="00B30DB2"/>
    <w:rsid w:val="00B374F4"/>
    <w:rsid w:val="00B37A8F"/>
    <w:rsid w:val="00B43ABE"/>
    <w:rsid w:val="00B4517E"/>
    <w:rsid w:val="00B452DC"/>
    <w:rsid w:val="00B54409"/>
    <w:rsid w:val="00B550A9"/>
    <w:rsid w:val="00B55284"/>
    <w:rsid w:val="00B5555D"/>
    <w:rsid w:val="00B55713"/>
    <w:rsid w:val="00B560E7"/>
    <w:rsid w:val="00B6097C"/>
    <w:rsid w:val="00B6407A"/>
    <w:rsid w:val="00B66FEF"/>
    <w:rsid w:val="00B71670"/>
    <w:rsid w:val="00B71A56"/>
    <w:rsid w:val="00B7231C"/>
    <w:rsid w:val="00B75A4C"/>
    <w:rsid w:val="00B76D89"/>
    <w:rsid w:val="00B77123"/>
    <w:rsid w:val="00B77C45"/>
    <w:rsid w:val="00B8079B"/>
    <w:rsid w:val="00B86FBA"/>
    <w:rsid w:val="00B87540"/>
    <w:rsid w:val="00B87B25"/>
    <w:rsid w:val="00BA2464"/>
    <w:rsid w:val="00BA29E3"/>
    <w:rsid w:val="00BA3C05"/>
    <w:rsid w:val="00BA4697"/>
    <w:rsid w:val="00BB1D39"/>
    <w:rsid w:val="00BC0426"/>
    <w:rsid w:val="00BC0557"/>
    <w:rsid w:val="00BC0A5C"/>
    <w:rsid w:val="00BC0A84"/>
    <w:rsid w:val="00BC26D1"/>
    <w:rsid w:val="00BC28EE"/>
    <w:rsid w:val="00BC2A75"/>
    <w:rsid w:val="00BC3F9A"/>
    <w:rsid w:val="00BC4824"/>
    <w:rsid w:val="00BD23C9"/>
    <w:rsid w:val="00BD2C49"/>
    <w:rsid w:val="00BD3B2B"/>
    <w:rsid w:val="00BD75BC"/>
    <w:rsid w:val="00BD7E37"/>
    <w:rsid w:val="00BE1150"/>
    <w:rsid w:val="00BE461E"/>
    <w:rsid w:val="00BE6976"/>
    <w:rsid w:val="00BF3224"/>
    <w:rsid w:val="00BF3B9E"/>
    <w:rsid w:val="00BF3F53"/>
    <w:rsid w:val="00C00118"/>
    <w:rsid w:val="00C00963"/>
    <w:rsid w:val="00C05346"/>
    <w:rsid w:val="00C054F8"/>
    <w:rsid w:val="00C06BA1"/>
    <w:rsid w:val="00C06DD2"/>
    <w:rsid w:val="00C07114"/>
    <w:rsid w:val="00C10FA4"/>
    <w:rsid w:val="00C11366"/>
    <w:rsid w:val="00C14AD3"/>
    <w:rsid w:val="00C15748"/>
    <w:rsid w:val="00C15BB3"/>
    <w:rsid w:val="00C17E30"/>
    <w:rsid w:val="00C20C5A"/>
    <w:rsid w:val="00C21553"/>
    <w:rsid w:val="00C24A8C"/>
    <w:rsid w:val="00C302FF"/>
    <w:rsid w:val="00C3099D"/>
    <w:rsid w:val="00C311AF"/>
    <w:rsid w:val="00C31D3E"/>
    <w:rsid w:val="00C41A11"/>
    <w:rsid w:val="00C4699E"/>
    <w:rsid w:val="00C46D6B"/>
    <w:rsid w:val="00C52836"/>
    <w:rsid w:val="00C53C23"/>
    <w:rsid w:val="00C5638A"/>
    <w:rsid w:val="00C57E85"/>
    <w:rsid w:val="00C626C9"/>
    <w:rsid w:val="00C628F1"/>
    <w:rsid w:val="00C62EA4"/>
    <w:rsid w:val="00C6564C"/>
    <w:rsid w:val="00C67813"/>
    <w:rsid w:val="00C70CE7"/>
    <w:rsid w:val="00C71BB4"/>
    <w:rsid w:val="00C71BD8"/>
    <w:rsid w:val="00C730AF"/>
    <w:rsid w:val="00C73A8B"/>
    <w:rsid w:val="00C74186"/>
    <w:rsid w:val="00C767E0"/>
    <w:rsid w:val="00C769F1"/>
    <w:rsid w:val="00C778B5"/>
    <w:rsid w:val="00C80463"/>
    <w:rsid w:val="00C80513"/>
    <w:rsid w:val="00C810DC"/>
    <w:rsid w:val="00C83F6B"/>
    <w:rsid w:val="00C85B47"/>
    <w:rsid w:val="00C91F21"/>
    <w:rsid w:val="00C92E3F"/>
    <w:rsid w:val="00C93EE4"/>
    <w:rsid w:val="00C959E3"/>
    <w:rsid w:val="00CA0004"/>
    <w:rsid w:val="00CA041E"/>
    <w:rsid w:val="00CA6F05"/>
    <w:rsid w:val="00CA77BF"/>
    <w:rsid w:val="00CB1CF7"/>
    <w:rsid w:val="00CC081F"/>
    <w:rsid w:val="00CC1A66"/>
    <w:rsid w:val="00CC4C27"/>
    <w:rsid w:val="00CD25D8"/>
    <w:rsid w:val="00CD2890"/>
    <w:rsid w:val="00CD4BF2"/>
    <w:rsid w:val="00CD517D"/>
    <w:rsid w:val="00CD73C1"/>
    <w:rsid w:val="00CE22E6"/>
    <w:rsid w:val="00CE4508"/>
    <w:rsid w:val="00CF0BAE"/>
    <w:rsid w:val="00CF377E"/>
    <w:rsid w:val="00CF4CA8"/>
    <w:rsid w:val="00CF55A6"/>
    <w:rsid w:val="00CF6479"/>
    <w:rsid w:val="00CF7203"/>
    <w:rsid w:val="00CF7627"/>
    <w:rsid w:val="00D00C3E"/>
    <w:rsid w:val="00D00D61"/>
    <w:rsid w:val="00D037E4"/>
    <w:rsid w:val="00D03892"/>
    <w:rsid w:val="00D04775"/>
    <w:rsid w:val="00D05938"/>
    <w:rsid w:val="00D05D74"/>
    <w:rsid w:val="00D066C4"/>
    <w:rsid w:val="00D06DE6"/>
    <w:rsid w:val="00D10E25"/>
    <w:rsid w:val="00D140C0"/>
    <w:rsid w:val="00D14C5B"/>
    <w:rsid w:val="00D22AEF"/>
    <w:rsid w:val="00D244C8"/>
    <w:rsid w:val="00D268BA"/>
    <w:rsid w:val="00D31069"/>
    <w:rsid w:val="00D34409"/>
    <w:rsid w:val="00D41EF0"/>
    <w:rsid w:val="00D426EC"/>
    <w:rsid w:val="00D42DA9"/>
    <w:rsid w:val="00D45A36"/>
    <w:rsid w:val="00D47C4D"/>
    <w:rsid w:val="00D53480"/>
    <w:rsid w:val="00D53920"/>
    <w:rsid w:val="00D55A42"/>
    <w:rsid w:val="00D633C1"/>
    <w:rsid w:val="00D637D0"/>
    <w:rsid w:val="00D66197"/>
    <w:rsid w:val="00D73044"/>
    <w:rsid w:val="00D76A34"/>
    <w:rsid w:val="00D774BB"/>
    <w:rsid w:val="00D80732"/>
    <w:rsid w:val="00D81D52"/>
    <w:rsid w:val="00D823C5"/>
    <w:rsid w:val="00D876A5"/>
    <w:rsid w:val="00D910D0"/>
    <w:rsid w:val="00D93794"/>
    <w:rsid w:val="00D950B8"/>
    <w:rsid w:val="00D952B3"/>
    <w:rsid w:val="00D95A99"/>
    <w:rsid w:val="00D96C52"/>
    <w:rsid w:val="00DA6FE6"/>
    <w:rsid w:val="00DA7873"/>
    <w:rsid w:val="00DB1795"/>
    <w:rsid w:val="00DB56FD"/>
    <w:rsid w:val="00DB798F"/>
    <w:rsid w:val="00DC02D5"/>
    <w:rsid w:val="00DC1CB3"/>
    <w:rsid w:val="00DC2AEC"/>
    <w:rsid w:val="00DC6EDE"/>
    <w:rsid w:val="00DC6F7C"/>
    <w:rsid w:val="00DD0C42"/>
    <w:rsid w:val="00DD18A2"/>
    <w:rsid w:val="00DD28E9"/>
    <w:rsid w:val="00DD7247"/>
    <w:rsid w:val="00DE075F"/>
    <w:rsid w:val="00DE097B"/>
    <w:rsid w:val="00DE3A64"/>
    <w:rsid w:val="00DE4798"/>
    <w:rsid w:val="00DE58F1"/>
    <w:rsid w:val="00DE6225"/>
    <w:rsid w:val="00DF51D0"/>
    <w:rsid w:val="00E01C98"/>
    <w:rsid w:val="00E057D1"/>
    <w:rsid w:val="00E07E88"/>
    <w:rsid w:val="00E13063"/>
    <w:rsid w:val="00E144A6"/>
    <w:rsid w:val="00E14D91"/>
    <w:rsid w:val="00E15050"/>
    <w:rsid w:val="00E17097"/>
    <w:rsid w:val="00E17CA7"/>
    <w:rsid w:val="00E215DB"/>
    <w:rsid w:val="00E23E78"/>
    <w:rsid w:val="00E24875"/>
    <w:rsid w:val="00E269E4"/>
    <w:rsid w:val="00E31D0B"/>
    <w:rsid w:val="00E359B5"/>
    <w:rsid w:val="00E403F4"/>
    <w:rsid w:val="00E4194F"/>
    <w:rsid w:val="00E41DFC"/>
    <w:rsid w:val="00E4291B"/>
    <w:rsid w:val="00E42B10"/>
    <w:rsid w:val="00E42F37"/>
    <w:rsid w:val="00E52FE9"/>
    <w:rsid w:val="00E54C47"/>
    <w:rsid w:val="00E60145"/>
    <w:rsid w:val="00E60C49"/>
    <w:rsid w:val="00E61230"/>
    <w:rsid w:val="00E62EE8"/>
    <w:rsid w:val="00E63E85"/>
    <w:rsid w:val="00E72099"/>
    <w:rsid w:val="00E7226E"/>
    <w:rsid w:val="00E755F4"/>
    <w:rsid w:val="00E76916"/>
    <w:rsid w:val="00E83647"/>
    <w:rsid w:val="00E868DF"/>
    <w:rsid w:val="00E95976"/>
    <w:rsid w:val="00EA0753"/>
    <w:rsid w:val="00EA1828"/>
    <w:rsid w:val="00EA1D58"/>
    <w:rsid w:val="00EA728D"/>
    <w:rsid w:val="00EB0C53"/>
    <w:rsid w:val="00EB1CED"/>
    <w:rsid w:val="00EB5F69"/>
    <w:rsid w:val="00EB700A"/>
    <w:rsid w:val="00EC06B7"/>
    <w:rsid w:val="00EC2BE4"/>
    <w:rsid w:val="00EC33DA"/>
    <w:rsid w:val="00EC34C0"/>
    <w:rsid w:val="00EC7618"/>
    <w:rsid w:val="00EC77E2"/>
    <w:rsid w:val="00ED25A3"/>
    <w:rsid w:val="00ED3B93"/>
    <w:rsid w:val="00ED3BBB"/>
    <w:rsid w:val="00ED4D8D"/>
    <w:rsid w:val="00ED58A8"/>
    <w:rsid w:val="00ED6681"/>
    <w:rsid w:val="00EE10FE"/>
    <w:rsid w:val="00EE1ED5"/>
    <w:rsid w:val="00EE2C6C"/>
    <w:rsid w:val="00EE4799"/>
    <w:rsid w:val="00EE6F2A"/>
    <w:rsid w:val="00EF08D1"/>
    <w:rsid w:val="00F01BC2"/>
    <w:rsid w:val="00F0258D"/>
    <w:rsid w:val="00F05437"/>
    <w:rsid w:val="00F17A84"/>
    <w:rsid w:val="00F2446B"/>
    <w:rsid w:val="00F244C9"/>
    <w:rsid w:val="00F24DD1"/>
    <w:rsid w:val="00F26E2F"/>
    <w:rsid w:val="00F27258"/>
    <w:rsid w:val="00F3054E"/>
    <w:rsid w:val="00F32831"/>
    <w:rsid w:val="00F36A0A"/>
    <w:rsid w:val="00F37B31"/>
    <w:rsid w:val="00F4094B"/>
    <w:rsid w:val="00F43CFC"/>
    <w:rsid w:val="00F447D9"/>
    <w:rsid w:val="00F501DB"/>
    <w:rsid w:val="00F50630"/>
    <w:rsid w:val="00F569C8"/>
    <w:rsid w:val="00F571ED"/>
    <w:rsid w:val="00F57C6F"/>
    <w:rsid w:val="00F7372F"/>
    <w:rsid w:val="00F7374B"/>
    <w:rsid w:val="00F7383E"/>
    <w:rsid w:val="00F74BF7"/>
    <w:rsid w:val="00F75B63"/>
    <w:rsid w:val="00F76D8E"/>
    <w:rsid w:val="00F800D3"/>
    <w:rsid w:val="00F82995"/>
    <w:rsid w:val="00F84FBE"/>
    <w:rsid w:val="00F86A9D"/>
    <w:rsid w:val="00F870CE"/>
    <w:rsid w:val="00F943B6"/>
    <w:rsid w:val="00F94471"/>
    <w:rsid w:val="00FA0F77"/>
    <w:rsid w:val="00FA5121"/>
    <w:rsid w:val="00FA6340"/>
    <w:rsid w:val="00FA7F75"/>
    <w:rsid w:val="00FB167C"/>
    <w:rsid w:val="00FB1718"/>
    <w:rsid w:val="00FB453A"/>
    <w:rsid w:val="00FC08EA"/>
    <w:rsid w:val="00FC1977"/>
    <w:rsid w:val="00FC2394"/>
    <w:rsid w:val="00FC4508"/>
    <w:rsid w:val="00FD3ADA"/>
    <w:rsid w:val="00FD516E"/>
    <w:rsid w:val="00FE23C2"/>
    <w:rsid w:val="00FE2F8A"/>
    <w:rsid w:val="00FF08C2"/>
    <w:rsid w:val="00FF1013"/>
    <w:rsid w:val="00FF1144"/>
    <w:rsid w:val="00FF573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48"/>
  </w:style>
  <w:style w:type="paragraph" w:styleId="Ttulo1">
    <w:name w:val="heading 1"/>
    <w:basedOn w:val="Normal"/>
    <w:next w:val="Normal"/>
    <w:link w:val="Ttulo1Car"/>
    <w:uiPriority w:val="9"/>
    <w:qFormat/>
    <w:rsid w:val="00283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2836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401EEA"/>
    <w:pPr>
      <w:keepNext/>
      <w:spacing w:before="240" w:after="60" w:line="276" w:lineRule="auto"/>
      <w:ind w:left="720" w:hanging="720"/>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qFormat/>
    <w:rsid w:val="00401EEA"/>
    <w:pPr>
      <w:keepNext/>
      <w:spacing w:before="240" w:after="60" w:line="276" w:lineRule="auto"/>
      <w:ind w:left="864" w:hanging="864"/>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401EEA"/>
    <w:pPr>
      <w:spacing w:before="240" w:after="60" w:line="276" w:lineRule="auto"/>
      <w:ind w:left="1008" w:hanging="1008"/>
      <w:outlineLvl w:val="4"/>
    </w:pPr>
    <w:rPr>
      <w:rFonts w:ascii="Calibri" w:eastAsia="Times New Roman" w:hAnsi="Calibri" w:cs="Times New Roman"/>
      <w:b/>
      <w:bCs/>
      <w:i/>
      <w:iCs/>
      <w:sz w:val="26"/>
      <w:szCs w:val="26"/>
      <w:lang w:val="es-ES"/>
    </w:rPr>
  </w:style>
  <w:style w:type="paragraph" w:styleId="Ttulo6">
    <w:name w:val="heading 6"/>
    <w:basedOn w:val="Normal"/>
    <w:next w:val="Normal"/>
    <w:link w:val="Ttulo6Car"/>
    <w:qFormat/>
    <w:rsid w:val="00401EEA"/>
    <w:pPr>
      <w:keepNext/>
      <w:spacing w:after="0" w:line="240" w:lineRule="auto"/>
      <w:ind w:left="1152" w:hanging="1152"/>
      <w:jc w:val="center"/>
      <w:outlineLvl w:val="5"/>
    </w:pPr>
    <w:rPr>
      <w:rFonts w:ascii="Times New Roman" w:eastAsia="Times New Roman" w:hAnsi="Times New Roman" w:cs="Times New Roman"/>
      <w:i/>
      <w:sz w:val="20"/>
      <w:szCs w:val="20"/>
      <w:lang w:val="es-ES" w:eastAsia="es-ES"/>
    </w:rPr>
  </w:style>
  <w:style w:type="paragraph" w:styleId="Ttulo7">
    <w:name w:val="heading 7"/>
    <w:basedOn w:val="Normal"/>
    <w:next w:val="Normal"/>
    <w:link w:val="Ttulo7Car"/>
    <w:qFormat/>
    <w:rsid w:val="00401EEA"/>
    <w:pPr>
      <w:spacing w:before="240" w:after="60" w:line="276" w:lineRule="auto"/>
      <w:ind w:left="1296" w:hanging="1296"/>
      <w:outlineLvl w:val="6"/>
    </w:pPr>
    <w:rPr>
      <w:rFonts w:ascii="Calibri" w:eastAsia="Times New Roman" w:hAnsi="Calibri" w:cs="Times New Roman"/>
      <w:sz w:val="24"/>
      <w:szCs w:val="24"/>
      <w:lang w:val="es-ES"/>
    </w:rPr>
  </w:style>
  <w:style w:type="paragraph" w:styleId="Ttulo8">
    <w:name w:val="heading 8"/>
    <w:basedOn w:val="Normal"/>
    <w:next w:val="Normal"/>
    <w:link w:val="Ttulo8Car"/>
    <w:qFormat/>
    <w:rsid w:val="00401EEA"/>
    <w:pPr>
      <w:spacing w:before="240" w:after="60" w:line="276" w:lineRule="auto"/>
      <w:ind w:left="1440" w:hanging="1440"/>
      <w:outlineLvl w:val="7"/>
    </w:pPr>
    <w:rPr>
      <w:rFonts w:ascii="Calibri" w:eastAsia="Times New Roman" w:hAnsi="Calibri" w:cs="Times New Roman"/>
      <w:i/>
      <w:iCs/>
      <w:sz w:val="24"/>
      <w:szCs w:val="24"/>
      <w:lang w:val="es-ES"/>
    </w:rPr>
  </w:style>
  <w:style w:type="paragraph" w:styleId="Ttulo9">
    <w:name w:val="heading 9"/>
    <w:basedOn w:val="Normal"/>
    <w:next w:val="Normal"/>
    <w:link w:val="Ttulo9Car"/>
    <w:qFormat/>
    <w:rsid w:val="00401EEA"/>
    <w:pPr>
      <w:spacing w:before="240" w:after="60" w:line="276" w:lineRule="auto"/>
      <w:ind w:left="1584" w:hanging="1584"/>
      <w:outlineLvl w:val="8"/>
    </w:pPr>
    <w:rPr>
      <w:rFonts w:ascii="Cambria" w:eastAsia="Times New Roman" w:hAnsi="Cambria"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6B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836BF"/>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2836BF"/>
    <w:pPr>
      <w:spacing w:after="120"/>
    </w:pPr>
  </w:style>
  <w:style w:type="character" w:customStyle="1" w:styleId="TextoindependienteCar">
    <w:name w:val="Texto independiente Car"/>
    <w:basedOn w:val="Fuentedeprrafopredeter"/>
    <w:link w:val="Textoindependiente"/>
    <w:uiPriority w:val="99"/>
    <w:rsid w:val="002836BF"/>
  </w:style>
  <w:style w:type="character" w:customStyle="1" w:styleId="A1">
    <w:name w:val="A1"/>
    <w:uiPriority w:val="99"/>
    <w:rsid w:val="00C92E3F"/>
    <w:rPr>
      <w:rFonts w:cs="Optimum"/>
      <w:color w:val="000000"/>
      <w:sz w:val="18"/>
      <w:szCs w:val="18"/>
    </w:rPr>
  </w:style>
  <w:style w:type="paragraph" w:styleId="Prrafodelista">
    <w:name w:val="List Paragraph"/>
    <w:basedOn w:val="Normal"/>
    <w:uiPriority w:val="34"/>
    <w:qFormat/>
    <w:rsid w:val="00F7372F"/>
    <w:pPr>
      <w:ind w:left="720"/>
      <w:contextualSpacing/>
    </w:pPr>
  </w:style>
  <w:style w:type="paragraph" w:styleId="Sinespaciado">
    <w:name w:val="No Spacing"/>
    <w:uiPriority w:val="1"/>
    <w:qFormat/>
    <w:rsid w:val="00157AF0"/>
    <w:pPr>
      <w:spacing w:after="0" w:line="240" w:lineRule="auto"/>
    </w:pPr>
    <w:rPr>
      <w:rFonts w:eastAsiaTheme="minorEastAsia"/>
      <w:lang w:eastAsia="es-CO"/>
    </w:rPr>
  </w:style>
  <w:style w:type="character" w:styleId="Textodelmarcadordeposicin">
    <w:name w:val="Placeholder Text"/>
    <w:basedOn w:val="Fuentedeprrafopredeter"/>
    <w:uiPriority w:val="99"/>
    <w:semiHidden/>
    <w:rsid w:val="00042927"/>
    <w:rPr>
      <w:color w:val="808080"/>
    </w:rPr>
  </w:style>
  <w:style w:type="paragraph" w:styleId="Encabezado">
    <w:name w:val="header"/>
    <w:basedOn w:val="Normal"/>
    <w:link w:val="EncabezadoCar"/>
    <w:uiPriority w:val="99"/>
    <w:unhideWhenUsed/>
    <w:rsid w:val="008A5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F08"/>
  </w:style>
  <w:style w:type="paragraph" w:styleId="Piedepgina">
    <w:name w:val="footer"/>
    <w:basedOn w:val="Normal"/>
    <w:link w:val="PiedepginaCar"/>
    <w:uiPriority w:val="99"/>
    <w:unhideWhenUsed/>
    <w:rsid w:val="008A5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F08"/>
  </w:style>
  <w:style w:type="table" w:styleId="Tablaconcuadrcula">
    <w:name w:val="Table Grid"/>
    <w:basedOn w:val="Tablanormal"/>
    <w:uiPriority w:val="39"/>
    <w:rsid w:val="00F84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57E85"/>
    <w:rPr>
      <w:sz w:val="16"/>
      <w:szCs w:val="16"/>
    </w:rPr>
  </w:style>
  <w:style w:type="paragraph" w:styleId="Textocomentario">
    <w:name w:val="annotation text"/>
    <w:basedOn w:val="Normal"/>
    <w:link w:val="TextocomentarioCar"/>
    <w:uiPriority w:val="99"/>
    <w:semiHidden/>
    <w:unhideWhenUsed/>
    <w:rsid w:val="00C57E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E85"/>
    <w:rPr>
      <w:sz w:val="20"/>
      <w:szCs w:val="20"/>
    </w:rPr>
  </w:style>
  <w:style w:type="paragraph" w:styleId="Asuntodelcomentario">
    <w:name w:val="annotation subject"/>
    <w:basedOn w:val="Textocomentario"/>
    <w:next w:val="Textocomentario"/>
    <w:link w:val="AsuntodelcomentarioCar"/>
    <w:uiPriority w:val="99"/>
    <w:semiHidden/>
    <w:unhideWhenUsed/>
    <w:rsid w:val="00C57E85"/>
    <w:rPr>
      <w:b/>
      <w:bCs/>
    </w:rPr>
  </w:style>
  <w:style w:type="character" w:customStyle="1" w:styleId="AsuntodelcomentarioCar">
    <w:name w:val="Asunto del comentario Car"/>
    <w:basedOn w:val="TextocomentarioCar"/>
    <w:link w:val="Asuntodelcomentario"/>
    <w:uiPriority w:val="99"/>
    <w:semiHidden/>
    <w:rsid w:val="00C57E85"/>
    <w:rPr>
      <w:b/>
      <w:bCs/>
      <w:sz w:val="20"/>
      <w:szCs w:val="20"/>
    </w:rPr>
  </w:style>
  <w:style w:type="paragraph" w:styleId="Textodeglobo">
    <w:name w:val="Balloon Text"/>
    <w:basedOn w:val="Normal"/>
    <w:link w:val="TextodegloboCar"/>
    <w:uiPriority w:val="99"/>
    <w:semiHidden/>
    <w:unhideWhenUsed/>
    <w:rsid w:val="00C57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E85"/>
    <w:rPr>
      <w:rFonts w:ascii="Segoe UI" w:hAnsi="Segoe UI" w:cs="Segoe UI"/>
      <w:sz w:val="18"/>
      <w:szCs w:val="18"/>
    </w:rPr>
  </w:style>
  <w:style w:type="character" w:customStyle="1" w:styleId="Ttulo3Car">
    <w:name w:val="Título 3 Car"/>
    <w:basedOn w:val="Fuentedeprrafopredeter"/>
    <w:link w:val="Ttulo3"/>
    <w:rsid w:val="00401EEA"/>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401EEA"/>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401EEA"/>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401EEA"/>
    <w:rPr>
      <w:rFonts w:ascii="Times New Roman" w:eastAsia="Times New Roman" w:hAnsi="Times New Roman" w:cs="Times New Roman"/>
      <w:i/>
      <w:sz w:val="20"/>
      <w:szCs w:val="20"/>
      <w:lang w:val="es-ES" w:eastAsia="es-ES"/>
    </w:rPr>
  </w:style>
  <w:style w:type="character" w:customStyle="1" w:styleId="Ttulo7Car">
    <w:name w:val="Título 7 Car"/>
    <w:basedOn w:val="Fuentedeprrafopredeter"/>
    <w:link w:val="Ttulo7"/>
    <w:rsid w:val="00401EEA"/>
    <w:rPr>
      <w:rFonts w:ascii="Calibri" w:eastAsia="Times New Roman" w:hAnsi="Calibri" w:cs="Times New Roman"/>
      <w:sz w:val="24"/>
      <w:szCs w:val="24"/>
      <w:lang w:val="es-ES"/>
    </w:rPr>
  </w:style>
  <w:style w:type="character" w:customStyle="1" w:styleId="Ttulo8Car">
    <w:name w:val="Título 8 Car"/>
    <w:basedOn w:val="Fuentedeprrafopredeter"/>
    <w:link w:val="Ttulo8"/>
    <w:rsid w:val="00401EEA"/>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401EEA"/>
    <w:rPr>
      <w:rFonts w:ascii="Cambria" w:eastAsia="Times New Roman" w:hAnsi="Cambria" w:cs="Times New Roman"/>
      <w:lang w:val="es-ES"/>
    </w:rPr>
  </w:style>
  <w:style w:type="paragraph" w:styleId="Revisin">
    <w:name w:val="Revision"/>
    <w:hidden/>
    <w:uiPriority w:val="99"/>
    <w:semiHidden/>
    <w:rsid w:val="00AC047C"/>
    <w:pPr>
      <w:spacing w:after="0" w:line="240" w:lineRule="auto"/>
    </w:pPr>
  </w:style>
  <w:style w:type="paragraph" w:customStyle="1" w:styleId="noindent">
    <w:name w:val="noindent"/>
    <w:basedOn w:val="Normal"/>
    <w:rsid w:val="00EC06B7"/>
    <w:pPr>
      <w:spacing w:before="100" w:beforeAutospacing="1" w:after="100" w:afterAutospacing="1" w:line="240" w:lineRule="auto"/>
    </w:pPr>
    <w:rPr>
      <w:rFonts w:ascii="Times" w:eastAsiaTheme="minorEastAsia" w:hAnsi="Times"/>
      <w:sz w:val="24"/>
      <w:szCs w:val="24"/>
      <w:lang w:val="en-US"/>
    </w:rPr>
  </w:style>
  <w:style w:type="character" w:styleId="Hipervnculo">
    <w:name w:val="Hyperlink"/>
    <w:basedOn w:val="Fuentedeprrafopredeter"/>
    <w:uiPriority w:val="99"/>
    <w:unhideWhenUsed/>
    <w:rsid w:val="00EC06B7"/>
    <w:rPr>
      <w:color w:val="0000FF"/>
      <w:u w:val="single"/>
    </w:rPr>
  </w:style>
  <w:style w:type="character" w:styleId="Nmerodelnea">
    <w:name w:val="line number"/>
    <w:basedOn w:val="Fuentedeprrafopredeter"/>
    <w:uiPriority w:val="99"/>
    <w:semiHidden/>
    <w:unhideWhenUsed/>
    <w:rsid w:val="000A43C5"/>
  </w:style>
  <w:style w:type="paragraph" w:customStyle="1" w:styleId="xmsonormal">
    <w:name w:val="x_msonormal"/>
    <w:basedOn w:val="Normal"/>
    <w:rsid w:val="006C43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C4339"/>
  </w:style>
  <w:style w:type="paragraph" w:customStyle="1" w:styleId="Default">
    <w:name w:val="Default"/>
    <w:rsid w:val="00DB56FD"/>
    <w:pPr>
      <w:autoSpaceDE w:val="0"/>
      <w:autoSpaceDN w:val="0"/>
      <w:adjustRightInd w:val="0"/>
      <w:spacing w:after="0" w:line="240" w:lineRule="auto"/>
    </w:pPr>
    <w:rPr>
      <w:rFonts w:ascii="ITC Legacy Sans Std Book" w:hAnsi="ITC Legacy Sans Std Book" w:cs="ITC Legacy Sans Std Book"/>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584522">
      <w:bodyDiv w:val="1"/>
      <w:marLeft w:val="0"/>
      <w:marRight w:val="0"/>
      <w:marTop w:val="0"/>
      <w:marBottom w:val="0"/>
      <w:divBdr>
        <w:top w:val="none" w:sz="0" w:space="0" w:color="auto"/>
        <w:left w:val="none" w:sz="0" w:space="0" w:color="auto"/>
        <w:bottom w:val="none" w:sz="0" w:space="0" w:color="auto"/>
        <w:right w:val="none" w:sz="0" w:space="0" w:color="auto"/>
      </w:divBdr>
    </w:div>
    <w:div w:id="925649541">
      <w:bodyDiv w:val="1"/>
      <w:marLeft w:val="0"/>
      <w:marRight w:val="0"/>
      <w:marTop w:val="0"/>
      <w:marBottom w:val="0"/>
      <w:divBdr>
        <w:top w:val="none" w:sz="0" w:space="0" w:color="auto"/>
        <w:left w:val="none" w:sz="0" w:space="0" w:color="auto"/>
        <w:bottom w:val="none" w:sz="0" w:space="0" w:color="auto"/>
        <w:right w:val="none" w:sz="0" w:space="0" w:color="auto"/>
      </w:divBdr>
    </w:div>
    <w:div w:id="140274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mbatista05@gmail.com"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cala@uis.edu.co"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Universidad\Maestria\articulos\Vinaza\Resultados\Resultads%20VN.xlsx"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C:\Users\Wz\Downloads\DATOS%20DE%20MEDICIONES%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niversidad\Maestria\articulos\Vinaza\Resultados\Resultads%20V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niversidad\Maestria\articulos\Vinaza\Resultados\Resultads%20V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niversidad\Maestria\articulos\Vinaza\Resultados\Resultads%20V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niversidad\Maestria\articulos\Vinaza\Resultados\DATOS%20DE%20MEDIC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barChart>
        <c:barDir val="col"/>
        <c:grouping val="clustered"/>
        <c:ser>
          <c:idx val="0"/>
          <c:order val="0"/>
          <c:tx>
            <c:strRef>
              <c:f>Normalizado!$W$21</c:f>
              <c:strCache>
                <c:ptCount val="1"/>
                <c:pt idx="0">
                  <c:v>SMP (m3 CH4/kg VS)</c:v>
                </c:pt>
              </c:strCache>
            </c:strRef>
          </c:tx>
          <c:spPr>
            <a:solidFill>
              <a:schemeClr val="accent1"/>
            </a:solidFill>
            <a:ln>
              <a:noFill/>
            </a:ln>
            <a:effectLst/>
          </c:spPr>
          <c:dPt>
            <c:idx val="0"/>
            <c:spPr>
              <a:solidFill>
                <a:schemeClr val="tx1"/>
              </a:solidFill>
              <a:ln>
                <a:noFill/>
              </a:ln>
              <a:effectLst/>
            </c:spPr>
            <c:extLst xmlns:c16r2="http://schemas.microsoft.com/office/drawing/2015/06/chart">
              <c:ext xmlns:c16="http://schemas.microsoft.com/office/drawing/2014/chart" uri="{C3380CC4-5D6E-409C-BE32-E72D297353CC}">
                <c16:uniqueId val="{00000000-97F8-496A-85B9-49046DCF55CF}"/>
              </c:ext>
            </c:extLst>
          </c:dPt>
          <c:dPt>
            <c:idx val="1"/>
            <c:spPr>
              <a:blipFill>
                <a:blip xmlns:r="http://schemas.openxmlformats.org/officeDocument/2006/relationships" r:embed="rId1"/>
                <a:tile tx="0" ty="0" sx="100000" sy="100000" flip="none" algn="tl"/>
              </a:blipFill>
              <a:ln>
                <a:solidFill>
                  <a:sysClr val="windowText" lastClr="000000"/>
                </a:solidFill>
              </a:ln>
              <a:effectLst/>
            </c:spPr>
            <c:extLst xmlns:c16r2="http://schemas.microsoft.com/office/drawing/2015/06/chart">
              <c:ext xmlns:c16="http://schemas.microsoft.com/office/drawing/2014/chart" uri="{C3380CC4-5D6E-409C-BE32-E72D297353CC}">
                <c16:uniqueId val="{00000001-97F8-496A-85B9-49046DCF55CF}"/>
              </c:ext>
            </c:extLst>
          </c:dPt>
          <c:dPt>
            <c:idx val="2"/>
            <c:spPr>
              <a:blipFill>
                <a:blip xmlns:r="http://schemas.openxmlformats.org/officeDocument/2006/relationships" r:embed="rId2"/>
                <a:tile tx="0" ty="0" sx="100000" sy="100000" flip="none" algn="tl"/>
              </a:blipFill>
              <a:ln>
                <a:solidFill>
                  <a:sysClr val="windowText" lastClr="000000"/>
                </a:solidFill>
              </a:ln>
              <a:effectLst/>
            </c:spPr>
            <c:extLst xmlns:c16r2="http://schemas.microsoft.com/office/drawing/2015/06/chart">
              <c:ext xmlns:c16="http://schemas.microsoft.com/office/drawing/2014/chart" uri="{C3380CC4-5D6E-409C-BE32-E72D297353CC}">
                <c16:uniqueId val="{00000002-97F8-496A-85B9-49046DCF55CF}"/>
              </c:ext>
            </c:extLst>
          </c:dPt>
          <c:dPt>
            <c:idx val="3"/>
            <c:spPr>
              <a:solidFill>
                <a:schemeClr val="bg1">
                  <a:lumMod val="50000"/>
                </a:schemeClr>
              </a:solidFill>
              <a:ln>
                <a:noFill/>
              </a:ln>
              <a:effectLst/>
            </c:spPr>
            <c:extLst xmlns:c16r2="http://schemas.microsoft.com/office/drawing/2015/06/chart">
              <c:ext xmlns:c16="http://schemas.microsoft.com/office/drawing/2014/chart" uri="{C3380CC4-5D6E-409C-BE32-E72D297353CC}">
                <c16:uniqueId val="{00000003-97F8-496A-85B9-49046DCF55CF}"/>
              </c:ext>
            </c:extLst>
          </c:dPt>
          <c:dLbls>
            <c:dLbl>
              <c:idx val="0"/>
              <c:layout>
                <c:manualLayout>
                  <c:x val="0"/>
                  <c:y val="-2.314814814814818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7F8-496A-85B9-49046DCF55CF}"/>
                </c:ext>
              </c:extLst>
            </c:dLbl>
            <c:dLbl>
              <c:idx val="1"/>
              <c:layout>
                <c:manualLayout>
                  <c:x val="0"/>
                  <c:y val="-9.2592592592593941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7F8-496A-85B9-49046DCF55CF}"/>
                </c:ext>
              </c:extLst>
            </c:dLbl>
            <c:dLbl>
              <c:idx val="2"/>
              <c:layout>
                <c:manualLayout>
                  <c:x val="0"/>
                  <c:y val="-1.38888888888890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7F8-496A-85B9-49046DCF55CF}"/>
                </c:ext>
              </c:extLst>
            </c:dLbl>
            <c:dLbl>
              <c:idx val="3"/>
              <c:layout>
                <c:manualLayout>
                  <c:x val="-2.0370135052832583E-16"/>
                  <c:y val="-1.388888888888903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7F8-496A-85B9-49046DCF55CF}"/>
                </c:ext>
              </c:extLst>
            </c:dLbl>
            <c:spPr>
              <a:noFill/>
              <a:ln>
                <a:noFill/>
              </a:ln>
              <a:effectLst/>
            </c:spPr>
            <c:txPr>
              <a:bodyPr rot="0" spcFirstLastPara="1" vertOverflow="ellipsis" vert="horz" wrap="square" lIns="38100" tIns="19050" rIns="38100" bIns="19050" anchor="ctr" anchorCtr="1">
                <a:spAutoFit/>
              </a:bodyPr>
              <a:lstStyle/>
              <a:p>
                <a:pPr>
                  <a:defRPr lang="es-CO" sz="900" b="0" i="0" u="none" strike="noStrike" kern="1200" baseline="0">
                    <a:solidFill>
                      <a:sysClr val="windowText" lastClr="000000"/>
                    </a:solidFill>
                    <a:latin typeface="+mn-lt"/>
                    <a:ea typeface="+mn-ea"/>
                    <a:cs typeface="+mn-cs"/>
                  </a:defRPr>
                </a:pPr>
                <a:endParaRPr lang="es-CO"/>
              </a:p>
            </c:txPr>
            <c:dLblPos val="outEnd"/>
            <c:showVal val="1"/>
            <c:extLst xmlns:c16r2="http://schemas.microsoft.com/office/drawing/2015/06/char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errBars>
            <c:errBarType val="both"/>
            <c:errValType val="cust"/>
            <c:plus>
              <c:numRef>
                <c:f>Normalizado!$Y$22:$Y$25</c:f>
                <c:numCache>
                  <c:formatCode>General</c:formatCode>
                  <c:ptCount val="4"/>
                  <c:pt idx="0">
                    <c:v>4.7580053537493422E-2</c:v>
                  </c:pt>
                  <c:pt idx="1">
                    <c:v>1.5596827000764701E-2</c:v>
                  </c:pt>
                  <c:pt idx="2">
                    <c:v>2.150383867591343E-2</c:v>
                  </c:pt>
                  <c:pt idx="3">
                    <c:v>2.2981760102134791E-2</c:v>
                  </c:pt>
                </c:numCache>
              </c:numRef>
            </c:plus>
            <c:minus>
              <c:numRef>
                <c:f>Normalizado!$Y$22:$Y$25</c:f>
                <c:numCache>
                  <c:formatCode>General</c:formatCode>
                  <c:ptCount val="4"/>
                  <c:pt idx="0">
                    <c:v>4.7580053537493422E-2</c:v>
                  </c:pt>
                  <c:pt idx="1">
                    <c:v>1.5596827000764701E-2</c:v>
                  </c:pt>
                  <c:pt idx="2">
                    <c:v>2.150383867591343E-2</c:v>
                  </c:pt>
                  <c:pt idx="3">
                    <c:v>2.2981760102134791E-2</c:v>
                  </c:pt>
                </c:numCache>
              </c:numRef>
            </c:minus>
            <c:spPr>
              <a:noFill/>
              <a:ln w="12700" cap="flat" cmpd="sng" algn="ctr">
                <a:solidFill>
                  <a:schemeClr val="tx1"/>
                </a:solidFill>
                <a:round/>
              </a:ln>
              <a:effectLst/>
            </c:spPr>
          </c:errBars>
          <c:cat>
            <c:strRef>
              <c:f>Normalizado!$V$22:$V$25</c:f>
              <c:strCache>
                <c:ptCount val="4"/>
                <c:pt idx="0">
                  <c:v>V:CM 1:0</c:v>
                </c:pt>
                <c:pt idx="1">
                  <c:v>V:CM 3:1</c:v>
                </c:pt>
                <c:pt idx="2">
                  <c:v>V:CM 1:3</c:v>
                </c:pt>
                <c:pt idx="3">
                  <c:v>V:CM 0:1</c:v>
                </c:pt>
              </c:strCache>
            </c:strRef>
          </c:cat>
          <c:val>
            <c:numRef>
              <c:f>Normalizado!$W$22:$W$25</c:f>
              <c:numCache>
                <c:formatCode>0.00</c:formatCode>
                <c:ptCount val="4"/>
                <c:pt idx="0">
                  <c:v>0.43304331151665937</c:v>
                </c:pt>
                <c:pt idx="1">
                  <c:v>0.65000000000000469</c:v>
                </c:pt>
                <c:pt idx="2">
                  <c:v>0.56295630497165128</c:v>
                </c:pt>
                <c:pt idx="3">
                  <c:v>0.39000000000000223</c:v>
                </c:pt>
              </c:numCache>
            </c:numRef>
          </c:val>
          <c:extLst xmlns:c16r2="http://schemas.microsoft.com/office/drawing/2015/06/chart">
            <c:ext xmlns:c16="http://schemas.microsoft.com/office/drawing/2014/chart" uri="{C3380CC4-5D6E-409C-BE32-E72D297353CC}">
              <c16:uniqueId val="{00000004-97F8-496A-85B9-49046DCF55CF}"/>
            </c:ext>
          </c:extLst>
        </c:ser>
        <c:dLbls>
          <c:showVal val="1"/>
        </c:dLbls>
        <c:gapWidth val="267"/>
        <c:overlap val="-43"/>
        <c:axId val="74810112"/>
        <c:axId val="74812032"/>
      </c:barChart>
      <c:catAx>
        <c:axId val="74810112"/>
        <c:scaling>
          <c:orientation val="minMax"/>
        </c:scaling>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s-CO" sz="900" b="1" i="0" u="none" strike="noStrike" kern="1200" baseline="0">
                    <a:solidFill>
                      <a:sysClr val="windowText" lastClr="000000"/>
                    </a:solidFill>
                    <a:latin typeface="+mn-lt"/>
                    <a:ea typeface="+mn-ea"/>
                    <a:cs typeface="+mn-cs"/>
                  </a:defRPr>
                </a:pPr>
                <a:r>
                  <a:rPr lang="es-CO">
                    <a:solidFill>
                      <a:sysClr val="windowText" lastClr="000000"/>
                    </a:solidFill>
                  </a:rPr>
                  <a:t>V to CM</a:t>
                </a:r>
                <a:r>
                  <a:rPr lang="es-CO" baseline="0">
                    <a:solidFill>
                      <a:sysClr val="windowText" lastClr="000000"/>
                    </a:solidFill>
                  </a:rPr>
                  <a:t> mixture </a:t>
                </a:r>
                <a:r>
                  <a:rPr lang="es-CO">
                    <a:solidFill>
                      <a:sysClr val="windowText" lastClr="000000"/>
                    </a:solidFill>
                  </a:rPr>
                  <a:t>ratio</a:t>
                </a:r>
              </a:p>
            </c:rich>
          </c:tx>
          <c:layout>
            <c:manualLayout>
              <c:xMode val="edge"/>
              <c:yMode val="edge"/>
              <c:x val="0.43409601924759611"/>
              <c:y val="0.90284703995333915"/>
            </c:manualLayout>
          </c:layout>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s-CO" sz="900" b="0" i="0" u="none" strike="noStrike" kern="1200" cap="none" spc="0" normalizeH="0" baseline="0">
                <a:solidFill>
                  <a:sysClr val="windowText" lastClr="000000"/>
                </a:solidFill>
                <a:latin typeface="+mn-lt"/>
                <a:ea typeface="+mn-ea"/>
                <a:cs typeface="+mn-cs"/>
              </a:defRPr>
            </a:pPr>
            <a:endParaRPr lang="es-CO"/>
          </a:p>
        </c:txPr>
        <c:crossAx val="74812032"/>
        <c:crosses val="autoZero"/>
        <c:auto val="1"/>
        <c:lblAlgn val="ctr"/>
        <c:lblOffset val="100"/>
      </c:catAx>
      <c:valAx>
        <c:axId val="74812032"/>
        <c:scaling>
          <c:orientation val="minMax"/>
        </c:scaling>
        <c:axPos val="l"/>
        <c:title>
          <c:tx>
            <c:rich>
              <a:bodyPr rot="-5400000" spcFirstLastPara="1" vertOverflow="ellipsis" vert="horz" wrap="square" anchor="ctr" anchorCtr="1"/>
              <a:lstStyle/>
              <a:p>
                <a:pPr>
                  <a:defRPr lang="es-CO" sz="900" b="1" i="0" u="none" strike="noStrike" kern="1200" baseline="0">
                    <a:solidFill>
                      <a:sysClr val="windowText" lastClr="000000"/>
                    </a:solidFill>
                    <a:latin typeface="+mn-lt"/>
                    <a:ea typeface="+mn-ea"/>
                    <a:cs typeface="+mn-cs"/>
                  </a:defRPr>
                </a:pPr>
                <a:r>
                  <a:rPr lang="es-CO">
                    <a:solidFill>
                      <a:sysClr val="windowText" lastClr="000000"/>
                    </a:solidFill>
                  </a:rPr>
                  <a:t>SMP (m</a:t>
                </a:r>
                <a:r>
                  <a:rPr lang="es-CO" baseline="30000">
                    <a:solidFill>
                      <a:sysClr val="windowText" lastClr="000000"/>
                    </a:solidFill>
                  </a:rPr>
                  <a:t>3</a:t>
                </a:r>
                <a:r>
                  <a:rPr lang="es-CO">
                    <a:solidFill>
                      <a:sysClr val="windowText" lastClr="000000"/>
                    </a:solidFill>
                  </a:rPr>
                  <a:t>/kg</a:t>
                </a:r>
                <a:r>
                  <a:rPr lang="es-CO" baseline="0">
                    <a:solidFill>
                      <a:sysClr val="windowText" lastClr="000000"/>
                    </a:solidFill>
                  </a:rPr>
                  <a:t> VS)</a:t>
                </a:r>
                <a:endParaRPr lang="es-CO">
                  <a:solidFill>
                    <a:sysClr val="windowText" lastClr="000000"/>
                  </a:solidFill>
                </a:endParaRPr>
              </a:p>
            </c:rich>
          </c:tx>
          <c:layout>
            <c:manualLayout>
              <c:xMode val="edge"/>
              <c:yMode val="edge"/>
              <c:x val="1.388888888888903E-2"/>
              <c:y val="0.27509623797025601"/>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lang="es-CO" sz="900" b="0" i="0" u="none" strike="noStrike" kern="1200" baseline="0">
                <a:solidFill>
                  <a:sysClr val="windowText" lastClr="000000"/>
                </a:solidFill>
                <a:latin typeface="+mn-lt"/>
                <a:ea typeface="+mn-ea"/>
                <a:cs typeface="+mn-cs"/>
              </a:defRPr>
            </a:pPr>
            <a:endParaRPr lang="es-CO"/>
          </a:p>
        </c:txPr>
        <c:crossAx val="74810112"/>
        <c:crosses val="autoZero"/>
        <c:crossBetween val="between"/>
      </c:valAx>
      <c:spPr>
        <a:noFill/>
        <a:ln w="25400">
          <a:noFill/>
        </a:ln>
        <a:effectLst/>
      </c:spPr>
    </c:plotArea>
    <c:plotVisOnly val="1"/>
    <c:dispBlanksAs val="gap"/>
  </c:chart>
  <c:spPr>
    <a:solidFill>
      <a:schemeClr val="lt1"/>
    </a:solidFill>
    <a:ln w="9525" cap="flat" cmpd="sng" algn="ctr">
      <a:noFill/>
      <a:round/>
    </a:ln>
    <a:effectLst/>
  </c:spPr>
  <c:txPr>
    <a:bodyPr/>
    <a:lstStyle/>
    <a:p>
      <a:pPr>
        <a:defRPr/>
      </a:pPr>
      <a:endParaRPr lang="es-CO"/>
    </a:p>
  </c:txPr>
  <c:externalData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7698861255027296"/>
          <c:y val="7.5566291811435815E-2"/>
          <c:w val="0.77771127419945185"/>
          <c:h val="0.73869657285006474"/>
        </c:manualLayout>
      </c:layout>
      <c:scatterChart>
        <c:scatterStyle val="smoothMarker"/>
        <c:ser>
          <c:idx val="0"/>
          <c:order val="0"/>
          <c:tx>
            <c:v>V:CM 1:0</c:v>
          </c:tx>
          <c:spPr>
            <a:ln w="9525">
              <a:solidFill>
                <a:schemeClr val="tx1"/>
              </a:solidFill>
            </a:ln>
          </c:spPr>
          <c:marker>
            <c:symbol val="circle"/>
            <c:size val="3"/>
            <c:spPr>
              <a:solidFill>
                <a:schemeClr val="tx1"/>
              </a:solidFill>
              <a:ln>
                <a:solidFill>
                  <a:schemeClr val="tx1"/>
                </a:solidFill>
              </a:ln>
            </c:spPr>
          </c:marker>
          <c:errBars>
            <c:errDir val="y"/>
            <c:errBarType val="both"/>
            <c:errValType val="cust"/>
            <c:plus>
              <c:numRef>
                <c:f>AZT!$H$23:$H$29</c:f>
                <c:numCache>
                  <c:formatCode>General</c:formatCode>
                  <c:ptCount val="7"/>
                  <c:pt idx="0">
                    <c:v>49.368357440522011</c:v>
                  </c:pt>
                  <c:pt idx="1">
                    <c:v>37.975659569631944</c:v>
                  </c:pt>
                  <c:pt idx="2">
                    <c:v>262.03205103046201</c:v>
                  </c:pt>
                  <c:pt idx="3">
                    <c:v>49.368357440521514</c:v>
                  </c:pt>
                  <c:pt idx="4">
                    <c:v>26.582961698742707</c:v>
                  </c:pt>
                  <c:pt idx="5">
                    <c:v>49.368357440522537</c:v>
                  </c:pt>
                  <c:pt idx="6">
                    <c:v>110.12941275193305</c:v>
                  </c:pt>
                </c:numCache>
              </c:numRef>
            </c:plus>
            <c:minus>
              <c:numRef>
                <c:f>AZT!$H$23:$H$29</c:f>
                <c:numCache>
                  <c:formatCode>General</c:formatCode>
                  <c:ptCount val="7"/>
                  <c:pt idx="0">
                    <c:v>49.368357440522011</c:v>
                  </c:pt>
                  <c:pt idx="1">
                    <c:v>37.975659569631944</c:v>
                  </c:pt>
                  <c:pt idx="2">
                    <c:v>262.03205103046201</c:v>
                  </c:pt>
                  <c:pt idx="3">
                    <c:v>49.368357440521514</c:v>
                  </c:pt>
                  <c:pt idx="4">
                    <c:v>26.582961698742707</c:v>
                  </c:pt>
                  <c:pt idx="5">
                    <c:v>49.368357440522537</c:v>
                  </c:pt>
                  <c:pt idx="6">
                    <c:v>110.12941275193305</c:v>
                  </c:pt>
                </c:numCache>
              </c:numRef>
            </c:minus>
          </c:errBars>
          <c:xVal>
            <c:numRef>
              <c:f>AZT!$R$22:$R$28</c:f>
              <c:numCache>
                <c:formatCode>General</c:formatCode>
                <c:ptCount val="7"/>
                <c:pt idx="0">
                  <c:v>0</c:v>
                </c:pt>
                <c:pt idx="1">
                  <c:v>5</c:v>
                </c:pt>
                <c:pt idx="2">
                  <c:v>10</c:v>
                </c:pt>
                <c:pt idx="3">
                  <c:v>15</c:v>
                </c:pt>
                <c:pt idx="4">
                  <c:v>20</c:v>
                </c:pt>
                <c:pt idx="5">
                  <c:v>25</c:v>
                </c:pt>
                <c:pt idx="6">
                  <c:v>30</c:v>
                </c:pt>
              </c:numCache>
            </c:numRef>
          </c:xVal>
          <c:yVal>
            <c:numRef>
              <c:f>AZT!$S$22:$S$28</c:f>
              <c:numCache>
                <c:formatCode>0</c:formatCode>
                <c:ptCount val="7"/>
                <c:pt idx="0">
                  <c:v>5357.1428571428578</c:v>
                </c:pt>
                <c:pt idx="1">
                  <c:v>3098.8184747583246</c:v>
                </c:pt>
                <c:pt idx="2">
                  <c:v>3053.1686358754027</c:v>
                </c:pt>
                <c:pt idx="3">
                  <c:v>2195.2201933404972</c:v>
                </c:pt>
                <c:pt idx="4">
                  <c:v>2234.1568206229681</c:v>
                </c:pt>
                <c:pt idx="5">
                  <c:v>2329.4844253490837</c:v>
                </c:pt>
                <c:pt idx="6">
                  <c:v>2369.7636949516486</c:v>
                </c:pt>
              </c:numCache>
            </c:numRef>
          </c:yVal>
          <c:smooth val="1"/>
          <c:extLst xmlns:c16r2="http://schemas.microsoft.com/office/drawing/2015/06/chart">
            <c:ext xmlns:c16="http://schemas.microsoft.com/office/drawing/2014/chart" uri="{C3380CC4-5D6E-409C-BE32-E72D297353CC}">
              <c16:uniqueId val="{00000000-64DF-4520-9C0C-632FDDCE912E}"/>
            </c:ext>
          </c:extLst>
        </c:ser>
        <c:ser>
          <c:idx val="2"/>
          <c:order val="1"/>
          <c:tx>
            <c:v>V:CM 3:1</c:v>
          </c:tx>
          <c:spPr>
            <a:ln w="9525">
              <a:solidFill>
                <a:schemeClr val="tx1"/>
              </a:solidFill>
            </a:ln>
          </c:spPr>
          <c:marker>
            <c:symbol val="triangle"/>
            <c:size val="3"/>
            <c:spPr>
              <a:noFill/>
              <a:ln>
                <a:solidFill>
                  <a:schemeClr val="bg1">
                    <a:lumMod val="50000"/>
                  </a:schemeClr>
                </a:solidFill>
              </a:ln>
            </c:spPr>
          </c:marker>
          <c:errBars>
            <c:errDir val="y"/>
            <c:errBarType val="both"/>
            <c:errValType val="cust"/>
            <c:plus>
              <c:numRef>
                <c:f>AZT!$H$34:$H$40</c:f>
                <c:numCache>
                  <c:formatCode>General</c:formatCode>
                  <c:ptCount val="7"/>
                  <c:pt idx="0">
                    <c:v>49.368357440522011</c:v>
                  </c:pt>
                  <c:pt idx="1">
                    <c:v>193.67586380512174</c:v>
                  </c:pt>
                  <c:pt idx="2">
                    <c:v>7.5951319139270375</c:v>
                  </c:pt>
                  <c:pt idx="3">
                    <c:v>56.963489354447944</c:v>
                  </c:pt>
                  <c:pt idx="4">
                    <c:v>132.91480849371212</c:v>
                  </c:pt>
                  <c:pt idx="5">
                    <c:v>11.392697870889741</c:v>
                  </c:pt>
                  <c:pt idx="6">
                    <c:v>68.356187225337891</c:v>
                  </c:pt>
                </c:numCache>
              </c:numRef>
            </c:plus>
            <c:minus>
              <c:numRef>
                <c:f>AZT!$H$34:$H$40</c:f>
                <c:numCache>
                  <c:formatCode>General</c:formatCode>
                  <c:ptCount val="7"/>
                  <c:pt idx="0">
                    <c:v>49.368357440522011</c:v>
                  </c:pt>
                  <c:pt idx="1">
                    <c:v>193.67586380512174</c:v>
                  </c:pt>
                  <c:pt idx="2">
                    <c:v>7.5951319139270375</c:v>
                  </c:pt>
                  <c:pt idx="3">
                    <c:v>56.963489354447944</c:v>
                  </c:pt>
                  <c:pt idx="4">
                    <c:v>132.91480849371212</c:v>
                  </c:pt>
                  <c:pt idx="5">
                    <c:v>11.392697870889741</c:v>
                  </c:pt>
                  <c:pt idx="6">
                    <c:v>68.356187225337891</c:v>
                  </c:pt>
                </c:numCache>
              </c:numRef>
            </c:minus>
          </c:errBars>
          <c:xVal>
            <c:numRef>
              <c:f>AZT!$R$22:$R$28</c:f>
              <c:numCache>
                <c:formatCode>General</c:formatCode>
                <c:ptCount val="7"/>
                <c:pt idx="0">
                  <c:v>0</c:v>
                </c:pt>
                <c:pt idx="1">
                  <c:v>5</c:v>
                </c:pt>
                <c:pt idx="2">
                  <c:v>10</c:v>
                </c:pt>
                <c:pt idx="3">
                  <c:v>15</c:v>
                </c:pt>
                <c:pt idx="4">
                  <c:v>20</c:v>
                </c:pt>
                <c:pt idx="5">
                  <c:v>25</c:v>
                </c:pt>
                <c:pt idx="6">
                  <c:v>30</c:v>
                </c:pt>
              </c:numCache>
            </c:numRef>
          </c:xVal>
          <c:yVal>
            <c:numRef>
              <c:f>AZT!$W$22:$W$28</c:f>
              <c:numCache>
                <c:formatCode>0</c:formatCode>
                <c:ptCount val="7"/>
                <c:pt idx="0">
                  <c:v>5389.3662728249556</c:v>
                </c:pt>
                <c:pt idx="1">
                  <c:v>2189.8496240601507</c:v>
                </c:pt>
                <c:pt idx="2">
                  <c:v>2075.7250268528464</c:v>
                </c:pt>
                <c:pt idx="3">
                  <c:v>2004.5649838882919</c:v>
                </c:pt>
                <c:pt idx="4">
                  <c:v>1787.0569280343698</c:v>
                </c:pt>
                <c:pt idx="5">
                  <c:v>1706.4983888292159</c:v>
                </c:pt>
                <c:pt idx="6">
                  <c:v>1396.3480128893648</c:v>
                </c:pt>
              </c:numCache>
            </c:numRef>
          </c:yVal>
          <c:smooth val="1"/>
          <c:extLst xmlns:c16r2="http://schemas.microsoft.com/office/drawing/2015/06/chart">
            <c:ext xmlns:c16="http://schemas.microsoft.com/office/drawing/2014/chart" uri="{C3380CC4-5D6E-409C-BE32-E72D297353CC}">
              <c16:uniqueId val="{00000001-64DF-4520-9C0C-632FDDCE912E}"/>
            </c:ext>
          </c:extLst>
        </c:ser>
        <c:ser>
          <c:idx val="3"/>
          <c:order val="2"/>
          <c:tx>
            <c:v>V:CM 1:3</c:v>
          </c:tx>
          <c:spPr>
            <a:ln w="9525">
              <a:solidFill>
                <a:schemeClr val="bg1">
                  <a:lumMod val="50000"/>
                </a:schemeClr>
              </a:solidFill>
            </a:ln>
          </c:spPr>
          <c:marker>
            <c:symbol val="x"/>
            <c:size val="3"/>
            <c:spPr>
              <a:noFill/>
              <a:ln>
                <a:solidFill>
                  <a:schemeClr val="tx1"/>
                </a:solidFill>
              </a:ln>
            </c:spPr>
          </c:marker>
          <c:errBars>
            <c:errDir val="y"/>
            <c:errBarType val="both"/>
            <c:errValType val="cust"/>
            <c:plus>
              <c:numRef>
                <c:f>AZT!$P$34:$P$40</c:f>
                <c:numCache>
                  <c:formatCode>General</c:formatCode>
                  <c:ptCount val="7"/>
                  <c:pt idx="0">
                    <c:v>155.70020423549138</c:v>
                  </c:pt>
                  <c:pt idx="1">
                    <c:v>11.392697870889741</c:v>
                  </c:pt>
                  <c:pt idx="2">
                    <c:v>26.582961698742388</c:v>
                  </c:pt>
                  <c:pt idx="3">
                    <c:v>7.5951319139266955</c:v>
                  </c:pt>
                  <c:pt idx="4">
                    <c:v>41.773225526595212</c:v>
                  </c:pt>
                  <c:pt idx="5">
                    <c:v>11.392697870889741</c:v>
                  </c:pt>
                  <c:pt idx="6">
                    <c:v>34.178093612668782</c:v>
                  </c:pt>
                </c:numCache>
              </c:numRef>
            </c:plus>
            <c:minus>
              <c:numRef>
                <c:f>AZT!$P$34:$P$40</c:f>
                <c:numCache>
                  <c:formatCode>General</c:formatCode>
                  <c:ptCount val="7"/>
                  <c:pt idx="0">
                    <c:v>155.70020423549138</c:v>
                  </c:pt>
                  <c:pt idx="1">
                    <c:v>11.392697870889741</c:v>
                  </c:pt>
                  <c:pt idx="2">
                    <c:v>26.582961698742388</c:v>
                  </c:pt>
                  <c:pt idx="3">
                    <c:v>7.5951319139266955</c:v>
                  </c:pt>
                  <c:pt idx="4">
                    <c:v>41.773225526595212</c:v>
                  </c:pt>
                  <c:pt idx="5">
                    <c:v>11.392697870889741</c:v>
                  </c:pt>
                  <c:pt idx="6">
                    <c:v>34.178093612668782</c:v>
                  </c:pt>
                </c:numCache>
              </c:numRef>
            </c:minus>
          </c:errBars>
          <c:xVal>
            <c:numRef>
              <c:f>AZT!$R$22:$R$28</c:f>
              <c:numCache>
                <c:formatCode>General</c:formatCode>
                <c:ptCount val="7"/>
                <c:pt idx="0">
                  <c:v>0</c:v>
                </c:pt>
                <c:pt idx="1">
                  <c:v>5</c:v>
                </c:pt>
                <c:pt idx="2">
                  <c:v>10</c:v>
                </c:pt>
                <c:pt idx="3">
                  <c:v>15</c:v>
                </c:pt>
                <c:pt idx="4">
                  <c:v>20</c:v>
                </c:pt>
                <c:pt idx="5">
                  <c:v>25</c:v>
                </c:pt>
                <c:pt idx="6">
                  <c:v>30</c:v>
                </c:pt>
              </c:numCache>
            </c:numRef>
          </c:xVal>
          <c:yVal>
            <c:numRef>
              <c:f>AZT!$Y$22:$Y$28</c:f>
              <c:numCache>
                <c:formatCode>0</c:formatCode>
                <c:ptCount val="7"/>
                <c:pt idx="0">
                  <c:v>2902.7926960257787</c:v>
                </c:pt>
                <c:pt idx="1">
                  <c:v>1255.3705692803439</c:v>
                </c:pt>
                <c:pt idx="2">
                  <c:v>1220.46186895811</c:v>
                </c:pt>
                <c:pt idx="3">
                  <c:v>1100.9667024704631</c:v>
                </c:pt>
                <c:pt idx="4">
                  <c:v>1053.9742212674544</c:v>
                </c:pt>
                <c:pt idx="5">
                  <c:v>1021.7508055853925</c:v>
                </c:pt>
                <c:pt idx="6">
                  <c:v>973.4156820622984</c:v>
                </c:pt>
              </c:numCache>
            </c:numRef>
          </c:yVal>
          <c:smooth val="1"/>
          <c:extLst xmlns:c16r2="http://schemas.microsoft.com/office/drawing/2015/06/chart">
            <c:ext xmlns:c16="http://schemas.microsoft.com/office/drawing/2014/chart" uri="{C3380CC4-5D6E-409C-BE32-E72D297353CC}">
              <c16:uniqueId val="{00000002-64DF-4520-9C0C-632FDDCE912E}"/>
            </c:ext>
          </c:extLst>
        </c:ser>
        <c:ser>
          <c:idx val="1"/>
          <c:order val="3"/>
          <c:tx>
            <c:v>V:CM 0:1</c:v>
          </c:tx>
          <c:spPr>
            <a:ln w="9525">
              <a:solidFill>
                <a:schemeClr val="bg1">
                  <a:lumMod val="50000"/>
                </a:schemeClr>
              </a:solidFill>
            </a:ln>
          </c:spPr>
          <c:marker>
            <c:symbol val="square"/>
            <c:size val="3"/>
            <c:spPr>
              <a:solidFill>
                <a:schemeClr val="bg1">
                  <a:lumMod val="50000"/>
                </a:schemeClr>
              </a:solidFill>
              <a:ln>
                <a:solidFill>
                  <a:schemeClr val="bg1">
                    <a:lumMod val="50000"/>
                  </a:schemeClr>
                </a:solidFill>
              </a:ln>
            </c:spPr>
          </c:marker>
          <c:errBars>
            <c:errDir val="y"/>
            <c:errBarType val="both"/>
            <c:errValType val="cust"/>
            <c:plus>
              <c:numRef>
                <c:f>AZT!$P$23:$P$29</c:f>
                <c:numCache>
                  <c:formatCode>General</c:formatCode>
                  <c:ptCount val="7"/>
                  <c:pt idx="0">
                    <c:v>55.064706375966495</c:v>
                  </c:pt>
                  <c:pt idx="1">
                    <c:v>18.987829784815986</c:v>
                  </c:pt>
                  <c:pt idx="2">
                    <c:v>79.748885096227241</c:v>
                  </c:pt>
                  <c:pt idx="3">
                    <c:v>18.987829784815986</c:v>
                  </c:pt>
                  <c:pt idx="4">
                    <c:v>43.672008505076782</c:v>
                  </c:pt>
                  <c:pt idx="5">
                    <c:v>7.5951319139263855</c:v>
                  </c:pt>
                  <c:pt idx="6">
                    <c:v>1.8987829784816148</c:v>
                  </c:pt>
                </c:numCache>
              </c:numRef>
            </c:plus>
            <c:minus>
              <c:numRef>
                <c:f>AZT!$P$23:$P$29</c:f>
                <c:numCache>
                  <c:formatCode>General</c:formatCode>
                  <c:ptCount val="7"/>
                  <c:pt idx="0">
                    <c:v>55.064706375966495</c:v>
                  </c:pt>
                  <c:pt idx="1">
                    <c:v>18.987829784815986</c:v>
                  </c:pt>
                  <c:pt idx="2">
                    <c:v>79.748885096227241</c:v>
                  </c:pt>
                  <c:pt idx="3">
                    <c:v>18.987829784815986</c:v>
                  </c:pt>
                  <c:pt idx="4">
                    <c:v>43.672008505076782</c:v>
                  </c:pt>
                  <c:pt idx="5">
                    <c:v>7.5951319139263855</c:v>
                  </c:pt>
                  <c:pt idx="6">
                    <c:v>1.8987829784816148</c:v>
                  </c:pt>
                </c:numCache>
              </c:numRef>
            </c:minus>
          </c:errBars>
          <c:xVal>
            <c:numRef>
              <c:f>AZT!$R$22:$R$28</c:f>
              <c:numCache>
                <c:formatCode>General</c:formatCode>
                <c:ptCount val="7"/>
                <c:pt idx="0">
                  <c:v>0</c:v>
                </c:pt>
                <c:pt idx="1">
                  <c:v>5</c:v>
                </c:pt>
                <c:pt idx="2">
                  <c:v>10</c:v>
                </c:pt>
                <c:pt idx="3">
                  <c:v>15</c:v>
                </c:pt>
                <c:pt idx="4">
                  <c:v>20</c:v>
                </c:pt>
                <c:pt idx="5">
                  <c:v>25</c:v>
                </c:pt>
                <c:pt idx="6">
                  <c:v>30</c:v>
                </c:pt>
              </c:numCache>
            </c:numRef>
          </c:xVal>
          <c:yVal>
            <c:numRef>
              <c:f>AZT!$U$22:$U$28</c:f>
              <c:numCache>
                <c:formatCode>0</c:formatCode>
                <c:ptCount val="7"/>
                <c:pt idx="0">
                  <c:v>1301.0204081632655</c:v>
                </c:pt>
                <c:pt idx="1">
                  <c:v>954.61868958109562</c:v>
                </c:pt>
                <c:pt idx="2">
                  <c:v>746.50912996777663</c:v>
                </c:pt>
                <c:pt idx="3">
                  <c:v>633.72717508055848</c:v>
                </c:pt>
                <c:pt idx="4">
                  <c:v>641.78302900107451</c:v>
                </c:pt>
                <c:pt idx="5">
                  <c:v>727.7121374865734</c:v>
                </c:pt>
                <c:pt idx="6">
                  <c:v>723.68421052632107</c:v>
                </c:pt>
              </c:numCache>
            </c:numRef>
          </c:yVal>
          <c:smooth val="1"/>
          <c:extLst xmlns:c16r2="http://schemas.microsoft.com/office/drawing/2015/06/chart">
            <c:ext xmlns:c16="http://schemas.microsoft.com/office/drawing/2014/chart" uri="{C3380CC4-5D6E-409C-BE32-E72D297353CC}">
              <c16:uniqueId val="{00000003-64DF-4520-9C0C-632FDDCE912E}"/>
            </c:ext>
          </c:extLst>
        </c:ser>
        <c:axId val="74919296"/>
        <c:axId val="74921472"/>
      </c:scatterChart>
      <c:valAx>
        <c:axId val="74919296"/>
        <c:scaling>
          <c:orientation val="minMax"/>
          <c:max val="30"/>
        </c:scaling>
        <c:axPos val="b"/>
        <c:title>
          <c:tx>
            <c:rich>
              <a:bodyPr/>
              <a:lstStyle/>
              <a:p>
                <a:pPr>
                  <a:defRPr lang="es-CO" b="0"/>
                </a:pPr>
                <a:r>
                  <a:rPr lang="es-CO" b="0"/>
                  <a:t>Digestion time (Days)</a:t>
                </a:r>
              </a:p>
            </c:rich>
          </c:tx>
          <c:layout>
            <c:manualLayout>
              <c:xMode val="edge"/>
              <c:yMode val="edge"/>
              <c:x val="0.38460010165773667"/>
              <c:y val="0.92227750251845164"/>
            </c:manualLayout>
          </c:layout>
        </c:title>
        <c:numFmt formatCode="General" sourceLinked="1"/>
        <c:majorTickMark val="none"/>
        <c:tickLblPos val="nextTo"/>
        <c:txPr>
          <a:bodyPr/>
          <a:lstStyle/>
          <a:p>
            <a:pPr>
              <a:defRPr lang="es-CO"/>
            </a:pPr>
            <a:endParaRPr lang="es-CO"/>
          </a:p>
        </c:txPr>
        <c:crossAx val="74921472"/>
        <c:crosses val="autoZero"/>
        <c:crossBetween val="midCat"/>
        <c:majorUnit val="5"/>
      </c:valAx>
      <c:valAx>
        <c:axId val="74921472"/>
        <c:scaling>
          <c:orientation val="minMax"/>
          <c:max val="6000"/>
        </c:scaling>
        <c:axPos val="l"/>
        <c:title>
          <c:tx>
            <c:rich>
              <a:bodyPr/>
              <a:lstStyle/>
              <a:p>
                <a:pPr>
                  <a:defRPr lang="es-CO" b="0"/>
                </a:pPr>
                <a:r>
                  <a:rPr lang="es-CO" b="0"/>
                  <a:t>TRS (mg/L)</a:t>
                </a:r>
              </a:p>
            </c:rich>
          </c:tx>
          <c:layout>
            <c:manualLayout>
              <c:xMode val="edge"/>
              <c:yMode val="edge"/>
              <c:x val="2.5912797377196182E-3"/>
              <c:y val="0.33762052589379687"/>
            </c:manualLayout>
          </c:layout>
        </c:title>
        <c:numFmt formatCode="0" sourceLinked="1"/>
        <c:majorTickMark val="none"/>
        <c:tickLblPos val="nextTo"/>
        <c:txPr>
          <a:bodyPr/>
          <a:lstStyle/>
          <a:p>
            <a:pPr>
              <a:defRPr lang="es-CO"/>
            </a:pPr>
            <a:endParaRPr lang="es-CO"/>
          </a:p>
        </c:txPr>
        <c:crossAx val="74919296"/>
        <c:crosses val="autoZero"/>
        <c:crossBetween val="midCat"/>
      </c:valAx>
    </c:plotArea>
    <c:legend>
      <c:legendPos val="r"/>
      <c:layout>
        <c:manualLayout>
          <c:xMode val="edge"/>
          <c:yMode val="edge"/>
          <c:x val="0.67451725952149921"/>
          <c:y val="3.535165806624041E-2"/>
          <c:w val="0.28073041964644935"/>
          <c:h val="0.35622582390203161"/>
        </c:manualLayout>
      </c:layout>
      <c:txPr>
        <a:bodyPr/>
        <a:lstStyle/>
        <a:p>
          <a:pPr>
            <a:defRPr lang="es-CO"/>
          </a:pPr>
          <a:endParaRPr lang="es-CO"/>
        </a:p>
      </c:txPr>
    </c:legend>
    <c:plotVisOnly val="1"/>
    <c:dispBlanksAs val="gap"/>
  </c:chart>
  <c:spPr>
    <a:ln>
      <a:noFill/>
    </a:ln>
  </c:spPr>
  <c:txPr>
    <a:bodyPr/>
    <a:lstStyle/>
    <a:p>
      <a:pPr>
        <a:defRPr sz="800">
          <a:latin typeface="Times New Roman" panose="02020603050405020304" pitchFamily="18" charset="0"/>
          <a:cs typeface="Times New Roman" panose="02020603050405020304" pitchFamily="18" charset="0"/>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7186012256551073"/>
          <c:y val="2.5256556442417331E-2"/>
          <c:w val="0.78195050099107122"/>
          <c:h val="0.80148129656819034"/>
        </c:manualLayout>
      </c:layout>
      <c:scatterChart>
        <c:scatterStyle val="smoothMarker"/>
        <c:ser>
          <c:idx val="1"/>
          <c:order val="0"/>
          <c:tx>
            <c:v>V:CM 1:0</c:v>
          </c:tx>
          <c:spPr>
            <a:ln w="9525" cap="rnd">
              <a:solidFill>
                <a:schemeClr val="tx1"/>
              </a:solidFill>
              <a:round/>
            </a:ln>
            <a:effectLst/>
          </c:spPr>
          <c:marker>
            <c:symbol val="circle"/>
            <c:size val="3"/>
            <c:spPr>
              <a:solidFill>
                <a:schemeClr val="tx1"/>
              </a:solidFill>
              <a:ln w="9525">
                <a:solidFill>
                  <a:schemeClr val="tx1"/>
                </a:solidFill>
              </a:ln>
              <a:effectLst/>
            </c:spPr>
          </c:marker>
          <c:errBars>
            <c:errDir val="y"/>
            <c:errBarType val="both"/>
            <c:errValType val="cust"/>
            <c:plus>
              <c:numRef>
                <c:f>AGV!$C$14:$I$14</c:f>
                <c:numCache>
                  <c:formatCode>General</c:formatCode>
                  <c:ptCount val="7"/>
                  <c:pt idx="0">
                    <c:v>84.852813742385678</c:v>
                  </c:pt>
                  <c:pt idx="1">
                    <c:v>84.852813742385678</c:v>
                  </c:pt>
                  <c:pt idx="2">
                    <c:v>169.70562748477138</c:v>
                  </c:pt>
                  <c:pt idx="3">
                    <c:v>84.852813742385678</c:v>
                  </c:pt>
                  <c:pt idx="4">
                    <c:v>84.852813742385678</c:v>
                  </c:pt>
                  <c:pt idx="5">
                    <c:v>169.70562748477138</c:v>
                  </c:pt>
                  <c:pt idx="6">
                    <c:v>84.852813742386019</c:v>
                  </c:pt>
                </c:numCache>
              </c:numRef>
            </c:plus>
            <c:minus>
              <c:numRef>
                <c:f>AGV!$C$14:$I$14</c:f>
                <c:numCache>
                  <c:formatCode>General</c:formatCode>
                  <c:ptCount val="7"/>
                  <c:pt idx="0">
                    <c:v>84.852813742385678</c:v>
                  </c:pt>
                  <c:pt idx="1">
                    <c:v>84.852813742385678</c:v>
                  </c:pt>
                  <c:pt idx="2">
                    <c:v>169.70562748477138</c:v>
                  </c:pt>
                  <c:pt idx="3">
                    <c:v>84.852813742385678</c:v>
                  </c:pt>
                  <c:pt idx="4">
                    <c:v>84.852813742385678</c:v>
                  </c:pt>
                  <c:pt idx="5">
                    <c:v>169.70562748477138</c:v>
                  </c:pt>
                  <c:pt idx="6">
                    <c:v>84.852813742386019</c:v>
                  </c:pt>
                </c:numCache>
              </c:numRef>
            </c:minus>
            <c:spPr>
              <a:noFill/>
              <a:ln w="9525" cap="flat" cmpd="sng" algn="ctr">
                <a:solidFill>
                  <a:schemeClr val="tx1">
                    <a:lumMod val="65000"/>
                    <a:lumOff val="35000"/>
                  </a:schemeClr>
                </a:solidFill>
                <a:round/>
              </a:ln>
              <a:effectLst/>
            </c:spPr>
          </c:errBars>
          <c:xVal>
            <c:numRef>
              <c:f>AGV!$C$2:$I$2</c:f>
              <c:numCache>
                <c:formatCode>General</c:formatCode>
                <c:ptCount val="7"/>
                <c:pt idx="0">
                  <c:v>0</c:v>
                </c:pt>
                <c:pt idx="1">
                  <c:v>5</c:v>
                </c:pt>
                <c:pt idx="2">
                  <c:v>10</c:v>
                </c:pt>
                <c:pt idx="3">
                  <c:v>15</c:v>
                </c:pt>
                <c:pt idx="4">
                  <c:v>20</c:v>
                </c:pt>
                <c:pt idx="5">
                  <c:v>25</c:v>
                </c:pt>
                <c:pt idx="6">
                  <c:v>30</c:v>
                </c:pt>
              </c:numCache>
            </c:numRef>
          </c:xVal>
          <c:yVal>
            <c:numRef>
              <c:f>AGV!$C$13:$I$13</c:f>
              <c:numCache>
                <c:formatCode>0</c:formatCode>
                <c:ptCount val="7"/>
                <c:pt idx="0">
                  <c:v>1980</c:v>
                </c:pt>
                <c:pt idx="1">
                  <c:v>3420</c:v>
                </c:pt>
                <c:pt idx="2">
                  <c:v>2639.9999999999995</c:v>
                </c:pt>
                <c:pt idx="3">
                  <c:v>1500</c:v>
                </c:pt>
                <c:pt idx="4">
                  <c:v>1380.0000000000002</c:v>
                </c:pt>
                <c:pt idx="5">
                  <c:v>1320</c:v>
                </c:pt>
                <c:pt idx="6">
                  <c:v>779.99999999999977</c:v>
                </c:pt>
              </c:numCache>
            </c:numRef>
          </c:yVal>
          <c:smooth val="1"/>
          <c:extLst xmlns:c16r2="http://schemas.microsoft.com/office/drawing/2015/06/chart">
            <c:ext xmlns:c16="http://schemas.microsoft.com/office/drawing/2014/chart" uri="{C3380CC4-5D6E-409C-BE32-E72D297353CC}">
              <c16:uniqueId val="{00000000-FCBC-4E3F-88C2-96FD37CBC0B9}"/>
            </c:ext>
          </c:extLst>
        </c:ser>
        <c:ser>
          <c:idx val="3"/>
          <c:order val="1"/>
          <c:tx>
            <c:strRef>
              <c:f>AGV!$A$21</c:f>
              <c:strCache>
                <c:ptCount val="1"/>
                <c:pt idx="0">
                  <c:v>V:CM 3:1</c:v>
                </c:pt>
              </c:strCache>
            </c:strRef>
          </c:tx>
          <c:spPr>
            <a:ln w="9525" cap="rnd">
              <a:solidFill>
                <a:schemeClr val="tx1"/>
              </a:solidFill>
              <a:round/>
            </a:ln>
            <a:effectLst/>
          </c:spPr>
          <c:marker>
            <c:symbol val="triangle"/>
            <c:size val="3"/>
            <c:spPr>
              <a:noFill/>
              <a:ln w="9525">
                <a:solidFill>
                  <a:schemeClr val="bg2">
                    <a:lumMod val="50000"/>
                  </a:schemeClr>
                </a:solidFill>
              </a:ln>
              <a:effectLst/>
            </c:spPr>
          </c:marker>
          <c:errBars>
            <c:errDir val="y"/>
            <c:errBarType val="both"/>
            <c:errValType val="cust"/>
            <c:plus>
              <c:numRef>
                <c:f>AGV!$C$26:$I$26</c:f>
                <c:numCache>
                  <c:formatCode>General</c:formatCode>
                  <c:ptCount val="7"/>
                  <c:pt idx="0">
                    <c:v>84.852813742385678</c:v>
                  </c:pt>
                  <c:pt idx="1">
                    <c:v>254.5584412271572</c:v>
                  </c:pt>
                  <c:pt idx="2">
                    <c:v>169.70562748477155</c:v>
                  </c:pt>
                  <c:pt idx="3">
                    <c:v>84.852813742386019</c:v>
                  </c:pt>
                  <c:pt idx="4">
                    <c:v>84.852813742385678</c:v>
                  </c:pt>
                  <c:pt idx="5">
                    <c:v>84.852813742385678</c:v>
                  </c:pt>
                  <c:pt idx="6">
                    <c:v>84.852813742385678</c:v>
                  </c:pt>
                </c:numCache>
              </c:numRef>
            </c:plus>
            <c:minus>
              <c:numRef>
                <c:f>AGV!$C$26:$I$26</c:f>
                <c:numCache>
                  <c:formatCode>General</c:formatCode>
                  <c:ptCount val="7"/>
                  <c:pt idx="0">
                    <c:v>84.852813742385678</c:v>
                  </c:pt>
                  <c:pt idx="1">
                    <c:v>254.5584412271572</c:v>
                  </c:pt>
                  <c:pt idx="2">
                    <c:v>169.70562748477155</c:v>
                  </c:pt>
                  <c:pt idx="3">
                    <c:v>84.852813742386019</c:v>
                  </c:pt>
                  <c:pt idx="4">
                    <c:v>84.852813742385678</c:v>
                  </c:pt>
                  <c:pt idx="5">
                    <c:v>84.852813742385678</c:v>
                  </c:pt>
                  <c:pt idx="6">
                    <c:v>84.852813742385678</c:v>
                  </c:pt>
                </c:numCache>
              </c:numRef>
            </c:minus>
            <c:spPr>
              <a:noFill/>
              <a:ln w="9525" cap="flat" cmpd="sng" algn="ctr">
                <a:solidFill>
                  <a:schemeClr val="tx1">
                    <a:lumMod val="65000"/>
                    <a:lumOff val="35000"/>
                  </a:schemeClr>
                </a:solidFill>
                <a:round/>
              </a:ln>
              <a:effectLst/>
            </c:spPr>
          </c:errBars>
          <c:xVal>
            <c:numRef>
              <c:f>AGV!$C$2:$I$2</c:f>
              <c:numCache>
                <c:formatCode>General</c:formatCode>
                <c:ptCount val="7"/>
                <c:pt idx="0">
                  <c:v>0</c:v>
                </c:pt>
                <c:pt idx="1">
                  <c:v>5</c:v>
                </c:pt>
                <c:pt idx="2">
                  <c:v>10</c:v>
                </c:pt>
                <c:pt idx="3">
                  <c:v>15</c:v>
                </c:pt>
                <c:pt idx="4">
                  <c:v>20</c:v>
                </c:pt>
                <c:pt idx="5">
                  <c:v>25</c:v>
                </c:pt>
                <c:pt idx="6">
                  <c:v>30</c:v>
                </c:pt>
              </c:numCache>
            </c:numRef>
          </c:xVal>
          <c:yVal>
            <c:numRef>
              <c:f>AGV!$C$25:$I$25</c:f>
              <c:numCache>
                <c:formatCode>0</c:formatCode>
                <c:ptCount val="7"/>
                <c:pt idx="0">
                  <c:v>2100</c:v>
                </c:pt>
                <c:pt idx="1">
                  <c:v>3180</c:v>
                </c:pt>
                <c:pt idx="2">
                  <c:v>1200</c:v>
                </c:pt>
                <c:pt idx="3">
                  <c:v>1020.0000000000002</c:v>
                </c:pt>
                <c:pt idx="4">
                  <c:v>660</c:v>
                </c:pt>
                <c:pt idx="5">
                  <c:v>660</c:v>
                </c:pt>
                <c:pt idx="6">
                  <c:v>540</c:v>
                </c:pt>
              </c:numCache>
            </c:numRef>
          </c:yVal>
          <c:smooth val="1"/>
          <c:extLst xmlns:c16r2="http://schemas.microsoft.com/office/drawing/2015/06/chart">
            <c:ext xmlns:c16="http://schemas.microsoft.com/office/drawing/2014/chart" uri="{C3380CC4-5D6E-409C-BE32-E72D297353CC}">
              <c16:uniqueId val="{00000001-FCBC-4E3F-88C2-96FD37CBC0B9}"/>
            </c:ext>
          </c:extLst>
        </c:ser>
        <c:ser>
          <c:idx val="2"/>
          <c:order val="2"/>
          <c:tx>
            <c:v>V:CM 1:3</c:v>
          </c:tx>
          <c:spPr>
            <a:ln w="9525" cap="rnd">
              <a:solidFill>
                <a:schemeClr val="accent3"/>
              </a:solidFill>
              <a:round/>
            </a:ln>
            <a:effectLst/>
          </c:spPr>
          <c:marker>
            <c:symbol val="star"/>
            <c:size val="3"/>
            <c:spPr>
              <a:noFill/>
              <a:ln w="9525">
                <a:solidFill>
                  <a:schemeClr val="tx1"/>
                </a:solidFill>
              </a:ln>
              <a:effectLst/>
            </c:spPr>
          </c:marker>
          <c:errBars>
            <c:errDir val="y"/>
            <c:errBarType val="both"/>
            <c:errValType val="cust"/>
            <c:plus>
              <c:numRef>
                <c:f>AGV!$C$20:$I$20</c:f>
                <c:numCache>
                  <c:formatCode>General</c:formatCode>
                  <c:ptCount val="7"/>
                  <c:pt idx="0">
                    <c:v>84.852813742385678</c:v>
                  </c:pt>
                  <c:pt idx="1">
                    <c:v>84.852813742386019</c:v>
                  </c:pt>
                  <c:pt idx="2">
                    <c:v>84.852813742385678</c:v>
                  </c:pt>
                  <c:pt idx="3">
                    <c:v>84.852813742385678</c:v>
                  </c:pt>
                  <c:pt idx="4">
                    <c:v>84.852813742385052</c:v>
                  </c:pt>
                  <c:pt idx="5">
                    <c:v>84.852813742385678</c:v>
                  </c:pt>
                  <c:pt idx="6">
                    <c:v>169.70562748477175</c:v>
                  </c:pt>
                </c:numCache>
              </c:numRef>
            </c:plus>
            <c:minus>
              <c:numRef>
                <c:f>AGV!$C$20:$I$20</c:f>
                <c:numCache>
                  <c:formatCode>General</c:formatCode>
                  <c:ptCount val="7"/>
                  <c:pt idx="0">
                    <c:v>84.852813742385678</c:v>
                  </c:pt>
                  <c:pt idx="1">
                    <c:v>84.852813742386019</c:v>
                  </c:pt>
                  <c:pt idx="2">
                    <c:v>84.852813742385678</c:v>
                  </c:pt>
                  <c:pt idx="3">
                    <c:v>84.852813742385678</c:v>
                  </c:pt>
                  <c:pt idx="4">
                    <c:v>84.852813742385052</c:v>
                  </c:pt>
                  <c:pt idx="5">
                    <c:v>84.852813742385678</c:v>
                  </c:pt>
                  <c:pt idx="6">
                    <c:v>169.70562748477175</c:v>
                  </c:pt>
                </c:numCache>
              </c:numRef>
            </c:minus>
            <c:spPr>
              <a:noFill/>
              <a:ln w="9525" cap="flat" cmpd="sng" algn="ctr">
                <a:solidFill>
                  <a:schemeClr val="tx1">
                    <a:lumMod val="65000"/>
                    <a:lumOff val="35000"/>
                  </a:schemeClr>
                </a:solidFill>
                <a:round/>
              </a:ln>
              <a:effectLst/>
            </c:spPr>
          </c:errBars>
          <c:xVal>
            <c:numRef>
              <c:f>AGV!$C$2:$I$2</c:f>
              <c:numCache>
                <c:formatCode>General</c:formatCode>
                <c:ptCount val="7"/>
                <c:pt idx="0">
                  <c:v>0</c:v>
                </c:pt>
                <c:pt idx="1">
                  <c:v>5</c:v>
                </c:pt>
                <c:pt idx="2">
                  <c:v>10</c:v>
                </c:pt>
                <c:pt idx="3">
                  <c:v>15</c:v>
                </c:pt>
                <c:pt idx="4">
                  <c:v>20</c:v>
                </c:pt>
                <c:pt idx="5">
                  <c:v>25</c:v>
                </c:pt>
                <c:pt idx="6">
                  <c:v>30</c:v>
                </c:pt>
              </c:numCache>
            </c:numRef>
          </c:xVal>
          <c:yVal>
            <c:numRef>
              <c:f>AGV!$C$19:$I$19</c:f>
              <c:numCache>
                <c:formatCode>0.00</c:formatCode>
                <c:ptCount val="7"/>
                <c:pt idx="0">
                  <c:v>1860</c:v>
                </c:pt>
                <c:pt idx="1">
                  <c:v>2820</c:v>
                </c:pt>
                <c:pt idx="2">
                  <c:v>1620</c:v>
                </c:pt>
                <c:pt idx="3">
                  <c:v>900</c:v>
                </c:pt>
                <c:pt idx="4">
                  <c:v>779.99999999999943</c:v>
                </c:pt>
                <c:pt idx="5">
                  <c:v>660</c:v>
                </c:pt>
                <c:pt idx="6">
                  <c:v>720.00000000000011</c:v>
                </c:pt>
              </c:numCache>
            </c:numRef>
          </c:yVal>
          <c:smooth val="1"/>
          <c:extLst xmlns:c16r2="http://schemas.microsoft.com/office/drawing/2015/06/chart">
            <c:ext xmlns:c16="http://schemas.microsoft.com/office/drawing/2014/chart" uri="{C3380CC4-5D6E-409C-BE32-E72D297353CC}">
              <c16:uniqueId val="{00000002-FCBC-4E3F-88C2-96FD37CBC0B9}"/>
            </c:ext>
          </c:extLst>
        </c:ser>
        <c:ser>
          <c:idx val="0"/>
          <c:order val="3"/>
          <c:tx>
            <c:v>V:CM 0:1</c:v>
          </c:tx>
          <c:spPr>
            <a:ln w="9525" cap="rnd">
              <a:solidFill>
                <a:schemeClr val="bg2">
                  <a:lumMod val="75000"/>
                </a:schemeClr>
              </a:solidFill>
              <a:round/>
            </a:ln>
            <a:effectLst/>
          </c:spPr>
          <c:marker>
            <c:symbol val="square"/>
            <c:size val="3"/>
            <c:spPr>
              <a:solidFill>
                <a:schemeClr val="bg1">
                  <a:lumMod val="65000"/>
                </a:schemeClr>
              </a:solidFill>
              <a:ln w="9525">
                <a:solidFill>
                  <a:schemeClr val="bg1">
                    <a:lumMod val="50000"/>
                  </a:schemeClr>
                </a:solidFill>
              </a:ln>
              <a:effectLst/>
            </c:spPr>
          </c:marker>
          <c:errBars>
            <c:errDir val="y"/>
            <c:errBarType val="both"/>
            <c:errValType val="cust"/>
            <c:plus>
              <c:numRef>
                <c:f>AGV!$C$8:$I$8</c:f>
                <c:numCache>
                  <c:formatCode>General</c:formatCode>
                  <c:ptCount val="7"/>
                  <c:pt idx="0">
                    <c:v>84.852813742386019</c:v>
                  </c:pt>
                  <c:pt idx="1">
                    <c:v>84.852813742385678</c:v>
                  </c:pt>
                  <c:pt idx="2">
                    <c:v>84.852813742385678</c:v>
                  </c:pt>
                  <c:pt idx="3">
                    <c:v>84.852813742386388</c:v>
                  </c:pt>
                  <c:pt idx="4">
                    <c:v>84.852813742386388</c:v>
                  </c:pt>
                  <c:pt idx="5">
                    <c:v>169.70562748477238</c:v>
                  </c:pt>
                  <c:pt idx="6">
                    <c:v>84.852813742386019</c:v>
                  </c:pt>
                </c:numCache>
              </c:numRef>
            </c:plus>
            <c:minus>
              <c:numRef>
                <c:f>AGV!$C$8:$I$8</c:f>
                <c:numCache>
                  <c:formatCode>General</c:formatCode>
                  <c:ptCount val="7"/>
                  <c:pt idx="0">
                    <c:v>84.852813742386019</c:v>
                  </c:pt>
                  <c:pt idx="1">
                    <c:v>84.852813742385678</c:v>
                  </c:pt>
                  <c:pt idx="2">
                    <c:v>84.852813742385678</c:v>
                  </c:pt>
                  <c:pt idx="3">
                    <c:v>84.852813742386388</c:v>
                  </c:pt>
                  <c:pt idx="4">
                    <c:v>84.852813742386388</c:v>
                  </c:pt>
                  <c:pt idx="5">
                    <c:v>169.70562748477238</c:v>
                  </c:pt>
                  <c:pt idx="6">
                    <c:v>84.852813742386019</c:v>
                  </c:pt>
                </c:numCache>
              </c:numRef>
            </c:minus>
            <c:spPr>
              <a:noFill/>
              <a:ln w="9525" cap="flat" cmpd="sng" algn="ctr">
                <a:solidFill>
                  <a:schemeClr val="tx1">
                    <a:lumMod val="65000"/>
                    <a:lumOff val="35000"/>
                  </a:schemeClr>
                </a:solidFill>
                <a:round/>
              </a:ln>
              <a:effectLst/>
            </c:spPr>
          </c:errBars>
          <c:xVal>
            <c:numRef>
              <c:f>AGV!$C$2:$I$2</c:f>
              <c:numCache>
                <c:formatCode>General</c:formatCode>
                <c:ptCount val="7"/>
                <c:pt idx="0">
                  <c:v>0</c:v>
                </c:pt>
                <c:pt idx="1">
                  <c:v>5</c:v>
                </c:pt>
                <c:pt idx="2">
                  <c:v>10</c:v>
                </c:pt>
                <c:pt idx="3">
                  <c:v>15</c:v>
                </c:pt>
                <c:pt idx="4">
                  <c:v>20</c:v>
                </c:pt>
                <c:pt idx="5">
                  <c:v>25</c:v>
                </c:pt>
                <c:pt idx="6">
                  <c:v>30</c:v>
                </c:pt>
              </c:numCache>
            </c:numRef>
          </c:xVal>
          <c:yVal>
            <c:numRef>
              <c:f>AGV!$C$7:$I$7</c:f>
              <c:numCache>
                <c:formatCode>0</c:formatCode>
                <c:ptCount val="7"/>
                <c:pt idx="0">
                  <c:v>1740.0000000000002</c:v>
                </c:pt>
                <c:pt idx="1">
                  <c:v>2580.0000000000005</c:v>
                </c:pt>
                <c:pt idx="2">
                  <c:v>780</c:v>
                </c:pt>
                <c:pt idx="3">
                  <c:v>540</c:v>
                </c:pt>
                <c:pt idx="4">
                  <c:v>540</c:v>
                </c:pt>
                <c:pt idx="5">
                  <c:v>600.00000000000091</c:v>
                </c:pt>
                <c:pt idx="6">
                  <c:v>420.00000000000028</c:v>
                </c:pt>
              </c:numCache>
            </c:numRef>
          </c:yVal>
          <c:smooth val="1"/>
          <c:extLst xmlns:c16r2="http://schemas.microsoft.com/office/drawing/2015/06/chart">
            <c:ext xmlns:c16="http://schemas.microsoft.com/office/drawing/2014/chart" uri="{C3380CC4-5D6E-409C-BE32-E72D297353CC}">
              <c16:uniqueId val="{00000003-FCBC-4E3F-88C2-96FD37CBC0B9}"/>
            </c:ext>
          </c:extLst>
        </c:ser>
        <c:axId val="75041408"/>
        <c:axId val="75088640"/>
      </c:scatterChart>
      <c:valAx>
        <c:axId val="75041408"/>
        <c:scaling>
          <c:orientation val="minMax"/>
          <c:max val="30"/>
        </c:scaling>
        <c:axPos val="b"/>
        <c:title>
          <c:tx>
            <c:rich>
              <a:bodyPr rot="0" spcFirstLastPara="1" vertOverflow="ellipsis" vert="horz" wrap="square" anchor="ctr" anchorCtr="1"/>
              <a:lstStyle/>
              <a:p>
                <a:pPr>
                  <a:defRPr lang="es-CO"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a:t>Digestion time (Days)</a:t>
                </a:r>
              </a:p>
            </c:rich>
          </c:tx>
          <c:layout>
            <c:manualLayout>
              <c:xMode val="edge"/>
              <c:yMode val="edge"/>
              <c:x val="0.42526377043516211"/>
              <c:y val="0.93004067193995288"/>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5088640"/>
        <c:crosses val="autoZero"/>
        <c:crossBetween val="midCat"/>
        <c:majorUnit val="5"/>
      </c:valAx>
      <c:valAx>
        <c:axId val="75088640"/>
        <c:scaling>
          <c:orientation val="minMax"/>
        </c:scaling>
        <c:axPos val="l"/>
        <c:title>
          <c:tx>
            <c:rich>
              <a:bodyPr rot="-5400000" spcFirstLastPara="1" vertOverflow="ellipsis" vert="horz" wrap="square" anchor="ctr" anchorCtr="1"/>
              <a:lstStyle/>
              <a:p>
                <a:pPr>
                  <a:defRPr lang="es-CO"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0"/>
                  <a:t>TVFA (mg/L )</a:t>
                </a:r>
              </a:p>
            </c:rich>
          </c:tx>
          <c:layout>
            <c:manualLayout>
              <c:xMode val="edge"/>
              <c:yMode val="edge"/>
              <c:x val="3.7464312342019978E-3"/>
              <c:y val="0.28769265710005382"/>
            </c:manualLayout>
          </c:layout>
          <c:spPr>
            <a:noFill/>
            <a:ln>
              <a:noFill/>
            </a:ln>
            <a:effectLst/>
          </c:spPr>
        </c:title>
        <c:numFmt formatCode="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75041408"/>
        <c:crosses val="autoZero"/>
        <c:crossBetween val="midCat"/>
      </c:valAx>
      <c:spPr>
        <a:noFill/>
        <a:ln>
          <a:noFill/>
        </a:ln>
        <a:effectLst/>
      </c:spPr>
    </c:plotArea>
    <c:legend>
      <c:legendPos val="r"/>
      <c:layout>
        <c:manualLayout>
          <c:xMode val="edge"/>
          <c:yMode val="edge"/>
          <c:x val="0.64941026713462202"/>
          <c:y val="3.6740961759245599E-2"/>
          <c:w val="0.34565486293830516"/>
          <c:h val="0.33685883335279243"/>
        </c:manualLayout>
      </c:layout>
      <c:spPr>
        <a:noFill/>
        <a:ln>
          <a:noFill/>
        </a:ln>
        <a:effectLst/>
      </c:spPr>
      <c:txPr>
        <a:bodyPr rot="0" spcFirstLastPara="1" vertOverflow="ellipsis" vert="horz" wrap="square" anchor="ctr" anchorCtr="1"/>
        <a:lstStyle/>
        <a:p>
          <a:pPr>
            <a:defRPr lang="es-CO"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5272009733771291"/>
          <c:y val="4.6712962962962984E-2"/>
          <c:w val="0.574394769935895"/>
          <c:h val="0.73004232690901805"/>
        </c:manualLayout>
      </c:layout>
      <c:scatterChart>
        <c:scatterStyle val="smoothMarker"/>
        <c:ser>
          <c:idx val="1"/>
          <c:order val="0"/>
          <c:tx>
            <c:v>V:CM 1:0</c:v>
          </c:tx>
          <c:spPr>
            <a:ln w="9525" cap="rnd">
              <a:solidFill>
                <a:schemeClr val="tx1"/>
              </a:solidFill>
              <a:round/>
            </a:ln>
            <a:effectLst/>
          </c:spPr>
          <c:marker>
            <c:symbol val="circle"/>
            <c:size val="3"/>
            <c:spPr>
              <a:solidFill>
                <a:schemeClr val="tx1"/>
              </a:solidFill>
              <a:ln w="9525">
                <a:solidFill>
                  <a:schemeClr val="tx1"/>
                </a:solidFill>
              </a:ln>
              <a:effectLst/>
            </c:spPr>
          </c:marker>
          <c:errBars>
            <c:errDir val="y"/>
            <c:errBarType val="both"/>
            <c:errValType val="cust"/>
            <c:plus>
              <c:numRef>
                <c:f>Buffer!$B$3:$H$3</c:f>
                <c:numCache>
                  <c:formatCode>General</c:formatCode>
                  <c:ptCount val="7"/>
                  <c:pt idx="0">
                    <c:v>6.0000000000000114E-3</c:v>
                  </c:pt>
                  <c:pt idx="1">
                    <c:v>6.0000000000000114E-3</c:v>
                  </c:pt>
                  <c:pt idx="2">
                    <c:v>1.2E-2</c:v>
                  </c:pt>
                  <c:pt idx="3">
                    <c:v>6.0000000000000114E-3</c:v>
                  </c:pt>
                  <c:pt idx="4">
                    <c:v>4.0000000000000183E-3</c:v>
                  </c:pt>
                  <c:pt idx="5">
                    <c:v>2.4E-2</c:v>
                  </c:pt>
                  <c:pt idx="6">
                    <c:v>6.0000000000000114E-3</c:v>
                  </c:pt>
                </c:numCache>
              </c:numRef>
            </c:plus>
            <c:minus>
              <c:numRef>
                <c:f>Buffer!$B$3:$H$3</c:f>
                <c:numCache>
                  <c:formatCode>General</c:formatCode>
                  <c:ptCount val="7"/>
                  <c:pt idx="0">
                    <c:v>6.0000000000000114E-3</c:v>
                  </c:pt>
                  <c:pt idx="1">
                    <c:v>6.0000000000000114E-3</c:v>
                  </c:pt>
                  <c:pt idx="2">
                    <c:v>1.2E-2</c:v>
                  </c:pt>
                  <c:pt idx="3">
                    <c:v>6.0000000000000114E-3</c:v>
                  </c:pt>
                  <c:pt idx="4">
                    <c:v>4.0000000000000183E-3</c:v>
                  </c:pt>
                  <c:pt idx="5">
                    <c:v>2.4E-2</c:v>
                  </c:pt>
                  <c:pt idx="6">
                    <c:v>6.0000000000000114E-3</c:v>
                  </c:pt>
                </c:numCache>
              </c:numRef>
            </c:minus>
            <c:spPr>
              <a:noFill/>
              <a:ln w="9525" cap="flat" cmpd="sng" algn="ctr">
                <a:solidFill>
                  <a:schemeClr val="tx1">
                    <a:lumMod val="65000"/>
                    <a:lumOff val="35000"/>
                  </a:schemeClr>
                </a:solidFill>
                <a:round/>
              </a:ln>
              <a:effectLst/>
            </c:spPr>
          </c:errBars>
          <c:xVal>
            <c:numRef>
              <c:f>Buffer!$B$1:$H$1</c:f>
              <c:numCache>
                <c:formatCode>General</c:formatCode>
                <c:ptCount val="7"/>
                <c:pt idx="0">
                  <c:v>0</c:v>
                </c:pt>
                <c:pt idx="1">
                  <c:v>5</c:v>
                </c:pt>
                <c:pt idx="2">
                  <c:v>10</c:v>
                </c:pt>
                <c:pt idx="3">
                  <c:v>15</c:v>
                </c:pt>
                <c:pt idx="4">
                  <c:v>20</c:v>
                </c:pt>
                <c:pt idx="5">
                  <c:v>25</c:v>
                </c:pt>
                <c:pt idx="6">
                  <c:v>30</c:v>
                </c:pt>
              </c:numCache>
            </c:numRef>
          </c:xVal>
          <c:yVal>
            <c:numRef>
              <c:f>Buffer!$B$2:$H$2</c:f>
              <c:numCache>
                <c:formatCode>0.00</c:formatCode>
                <c:ptCount val="7"/>
                <c:pt idx="0">
                  <c:v>0.63870967741936358</c:v>
                </c:pt>
                <c:pt idx="1">
                  <c:v>1.1032258064516127</c:v>
                </c:pt>
                <c:pt idx="2">
                  <c:v>0.85161290322580663</c:v>
                </c:pt>
                <c:pt idx="3">
                  <c:v>0.48387096774193927</c:v>
                </c:pt>
                <c:pt idx="4">
                  <c:v>0.44516129032258067</c:v>
                </c:pt>
                <c:pt idx="5">
                  <c:v>0.42580645161290614</c:v>
                </c:pt>
                <c:pt idx="6">
                  <c:v>0.25161290322580987</c:v>
                </c:pt>
              </c:numCache>
            </c:numRef>
          </c:yVal>
          <c:smooth val="1"/>
          <c:extLst xmlns:c16r2="http://schemas.microsoft.com/office/drawing/2015/06/chart">
            <c:ext xmlns:c16="http://schemas.microsoft.com/office/drawing/2014/chart" uri="{C3380CC4-5D6E-409C-BE32-E72D297353CC}">
              <c16:uniqueId val="{00000000-E598-4176-B715-655EFEDBCD45}"/>
            </c:ext>
          </c:extLst>
        </c:ser>
        <c:ser>
          <c:idx val="3"/>
          <c:order val="1"/>
          <c:tx>
            <c:v>V:CM 3:1</c:v>
          </c:tx>
          <c:spPr>
            <a:ln w="9525" cap="rnd">
              <a:solidFill>
                <a:schemeClr val="tx1"/>
              </a:solidFill>
              <a:round/>
            </a:ln>
            <a:effectLst/>
          </c:spPr>
          <c:marker>
            <c:symbol val="triangle"/>
            <c:size val="3"/>
            <c:spPr>
              <a:noFill/>
              <a:ln w="9525">
                <a:solidFill>
                  <a:schemeClr val="tx1">
                    <a:lumMod val="50000"/>
                    <a:lumOff val="50000"/>
                  </a:schemeClr>
                </a:solidFill>
              </a:ln>
              <a:effectLst/>
            </c:spPr>
          </c:marker>
          <c:errBars>
            <c:errDir val="y"/>
            <c:errBarType val="both"/>
            <c:errValType val="cust"/>
            <c:plus>
              <c:numRef>
                <c:f>Buffer!$B$9:$H$9</c:f>
                <c:numCache>
                  <c:formatCode>General</c:formatCode>
                  <c:ptCount val="7"/>
                  <c:pt idx="0">
                    <c:v>4.0000000000000114E-3</c:v>
                  </c:pt>
                  <c:pt idx="1">
                    <c:v>1.2E-2</c:v>
                  </c:pt>
                  <c:pt idx="2">
                    <c:v>1.2000000000000021E-2</c:v>
                  </c:pt>
                  <c:pt idx="3">
                    <c:v>6.0000000000000504E-3</c:v>
                  </c:pt>
                  <c:pt idx="4">
                    <c:v>6.0000000000000114E-3</c:v>
                  </c:pt>
                  <c:pt idx="5">
                    <c:v>1.2000000000000163E-2</c:v>
                  </c:pt>
                  <c:pt idx="6">
                    <c:v>1.2000000000000111E-2</c:v>
                  </c:pt>
                </c:numCache>
              </c:numRef>
            </c:plus>
            <c:minus>
              <c:numRef>
                <c:f>Buffer!$B$9:$H$9</c:f>
                <c:numCache>
                  <c:formatCode>General</c:formatCode>
                  <c:ptCount val="7"/>
                  <c:pt idx="0">
                    <c:v>4.0000000000000114E-3</c:v>
                  </c:pt>
                  <c:pt idx="1">
                    <c:v>1.2E-2</c:v>
                  </c:pt>
                  <c:pt idx="2">
                    <c:v>1.2000000000000021E-2</c:v>
                  </c:pt>
                  <c:pt idx="3">
                    <c:v>6.0000000000000504E-3</c:v>
                  </c:pt>
                  <c:pt idx="4">
                    <c:v>6.0000000000000114E-3</c:v>
                  </c:pt>
                  <c:pt idx="5">
                    <c:v>1.2000000000000163E-2</c:v>
                  </c:pt>
                  <c:pt idx="6">
                    <c:v>1.2000000000000111E-2</c:v>
                  </c:pt>
                </c:numCache>
              </c:numRef>
            </c:minus>
            <c:spPr>
              <a:noFill/>
              <a:ln w="9525" cap="flat" cmpd="sng" algn="ctr">
                <a:solidFill>
                  <a:schemeClr val="tx1">
                    <a:lumMod val="65000"/>
                    <a:lumOff val="35000"/>
                  </a:schemeClr>
                </a:solidFill>
                <a:round/>
              </a:ln>
              <a:effectLst/>
            </c:spPr>
          </c:errBars>
          <c:xVal>
            <c:numRef>
              <c:f>Buffer!$B$1:$H$1</c:f>
              <c:numCache>
                <c:formatCode>General</c:formatCode>
                <c:ptCount val="7"/>
                <c:pt idx="0">
                  <c:v>0</c:v>
                </c:pt>
                <c:pt idx="1">
                  <c:v>5</c:v>
                </c:pt>
                <c:pt idx="2">
                  <c:v>10</c:v>
                </c:pt>
                <c:pt idx="3">
                  <c:v>15</c:v>
                </c:pt>
                <c:pt idx="4">
                  <c:v>20</c:v>
                </c:pt>
                <c:pt idx="5">
                  <c:v>25</c:v>
                </c:pt>
                <c:pt idx="6">
                  <c:v>30</c:v>
                </c:pt>
              </c:numCache>
            </c:numRef>
          </c:xVal>
          <c:yVal>
            <c:numRef>
              <c:f>Buffer!$B$8:$H$8</c:f>
              <c:numCache>
                <c:formatCode>0.00</c:formatCode>
                <c:ptCount val="7"/>
                <c:pt idx="0">
                  <c:v>0.62686567164179741</c:v>
                </c:pt>
                <c:pt idx="1">
                  <c:v>0.74823529411764711</c:v>
                </c:pt>
                <c:pt idx="2">
                  <c:v>0.35294117647058826</c:v>
                </c:pt>
                <c:pt idx="3">
                  <c:v>0.23181818181818306</c:v>
                </c:pt>
                <c:pt idx="4">
                  <c:v>0.18857142857143058</c:v>
                </c:pt>
                <c:pt idx="5">
                  <c:v>0.19701492537313439</c:v>
                </c:pt>
                <c:pt idx="6">
                  <c:v>0.13012048192771083</c:v>
                </c:pt>
              </c:numCache>
            </c:numRef>
          </c:yVal>
          <c:smooth val="1"/>
          <c:extLst xmlns:c16r2="http://schemas.microsoft.com/office/drawing/2015/06/chart">
            <c:ext xmlns:c16="http://schemas.microsoft.com/office/drawing/2014/chart" uri="{C3380CC4-5D6E-409C-BE32-E72D297353CC}">
              <c16:uniqueId val="{00000001-E598-4176-B715-655EFEDBCD45}"/>
            </c:ext>
          </c:extLst>
        </c:ser>
        <c:ser>
          <c:idx val="2"/>
          <c:order val="2"/>
          <c:tx>
            <c:v>V:CM 1:3</c:v>
          </c:tx>
          <c:spPr>
            <a:ln w="9525" cap="rnd">
              <a:solidFill>
                <a:schemeClr val="bg1">
                  <a:lumMod val="50000"/>
                </a:schemeClr>
              </a:solidFill>
              <a:round/>
            </a:ln>
            <a:effectLst/>
          </c:spPr>
          <c:marker>
            <c:symbol val="star"/>
            <c:size val="3"/>
            <c:spPr>
              <a:noFill/>
              <a:ln w="9525">
                <a:solidFill>
                  <a:schemeClr val="tx1"/>
                </a:solidFill>
              </a:ln>
              <a:effectLst/>
            </c:spPr>
          </c:marker>
          <c:errBars>
            <c:errDir val="y"/>
            <c:errBarType val="both"/>
            <c:errValType val="stdErr"/>
            <c:spPr>
              <a:noFill/>
              <a:ln w="9525" cap="flat" cmpd="sng" algn="ctr">
                <a:solidFill>
                  <a:schemeClr val="tx1">
                    <a:lumMod val="65000"/>
                    <a:lumOff val="35000"/>
                  </a:schemeClr>
                </a:solidFill>
                <a:round/>
              </a:ln>
              <a:effectLst/>
            </c:spPr>
          </c:errBars>
          <c:xVal>
            <c:numRef>
              <c:f>Buffer!$B$1:$H$1</c:f>
              <c:numCache>
                <c:formatCode>General</c:formatCode>
                <c:ptCount val="7"/>
                <c:pt idx="0">
                  <c:v>0</c:v>
                </c:pt>
                <c:pt idx="1">
                  <c:v>5</c:v>
                </c:pt>
                <c:pt idx="2">
                  <c:v>10</c:v>
                </c:pt>
                <c:pt idx="3">
                  <c:v>15</c:v>
                </c:pt>
                <c:pt idx="4">
                  <c:v>20</c:v>
                </c:pt>
                <c:pt idx="5">
                  <c:v>25</c:v>
                </c:pt>
                <c:pt idx="6">
                  <c:v>30</c:v>
                </c:pt>
              </c:numCache>
            </c:numRef>
          </c:xVal>
          <c:yVal>
            <c:numRef>
              <c:f>Buffer!$B$6:$H$6</c:f>
              <c:numCache>
                <c:formatCode>0.00</c:formatCode>
                <c:ptCount val="7"/>
                <c:pt idx="0">
                  <c:v>0.48311688311688711</c:v>
                </c:pt>
                <c:pt idx="1">
                  <c:v>0.61304347826087824</c:v>
                </c:pt>
                <c:pt idx="2">
                  <c:v>0.42077922077922081</c:v>
                </c:pt>
                <c:pt idx="3">
                  <c:v>0.22222222222222221</c:v>
                </c:pt>
                <c:pt idx="4">
                  <c:v>0.23636363636363625</c:v>
                </c:pt>
                <c:pt idx="5">
                  <c:v>0.19701492537313439</c:v>
                </c:pt>
                <c:pt idx="6">
                  <c:v>0.20281690140845071</c:v>
                </c:pt>
              </c:numCache>
            </c:numRef>
          </c:yVal>
          <c:smooth val="1"/>
          <c:extLst xmlns:c16r2="http://schemas.microsoft.com/office/drawing/2015/06/chart">
            <c:ext xmlns:c16="http://schemas.microsoft.com/office/drawing/2014/chart" uri="{C3380CC4-5D6E-409C-BE32-E72D297353CC}">
              <c16:uniqueId val="{00000002-E598-4176-B715-655EFEDBCD45}"/>
            </c:ext>
          </c:extLst>
        </c:ser>
        <c:ser>
          <c:idx val="0"/>
          <c:order val="3"/>
          <c:tx>
            <c:v>V:CM 0:1</c:v>
          </c:tx>
          <c:spPr>
            <a:ln w="9525" cap="rnd">
              <a:solidFill>
                <a:schemeClr val="bg1">
                  <a:lumMod val="50000"/>
                </a:schemeClr>
              </a:solidFill>
              <a:round/>
            </a:ln>
            <a:effectLst/>
          </c:spPr>
          <c:marker>
            <c:symbol val="square"/>
            <c:size val="3"/>
            <c:spPr>
              <a:solidFill>
                <a:schemeClr val="bg1">
                  <a:lumMod val="50000"/>
                </a:schemeClr>
              </a:solidFill>
              <a:ln w="9525">
                <a:solidFill>
                  <a:schemeClr val="tx1"/>
                </a:solidFill>
              </a:ln>
              <a:effectLst/>
            </c:spPr>
          </c:marker>
          <c:errBars>
            <c:errDir val="y"/>
            <c:errBarType val="both"/>
            <c:errValType val="cust"/>
            <c:plus>
              <c:numRef>
                <c:f>Buffer!$B$5:$H$5</c:f>
                <c:numCache>
                  <c:formatCode>General</c:formatCode>
                  <c:ptCount val="7"/>
                  <c:pt idx="0">
                    <c:v>1.199999999999999E-2</c:v>
                  </c:pt>
                  <c:pt idx="1">
                    <c:v>6.0000000000000114E-3</c:v>
                  </c:pt>
                  <c:pt idx="2">
                    <c:v>6.0000000000000114E-3</c:v>
                  </c:pt>
                  <c:pt idx="3">
                    <c:v>6.0000000000000504E-3</c:v>
                  </c:pt>
                  <c:pt idx="4">
                    <c:v>1.2000000000000371E-2</c:v>
                  </c:pt>
                  <c:pt idx="5">
                    <c:v>2.3999999999999931E-2</c:v>
                  </c:pt>
                  <c:pt idx="6">
                    <c:v>4.0000000000000114E-3</c:v>
                  </c:pt>
                </c:numCache>
              </c:numRef>
            </c:plus>
            <c:minus>
              <c:numRef>
                <c:f>Buffer!$B$5:$H$5</c:f>
                <c:numCache>
                  <c:formatCode>General</c:formatCode>
                  <c:ptCount val="7"/>
                  <c:pt idx="0">
                    <c:v>1.199999999999999E-2</c:v>
                  </c:pt>
                  <c:pt idx="1">
                    <c:v>6.0000000000000114E-3</c:v>
                  </c:pt>
                  <c:pt idx="2">
                    <c:v>6.0000000000000114E-3</c:v>
                  </c:pt>
                  <c:pt idx="3">
                    <c:v>6.0000000000000504E-3</c:v>
                  </c:pt>
                  <c:pt idx="4">
                    <c:v>1.2000000000000371E-2</c:v>
                  </c:pt>
                  <c:pt idx="5">
                    <c:v>2.3999999999999931E-2</c:v>
                  </c:pt>
                  <c:pt idx="6">
                    <c:v>4.0000000000000114E-3</c:v>
                  </c:pt>
                </c:numCache>
              </c:numRef>
            </c:minus>
            <c:spPr>
              <a:noFill/>
              <a:ln w="9525" cap="flat" cmpd="sng" algn="ctr">
                <a:solidFill>
                  <a:schemeClr val="tx1">
                    <a:lumMod val="65000"/>
                    <a:lumOff val="35000"/>
                  </a:schemeClr>
                </a:solidFill>
                <a:round/>
              </a:ln>
              <a:effectLst/>
            </c:spPr>
          </c:errBars>
          <c:xVal>
            <c:numRef>
              <c:f>Buffer!$B$1:$H$1</c:f>
              <c:numCache>
                <c:formatCode>General</c:formatCode>
                <c:ptCount val="7"/>
                <c:pt idx="0">
                  <c:v>0</c:v>
                </c:pt>
                <c:pt idx="1">
                  <c:v>5</c:v>
                </c:pt>
                <c:pt idx="2">
                  <c:v>10</c:v>
                </c:pt>
                <c:pt idx="3">
                  <c:v>15</c:v>
                </c:pt>
                <c:pt idx="4">
                  <c:v>20</c:v>
                </c:pt>
                <c:pt idx="5">
                  <c:v>25</c:v>
                </c:pt>
                <c:pt idx="6">
                  <c:v>30</c:v>
                </c:pt>
              </c:numCache>
            </c:numRef>
          </c:xVal>
          <c:yVal>
            <c:numRef>
              <c:f>Buffer!$B$4:$H$4</c:f>
              <c:numCache>
                <c:formatCode>0.00</c:formatCode>
                <c:ptCount val="7"/>
                <c:pt idx="0">
                  <c:v>0.55238095238095231</c:v>
                </c:pt>
                <c:pt idx="1">
                  <c:v>0.61428571428571765</c:v>
                </c:pt>
                <c:pt idx="2">
                  <c:v>0.26896551724137935</c:v>
                </c:pt>
                <c:pt idx="3">
                  <c:v>0.1588235294117647</c:v>
                </c:pt>
                <c:pt idx="4">
                  <c:v>0.15652173913043638</c:v>
                </c:pt>
                <c:pt idx="5">
                  <c:v>0.16901408450704453</c:v>
                </c:pt>
                <c:pt idx="6">
                  <c:v>0.14736842105263287</c:v>
                </c:pt>
              </c:numCache>
            </c:numRef>
          </c:yVal>
          <c:smooth val="1"/>
          <c:extLst xmlns:c16r2="http://schemas.microsoft.com/office/drawing/2015/06/chart">
            <c:ext xmlns:c16="http://schemas.microsoft.com/office/drawing/2014/chart" uri="{C3380CC4-5D6E-409C-BE32-E72D297353CC}">
              <c16:uniqueId val="{00000003-E598-4176-B715-655EFEDBCD45}"/>
            </c:ext>
          </c:extLst>
        </c:ser>
        <c:axId val="75356032"/>
        <c:axId val="75431936"/>
      </c:scatterChart>
      <c:valAx>
        <c:axId val="75356032"/>
        <c:scaling>
          <c:orientation val="minMax"/>
          <c:max val="30"/>
        </c:scaling>
        <c:axPos val="b"/>
        <c:title>
          <c:tx>
            <c:rich>
              <a:bodyPr rot="0" spcFirstLastPara="1" vertOverflow="ellipsis" vert="horz" wrap="square" anchor="ctr" anchorCtr="1"/>
              <a:lstStyle/>
              <a:p>
                <a:pPr>
                  <a:defRPr lang="es-CO" sz="1000" b="1" i="0" u="none" strike="noStrike" kern="1200" baseline="0">
                    <a:solidFill>
                      <a:sysClr val="windowText" lastClr="000000"/>
                    </a:solidFill>
                    <a:latin typeface="+mn-lt"/>
                    <a:ea typeface="+mn-ea"/>
                    <a:cs typeface="+mn-cs"/>
                  </a:defRPr>
                </a:pPr>
                <a:r>
                  <a:rPr lang="es-CO" b="1">
                    <a:solidFill>
                      <a:sysClr val="windowText" lastClr="000000"/>
                    </a:solidFill>
                  </a:rPr>
                  <a:t>Digestion time (Days)</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1000" b="0" i="0" u="none" strike="noStrike" kern="1200" baseline="0">
                <a:solidFill>
                  <a:sysClr val="windowText" lastClr="000000"/>
                </a:solidFill>
                <a:latin typeface="+mn-lt"/>
                <a:ea typeface="+mn-ea"/>
                <a:cs typeface="+mn-cs"/>
              </a:defRPr>
            </a:pPr>
            <a:endParaRPr lang="es-CO"/>
          </a:p>
        </c:txPr>
        <c:crossAx val="75431936"/>
        <c:crosses val="autoZero"/>
        <c:crossBetween val="midCat"/>
        <c:majorUnit val="5"/>
      </c:valAx>
      <c:valAx>
        <c:axId val="75431936"/>
        <c:scaling>
          <c:orientation val="minMax"/>
        </c:scaling>
        <c:axPos val="l"/>
        <c:title>
          <c:tx>
            <c:rich>
              <a:bodyPr rot="-5400000" spcFirstLastPara="1" vertOverflow="ellipsis" vert="horz" wrap="square" anchor="ctr" anchorCtr="1"/>
              <a:lstStyle/>
              <a:p>
                <a:pPr>
                  <a:defRPr lang="es-CO" sz="1000" b="1" i="0" u="none" strike="noStrike" kern="1200" baseline="0">
                    <a:solidFill>
                      <a:sysClr val="windowText" lastClr="000000"/>
                    </a:solidFill>
                    <a:latin typeface="+mn-lt"/>
                    <a:ea typeface="+mn-ea"/>
                    <a:cs typeface="+mn-cs"/>
                  </a:defRPr>
                </a:pPr>
                <a:r>
                  <a:rPr lang="es-CO" b="1" baseline="0">
                    <a:solidFill>
                      <a:sysClr val="windowText" lastClr="000000"/>
                    </a:solidFill>
                  </a:rPr>
                  <a:t>Buffer capacity (TVFA/TA)</a:t>
                </a:r>
                <a:endParaRPr lang="es-CO" b="1">
                  <a:solidFill>
                    <a:sysClr val="windowText" lastClr="000000"/>
                  </a:solidFill>
                </a:endParaRPr>
              </a:p>
            </c:rich>
          </c:tx>
          <c:layout>
            <c:manualLayout>
              <c:xMode val="edge"/>
              <c:yMode val="edge"/>
              <c:x val="4.906313662933222E-3"/>
              <c:y val="0.1314574146593592"/>
            </c:manualLayout>
          </c:layout>
          <c:spPr>
            <a:noFill/>
            <a:ln>
              <a:noFill/>
            </a:ln>
            <a:effectLst/>
          </c:spPr>
        </c:title>
        <c:numFmt formatCode="0.0"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1000" b="0" i="0" u="none" strike="noStrike" kern="1200" baseline="0">
                <a:solidFill>
                  <a:sysClr val="windowText" lastClr="000000"/>
                </a:solidFill>
                <a:latin typeface="+mn-lt"/>
                <a:ea typeface="+mn-ea"/>
                <a:cs typeface="+mn-cs"/>
              </a:defRPr>
            </a:pPr>
            <a:endParaRPr lang="es-CO"/>
          </a:p>
        </c:txPr>
        <c:crossAx val="75356032"/>
        <c:crosses val="autoZero"/>
        <c:crossBetween val="midCat"/>
      </c:valAx>
      <c:spPr>
        <a:noFill/>
        <a:ln>
          <a:noFill/>
        </a:ln>
        <a:effectLst/>
      </c:spPr>
    </c:plotArea>
    <c:legend>
      <c:legendPos val="r"/>
      <c:layout>
        <c:manualLayout>
          <c:xMode val="edge"/>
          <c:yMode val="edge"/>
          <c:x val="0.73263838681266658"/>
          <c:y val="0.24003548196333696"/>
          <c:w val="0.26363230331502685"/>
          <c:h val="0.38346596385682863"/>
        </c:manualLayout>
      </c:layout>
      <c:spPr>
        <a:noFill/>
        <a:ln>
          <a:noFill/>
        </a:ln>
        <a:effectLst/>
      </c:spPr>
      <c:txPr>
        <a:bodyPr rot="0" spcFirstLastPara="1" vertOverflow="ellipsis" vert="horz" wrap="square" anchor="ctr" anchorCtr="1"/>
        <a:lstStyle/>
        <a:p>
          <a:pPr>
            <a:defRPr lang="es-CO" sz="900" b="0" i="0" u="none" strike="noStrike" kern="1200" baseline="0">
              <a:solidFill>
                <a:sysClr val="windowText" lastClr="000000"/>
              </a:solidFill>
              <a:latin typeface="+mn-lt"/>
              <a:ea typeface="+mn-ea"/>
              <a:cs typeface="+mn-cs"/>
            </a:defRPr>
          </a:pPr>
          <a:endParaRPr lang="es-CO"/>
        </a:p>
      </c:txPr>
    </c:legend>
    <c:plotVisOnly val="1"/>
    <c:dispBlanksAs val="gap"/>
  </c:chart>
  <c:spPr>
    <a:solidFill>
      <a:schemeClr val="bg1"/>
    </a:solidFill>
    <a:ln w="9525" cap="flat" cmpd="sng" algn="ctr">
      <a:noFill/>
      <a:round/>
    </a:ln>
    <a:effectLst/>
  </c:spPr>
  <c:txPr>
    <a:bodyPr/>
    <a:lstStyle/>
    <a:p>
      <a:pPr>
        <a:defRPr/>
      </a:pPr>
      <a:endParaRPr lang="es-CO"/>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6633255894559568"/>
          <c:y val="0.12211991335329365"/>
          <c:w val="0.56595212522959704"/>
          <c:h val="0.67087015340179335"/>
        </c:manualLayout>
      </c:layout>
      <c:scatterChart>
        <c:scatterStyle val="smoothMarker"/>
        <c:ser>
          <c:idx val="0"/>
          <c:order val="0"/>
          <c:tx>
            <c:v>V:CM 1:0</c:v>
          </c:tx>
          <c:spPr>
            <a:ln w="9525" cap="rnd">
              <a:solidFill>
                <a:schemeClr val="tx1"/>
              </a:solidFill>
              <a:round/>
            </a:ln>
            <a:effectLst/>
          </c:spPr>
          <c:marker>
            <c:symbol val="circle"/>
            <c:size val="3"/>
            <c:spPr>
              <a:solidFill>
                <a:schemeClr val="tx1"/>
              </a:solidFill>
              <a:ln w="9525">
                <a:solidFill>
                  <a:schemeClr val="tx1"/>
                </a:solidFill>
              </a:ln>
              <a:effectLst/>
            </c:spPr>
          </c:marker>
          <c:errBars>
            <c:errDir val="y"/>
            <c:errBarType val="both"/>
            <c:errValType val="cust"/>
            <c:plus>
              <c:numRef>
                <c:f>pH!$C$9:$I$9</c:f>
                <c:numCache>
                  <c:formatCode>General</c:formatCode>
                  <c:ptCount val="7"/>
                  <c:pt idx="0">
                    <c:v>9.1923881554251144E-2</c:v>
                  </c:pt>
                  <c:pt idx="1">
                    <c:v>0.12020815280171319</c:v>
                  </c:pt>
                  <c:pt idx="2">
                    <c:v>0.12020815280171319</c:v>
                  </c:pt>
                  <c:pt idx="3">
                    <c:v>7.7781745930520521E-2</c:v>
                  </c:pt>
                  <c:pt idx="4">
                    <c:v>9.1923881554251144E-2</c:v>
                  </c:pt>
                  <c:pt idx="5">
                    <c:v>0.14849242404917612</c:v>
                  </c:pt>
                  <c:pt idx="6">
                    <c:v>0.11313708498984708</c:v>
                  </c:pt>
                </c:numCache>
              </c:numRef>
            </c:plus>
            <c:minus>
              <c:numRef>
                <c:f>pH!$C$9:$I$9</c:f>
                <c:numCache>
                  <c:formatCode>General</c:formatCode>
                  <c:ptCount val="7"/>
                  <c:pt idx="0">
                    <c:v>9.1923881554251144E-2</c:v>
                  </c:pt>
                  <c:pt idx="1">
                    <c:v>0.12020815280171319</c:v>
                  </c:pt>
                  <c:pt idx="2">
                    <c:v>0.12020815280171319</c:v>
                  </c:pt>
                  <c:pt idx="3">
                    <c:v>7.7781745930520521E-2</c:v>
                  </c:pt>
                  <c:pt idx="4">
                    <c:v>9.1923881554251144E-2</c:v>
                  </c:pt>
                  <c:pt idx="5">
                    <c:v>0.14849242404917612</c:v>
                  </c:pt>
                  <c:pt idx="6">
                    <c:v>0.11313708498984708</c:v>
                  </c:pt>
                </c:numCache>
              </c:numRef>
            </c:minus>
            <c:spPr>
              <a:noFill/>
              <a:ln w="9525" cap="flat" cmpd="sng" algn="ctr">
                <a:solidFill>
                  <a:schemeClr val="tx1">
                    <a:lumMod val="65000"/>
                    <a:lumOff val="35000"/>
                  </a:schemeClr>
                </a:solidFill>
                <a:round/>
              </a:ln>
              <a:effectLst/>
            </c:spPr>
          </c:errBars>
          <c:xVal>
            <c:numRef>
              <c:f>pH!$C$1:$I$1</c:f>
              <c:numCache>
                <c:formatCode>General</c:formatCode>
                <c:ptCount val="7"/>
                <c:pt idx="0">
                  <c:v>0</c:v>
                </c:pt>
                <c:pt idx="1">
                  <c:v>5</c:v>
                </c:pt>
                <c:pt idx="2">
                  <c:v>10</c:v>
                </c:pt>
                <c:pt idx="3">
                  <c:v>15</c:v>
                </c:pt>
                <c:pt idx="4">
                  <c:v>20</c:v>
                </c:pt>
                <c:pt idx="5">
                  <c:v>25</c:v>
                </c:pt>
                <c:pt idx="6">
                  <c:v>30</c:v>
                </c:pt>
              </c:numCache>
            </c:numRef>
          </c:xVal>
          <c:yVal>
            <c:numRef>
              <c:f>pH!$C$8:$I$8</c:f>
              <c:numCache>
                <c:formatCode>0.00</c:formatCode>
                <c:ptCount val="7"/>
                <c:pt idx="0">
                  <c:v>7.7149999999999945</c:v>
                </c:pt>
                <c:pt idx="1">
                  <c:v>6.7050000000000001</c:v>
                </c:pt>
                <c:pt idx="2">
                  <c:v>7.4550000000000001</c:v>
                </c:pt>
                <c:pt idx="3">
                  <c:v>7.7349999999999985</c:v>
                </c:pt>
                <c:pt idx="4">
                  <c:v>7.8149999999999755</c:v>
                </c:pt>
                <c:pt idx="5">
                  <c:v>7.8049999999999855</c:v>
                </c:pt>
                <c:pt idx="6">
                  <c:v>7.73</c:v>
                </c:pt>
              </c:numCache>
            </c:numRef>
          </c:yVal>
          <c:smooth val="1"/>
          <c:extLst xmlns:c16r2="http://schemas.microsoft.com/office/drawing/2015/06/chart">
            <c:ext xmlns:c16="http://schemas.microsoft.com/office/drawing/2014/chart" uri="{C3380CC4-5D6E-409C-BE32-E72D297353CC}">
              <c16:uniqueId val="{00000000-CB77-488F-B528-831C1EC53C2C}"/>
            </c:ext>
          </c:extLst>
        </c:ser>
        <c:ser>
          <c:idx val="3"/>
          <c:order val="1"/>
          <c:tx>
            <c:v>V:CM 3:1</c:v>
          </c:tx>
          <c:spPr>
            <a:ln w="9525" cap="rnd">
              <a:solidFill>
                <a:schemeClr val="tx1"/>
              </a:solidFill>
              <a:round/>
            </a:ln>
            <a:effectLst/>
          </c:spPr>
          <c:marker>
            <c:symbol val="triangle"/>
            <c:size val="3"/>
            <c:spPr>
              <a:noFill/>
              <a:ln w="9525">
                <a:solidFill>
                  <a:schemeClr val="tx1">
                    <a:lumMod val="50000"/>
                    <a:lumOff val="50000"/>
                  </a:schemeClr>
                </a:solidFill>
              </a:ln>
              <a:effectLst/>
            </c:spPr>
          </c:marker>
          <c:errBars>
            <c:errDir val="y"/>
            <c:errBarType val="both"/>
            <c:errValType val="cust"/>
            <c:plus>
              <c:numRef>
                <c:f>pH!$C$17:$I$17</c:f>
                <c:numCache>
                  <c:formatCode>General</c:formatCode>
                  <c:ptCount val="7"/>
                  <c:pt idx="0">
                    <c:v>1.4142135623731285E-2</c:v>
                  </c:pt>
                  <c:pt idx="1">
                    <c:v>0.19798989873223524</c:v>
                  </c:pt>
                  <c:pt idx="2">
                    <c:v>8.4852813742385777E-2</c:v>
                  </c:pt>
                  <c:pt idx="3">
                    <c:v>0.19091883092036913</c:v>
                  </c:pt>
                  <c:pt idx="4">
                    <c:v>4.2426406871193534E-2</c:v>
                  </c:pt>
                  <c:pt idx="5">
                    <c:v>6.3639610306789177E-2</c:v>
                  </c:pt>
                  <c:pt idx="6">
                    <c:v>8.4852813742385166E-2</c:v>
                  </c:pt>
                </c:numCache>
              </c:numRef>
            </c:plus>
            <c:minus>
              <c:numRef>
                <c:f>pH!$C$17:$I$17</c:f>
                <c:numCache>
                  <c:formatCode>General</c:formatCode>
                  <c:ptCount val="7"/>
                  <c:pt idx="0">
                    <c:v>1.4142135623731285E-2</c:v>
                  </c:pt>
                  <c:pt idx="1">
                    <c:v>0.19798989873223524</c:v>
                  </c:pt>
                  <c:pt idx="2">
                    <c:v>8.4852813742385777E-2</c:v>
                  </c:pt>
                  <c:pt idx="3">
                    <c:v>0.19091883092036913</c:v>
                  </c:pt>
                  <c:pt idx="4">
                    <c:v>4.2426406871193534E-2</c:v>
                  </c:pt>
                  <c:pt idx="5">
                    <c:v>6.3639610306789177E-2</c:v>
                  </c:pt>
                  <c:pt idx="6">
                    <c:v>8.4852813742385166E-2</c:v>
                  </c:pt>
                </c:numCache>
              </c:numRef>
            </c:minus>
            <c:spPr>
              <a:noFill/>
              <a:ln w="9525" cap="flat" cmpd="sng" algn="ctr">
                <a:solidFill>
                  <a:schemeClr val="tx1">
                    <a:lumMod val="65000"/>
                    <a:lumOff val="35000"/>
                  </a:schemeClr>
                </a:solidFill>
                <a:round/>
              </a:ln>
              <a:effectLst/>
            </c:spPr>
          </c:errBars>
          <c:xVal>
            <c:numRef>
              <c:f>pH!$C$1:$I$1</c:f>
              <c:numCache>
                <c:formatCode>General</c:formatCode>
                <c:ptCount val="7"/>
                <c:pt idx="0">
                  <c:v>0</c:v>
                </c:pt>
                <c:pt idx="1">
                  <c:v>5</c:v>
                </c:pt>
                <c:pt idx="2">
                  <c:v>10</c:v>
                </c:pt>
                <c:pt idx="3">
                  <c:v>15</c:v>
                </c:pt>
                <c:pt idx="4">
                  <c:v>20</c:v>
                </c:pt>
                <c:pt idx="5">
                  <c:v>25</c:v>
                </c:pt>
                <c:pt idx="6">
                  <c:v>30</c:v>
                </c:pt>
              </c:numCache>
            </c:numRef>
          </c:xVal>
          <c:yVal>
            <c:numRef>
              <c:f>pH!$C$16:$I$16</c:f>
              <c:numCache>
                <c:formatCode>0.00</c:formatCode>
                <c:ptCount val="7"/>
                <c:pt idx="0">
                  <c:v>7.9700000000000024</c:v>
                </c:pt>
                <c:pt idx="1">
                  <c:v>7.48</c:v>
                </c:pt>
                <c:pt idx="2">
                  <c:v>7.92</c:v>
                </c:pt>
                <c:pt idx="3">
                  <c:v>8.0550000000000068</c:v>
                </c:pt>
                <c:pt idx="4">
                  <c:v>8.120000000000001</c:v>
                </c:pt>
                <c:pt idx="5">
                  <c:v>8.0550000000000068</c:v>
                </c:pt>
                <c:pt idx="6">
                  <c:v>8.0500000000000007</c:v>
                </c:pt>
              </c:numCache>
            </c:numRef>
          </c:yVal>
          <c:smooth val="1"/>
          <c:extLst xmlns:c16r2="http://schemas.microsoft.com/office/drawing/2015/06/chart">
            <c:ext xmlns:c16="http://schemas.microsoft.com/office/drawing/2014/chart" uri="{C3380CC4-5D6E-409C-BE32-E72D297353CC}">
              <c16:uniqueId val="{00000001-CB77-488F-B528-831C1EC53C2C}"/>
            </c:ext>
          </c:extLst>
        </c:ser>
        <c:ser>
          <c:idx val="2"/>
          <c:order val="2"/>
          <c:tx>
            <c:v>V:CM 1:3</c:v>
          </c:tx>
          <c:spPr>
            <a:ln w="9525" cap="rnd">
              <a:solidFill>
                <a:schemeClr val="bg1">
                  <a:lumMod val="50000"/>
                </a:schemeClr>
              </a:solidFill>
              <a:round/>
            </a:ln>
            <a:effectLst/>
          </c:spPr>
          <c:marker>
            <c:symbol val="star"/>
            <c:size val="3"/>
            <c:spPr>
              <a:noFill/>
              <a:ln w="9525">
                <a:solidFill>
                  <a:schemeClr val="tx1"/>
                </a:solidFill>
              </a:ln>
              <a:effectLst/>
            </c:spPr>
          </c:marker>
          <c:errBars>
            <c:errDir val="y"/>
            <c:errBarType val="both"/>
            <c:errValType val="cust"/>
            <c:plus>
              <c:numRef>
                <c:f>pH!$C$13:$I$13</c:f>
                <c:numCache>
                  <c:formatCode>General</c:formatCode>
                  <c:ptCount val="7"/>
                  <c:pt idx="0">
                    <c:v>3.5355339059327882E-2</c:v>
                  </c:pt>
                  <c:pt idx="1">
                    <c:v>2.1213203435596652E-2</c:v>
                  </c:pt>
                  <c:pt idx="2">
                    <c:v>6.3639610306789177E-2</c:v>
                  </c:pt>
                  <c:pt idx="3">
                    <c:v>1.4142135623730746E-2</c:v>
                  </c:pt>
                  <c:pt idx="4">
                    <c:v>3.5355339059326654E-2</c:v>
                  </c:pt>
                  <c:pt idx="5">
                    <c:v>6.3639610306789177E-2</c:v>
                  </c:pt>
                  <c:pt idx="6">
                    <c:v>7.7781745930521534E-2</c:v>
                  </c:pt>
                </c:numCache>
              </c:numRef>
            </c:plus>
            <c:minus>
              <c:numRef>
                <c:f>pH!$C$13:$I$13</c:f>
                <c:numCache>
                  <c:formatCode>General</c:formatCode>
                  <c:ptCount val="7"/>
                  <c:pt idx="0">
                    <c:v>3.5355339059327882E-2</c:v>
                  </c:pt>
                  <c:pt idx="1">
                    <c:v>2.1213203435596652E-2</c:v>
                  </c:pt>
                  <c:pt idx="2">
                    <c:v>6.3639610306789177E-2</c:v>
                  </c:pt>
                  <c:pt idx="3">
                    <c:v>1.4142135623730746E-2</c:v>
                  </c:pt>
                  <c:pt idx="4">
                    <c:v>3.5355339059326654E-2</c:v>
                  </c:pt>
                  <c:pt idx="5">
                    <c:v>6.3639610306789177E-2</c:v>
                  </c:pt>
                  <c:pt idx="6">
                    <c:v>7.7781745930521534E-2</c:v>
                  </c:pt>
                </c:numCache>
              </c:numRef>
            </c:minus>
            <c:spPr>
              <a:noFill/>
              <a:ln w="9525" cap="flat" cmpd="sng" algn="ctr">
                <a:solidFill>
                  <a:schemeClr val="tx1">
                    <a:lumMod val="65000"/>
                    <a:lumOff val="35000"/>
                  </a:schemeClr>
                </a:solidFill>
                <a:round/>
              </a:ln>
              <a:effectLst/>
            </c:spPr>
          </c:errBars>
          <c:xVal>
            <c:numRef>
              <c:f>pH!$C$1:$I$1</c:f>
              <c:numCache>
                <c:formatCode>General</c:formatCode>
                <c:ptCount val="7"/>
                <c:pt idx="0">
                  <c:v>0</c:v>
                </c:pt>
                <c:pt idx="1">
                  <c:v>5</c:v>
                </c:pt>
                <c:pt idx="2">
                  <c:v>10</c:v>
                </c:pt>
                <c:pt idx="3">
                  <c:v>15</c:v>
                </c:pt>
                <c:pt idx="4">
                  <c:v>20</c:v>
                </c:pt>
                <c:pt idx="5">
                  <c:v>25</c:v>
                </c:pt>
                <c:pt idx="6">
                  <c:v>30</c:v>
                </c:pt>
              </c:numCache>
            </c:numRef>
          </c:xVal>
          <c:yVal>
            <c:numRef>
              <c:f>pH!$C$12:$I$12</c:f>
              <c:numCache>
                <c:formatCode>0.00</c:formatCode>
                <c:ptCount val="7"/>
                <c:pt idx="0">
                  <c:v>8.2050000000000001</c:v>
                </c:pt>
                <c:pt idx="1">
                  <c:v>7.9450000000000003</c:v>
                </c:pt>
                <c:pt idx="2">
                  <c:v>8.2150000000000016</c:v>
                </c:pt>
                <c:pt idx="3">
                  <c:v>8.31</c:v>
                </c:pt>
                <c:pt idx="4">
                  <c:v>8.1650000000000027</c:v>
                </c:pt>
                <c:pt idx="5">
                  <c:v>8.1349999999999998</c:v>
                </c:pt>
                <c:pt idx="6">
                  <c:v>8.1550000000000047</c:v>
                </c:pt>
              </c:numCache>
            </c:numRef>
          </c:yVal>
          <c:smooth val="1"/>
          <c:extLst xmlns:c16r2="http://schemas.microsoft.com/office/drawing/2015/06/chart">
            <c:ext xmlns:c16="http://schemas.microsoft.com/office/drawing/2014/chart" uri="{C3380CC4-5D6E-409C-BE32-E72D297353CC}">
              <c16:uniqueId val="{00000002-CB77-488F-B528-831C1EC53C2C}"/>
            </c:ext>
          </c:extLst>
        </c:ser>
        <c:ser>
          <c:idx val="1"/>
          <c:order val="3"/>
          <c:tx>
            <c:v>V:CM 0:1</c:v>
          </c:tx>
          <c:spPr>
            <a:ln w="9525" cap="rnd">
              <a:solidFill>
                <a:schemeClr val="bg1">
                  <a:lumMod val="50000"/>
                </a:schemeClr>
              </a:solidFill>
              <a:round/>
            </a:ln>
            <a:effectLst/>
          </c:spPr>
          <c:marker>
            <c:symbol val="square"/>
            <c:size val="3"/>
            <c:spPr>
              <a:solidFill>
                <a:schemeClr val="bg1">
                  <a:lumMod val="50000"/>
                </a:schemeClr>
              </a:solidFill>
              <a:ln w="9525">
                <a:solidFill>
                  <a:schemeClr val="tx1"/>
                </a:solidFill>
              </a:ln>
              <a:effectLst/>
            </c:spPr>
          </c:marker>
          <c:errBars>
            <c:errDir val="y"/>
            <c:errBarType val="both"/>
            <c:errValType val="cust"/>
            <c:plus>
              <c:numRef>
                <c:f>pH!$C$5:$I$5</c:f>
                <c:numCache>
                  <c:formatCode>General</c:formatCode>
                  <c:ptCount val="7"/>
                  <c:pt idx="0">
                    <c:v>0.11313708498984765</c:v>
                  </c:pt>
                  <c:pt idx="1">
                    <c:v>0.10606601717798272</c:v>
                  </c:pt>
                  <c:pt idx="2">
                    <c:v>9.1923881554250506E-2</c:v>
                  </c:pt>
                  <c:pt idx="3">
                    <c:v>0.11313708498984765</c:v>
                  </c:pt>
                  <c:pt idx="4">
                    <c:v>0.13435028842544391</c:v>
                  </c:pt>
                  <c:pt idx="5">
                    <c:v>9.8994949366118301E-2</c:v>
                  </c:pt>
                  <c:pt idx="6">
                    <c:v>4.2426406871192014E-2</c:v>
                  </c:pt>
                </c:numCache>
              </c:numRef>
            </c:plus>
            <c:minus>
              <c:numRef>
                <c:f>pH!$C$5:$I$5</c:f>
                <c:numCache>
                  <c:formatCode>General</c:formatCode>
                  <c:ptCount val="7"/>
                  <c:pt idx="0">
                    <c:v>0.11313708498984765</c:v>
                  </c:pt>
                  <c:pt idx="1">
                    <c:v>0.10606601717798272</c:v>
                  </c:pt>
                  <c:pt idx="2">
                    <c:v>9.1923881554250506E-2</c:v>
                  </c:pt>
                  <c:pt idx="3">
                    <c:v>0.11313708498984765</c:v>
                  </c:pt>
                  <c:pt idx="4">
                    <c:v>0.13435028842544391</c:v>
                  </c:pt>
                  <c:pt idx="5">
                    <c:v>9.8994949366118301E-2</c:v>
                  </c:pt>
                  <c:pt idx="6">
                    <c:v>4.2426406871192014E-2</c:v>
                  </c:pt>
                </c:numCache>
              </c:numRef>
            </c:minus>
            <c:spPr>
              <a:noFill/>
              <a:ln w="9525" cap="flat" cmpd="sng" algn="ctr">
                <a:solidFill>
                  <a:schemeClr val="tx1">
                    <a:lumMod val="65000"/>
                    <a:lumOff val="35000"/>
                  </a:schemeClr>
                </a:solidFill>
                <a:round/>
              </a:ln>
              <a:effectLst/>
            </c:spPr>
          </c:errBars>
          <c:xVal>
            <c:numRef>
              <c:f>pH!$C$1:$I$1</c:f>
              <c:numCache>
                <c:formatCode>General</c:formatCode>
                <c:ptCount val="7"/>
                <c:pt idx="0">
                  <c:v>0</c:v>
                </c:pt>
                <c:pt idx="1">
                  <c:v>5</c:v>
                </c:pt>
                <c:pt idx="2">
                  <c:v>10</c:v>
                </c:pt>
                <c:pt idx="3">
                  <c:v>15</c:v>
                </c:pt>
                <c:pt idx="4">
                  <c:v>20</c:v>
                </c:pt>
                <c:pt idx="5">
                  <c:v>25</c:v>
                </c:pt>
                <c:pt idx="6">
                  <c:v>30</c:v>
                </c:pt>
              </c:numCache>
            </c:numRef>
          </c:xVal>
          <c:yVal>
            <c:numRef>
              <c:f>pH!$C$4:$I$4</c:f>
              <c:numCache>
                <c:formatCode>0.00</c:formatCode>
                <c:ptCount val="7"/>
                <c:pt idx="0">
                  <c:v>8.26</c:v>
                </c:pt>
                <c:pt idx="1">
                  <c:v>8.0750000000000028</c:v>
                </c:pt>
                <c:pt idx="2">
                  <c:v>8.2750000000000004</c:v>
                </c:pt>
                <c:pt idx="3">
                  <c:v>8.2200000000000006</c:v>
                </c:pt>
                <c:pt idx="4">
                  <c:v>8.3350000000000026</c:v>
                </c:pt>
                <c:pt idx="5">
                  <c:v>8.39</c:v>
                </c:pt>
                <c:pt idx="6">
                  <c:v>8.42</c:v>
                </c:pt>
              </c:numCache>
            </c:numRef>
          </c:yVal>
          <c:smooth val="1"/>
          <c:extLst xmlns:c16r2="http://schemas.microsoft.com/office/drawing/2015/06/chart">
            <c:ext xmlns:c16="http://schemas.microsoft.com/office/drawing/2014/chart" uri="{C3380CC4-5D6E-409C-BE32-E72D297353CC}">
              <c16:uniqueId val="{00000003-CB77-488F-B528-831C1EC53C2C}"/>
            </c:ext>
          </c:extLst>
        </c:ser>
        <c:axId val="75490432"/>
        <c:axId val="75492352"/>
      </c:scatterChart>
      <c:valAx>
        <c:axId val="75490432"/>
        <c:scaling>
          <c:orientation val="minMax"/>
          <c:max val="30"/>
        </c:scaling>
        <c:axPos val="b"/>
        <c:title>
          <c:tx>
            <c:rich>
              <a:bodyPr rot="0" spcFirstLastPara="1" vertOverflow="ellipsis" vert="horz" wrap="square" anchor="ctr" anchorCtr="1"/>
              <a:lstStyle/>
              <a:p>
                <a:pPr>
                  <a:defRPr lang="es-CO" sz="1000" b="1" i="0" u="none" strike="noStrike" kern="1200" baseline="0">
                    <a:solidFill>
                      <a:sysClr val="windowText" lastClr="000000"/>
                    </a:solidFill>
                    <a:latin typeface="+mn-lt"/>
                    <a:ea typeface="+mn-ea"/>
                    <a:cs typeface="+mn-cs"/>
                  </a:defRPr>
                </a:pPr>
                <a:r>
                  <a:rPr lang="es-CO" b="1"/>
                  <a:t>Digestion time (Days)</a:t>
                </a:r>
              </a:p>
            </c:rich>
          </c:tx>
          <c:layout>
            <c:manualLayout>
              <c:xMode val="edge"/>
              <c:yMode val="edge"/>
              <c:x val="0.35488761241551781"/>
              <c:y val="0.92610494079174677"/>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1000" b="0" i="0" u="none" strike="noStrike" kern="1200" baseline="0">
                <a:solidFill>
                  <a:sysClr val="windowText" lastClr="000000"/>
                </a:solidFill>
                <a:latin typeface="+mn-lt"/>
                <a:ea typeface="+mn-ea"/>
                <a:cs typeface="+mn-cs"/>
              </a:defRPr>
            </a:pPr>
            <a:endParaRPr lang="es-CO"/>
          </a:p>
        </c:txPr>
        <c:crossAx val="75492352"/>
        <c:crosses val="autoZero"/>
        <c:crossBetween val="midCat"/>
        <c:majorUnit val="5"/>
      </c:valAx>
      <c:valAx>
        <c:axId val="75492352"/>
        <c:scaling>
          <c:orientation val="minMax"/>
          <c:max val="10"/>
          <c:min val="6"/>
        </c:scaling>
        <c:axPos val="l"/>
        <c:title>
          <c:tx>
            <c:rich>
              <a:bodyPr rot="-5400000" spcFirstLastPara="1" vertOverflow="ellipsis" vert="horz" wrap="square" anchor="ctr" anchorCtr="1"/>
              <a:lstStyle/>
              <a:p>
                <a:pPr>
                  <a:defRPr lang="es-CO" sz="1050" b="1" i="0" u="none" strike="noStrike" kern="1200" baseline="0">
                    <a:solidFill>
                      <a:sysClr val="windowText" lastClr="000000"/>
                    </a:solidFill>
                    <a:latin typeface="+mn-lt"/>
                    <a:ea typeface="+mn-ea"/>
                    <a:cs typeface="+mn-cs"/>
                  </a:defRPr>
                </a:pPr>
                <a:r>
                  <a:rPr lang="es-CO" sz="1050" b="1"/>
                  <a:t>pH</a:t>
                </a:r>
              </a:p>
            </c:rich>
          </c:tx>
          <c:layout>
            <c:manualLayout>
              <c:xMode val="edge"/>
              <c:yMode val="edge"/>
              <c:x val="4.2479620849884033E-4"/>
              <c:y val="0.43331932395807166"/>
            </c:manualLayout>
          </c:layout>
          <c:spPr>
            <a:noFill/>
            <a:ln>
              <a:noFill/>
            </a:ln>
            <a:effectLst/>
          </c:spPr>
        </c:title>
        <c:numFmt formatCode="0.0"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s-CO" sz="1000" b="0" i="0" u="none" strike="noStrike" kern="1200" baseline="0">
                <a:solidFill>
                  <a:sysClr val="windowText" lastClr="000000"/>
                </a:solidFill>
                <a:latin typeface="+mn-lt"/>
                <a:ea typeface="+mn-ea"/>
                <a:cs typeface="+mn-cs"/>
              </a:defRPr>
            </a:pPr>
            <a:endParaRPr lang="es-CO"/>
          </a:p>
        </c:txPr>
        <c:crossAx val="75490432"/>
        <c:crosses val="autoZero"/>
        <c:crossBetween val="midCat"/>
        <c:majorUnit val="0.5"/>
      </c:valAx>
      <c:spPr>
        <a:noFill/>
        <a:ln>
          <a:noFill/>
        </a:ln>
        <a:effectLst/>
      </c:spPr>
    </c:plotArea>
    <c:legend>
      <c:legendPos val="r"/>
      <c:layout>
        <c:manualLayout>
          <c:xMode val="edge"/>
          <c:yMode val="edge"/>
          <c:x val="0.75074435165110676"/>
          <c:y val="0.2914723049938644"/>
          <c:w val="0.24414592077109226"/>
          <c:h val="0.37674524338576032"/>
        </c:manualLayout>
      </c:layout>
      <c:spPr>
        <a:noFill/>
        <a:ln>
          <a:noFill/>
        </a:ln>
        <a:effectLst/>
      </c:spPr>
      <c:txPr>
        <a:bodyPr rot="0" spcFirstLastPara="1" vertOverflow="ellipsis" vert="horz" wrap="square" anchor="ctr" anchorCtr="1"/>
        <a:lstStyle/>
        <a:p>
          <a:pPr>
            <a:defRPr lang="es-CO" sz="1000" b="0" i="0" u="none" strike="noStrike" kern="1200" baseline="0">
              <a:solidFill>
                <a:sysClr val="windowText" lastClr="000000"/>
              </a:solidFill>
              <a:latin typeface="+mn-lt"/>
              <a:ea typeface="+mn-ea"/>
              <a:cs typeface="+mn-cs"/>
            </a:defRPr>
          </a:pPr>
          <a:endParaRPr lang="es-CO"/>
        </a:p>
      </c:txPr>
    </c:legend>
    <c:plotVisOnly val="1"/>
    <c:dispBlanksAs val="gap"/>
  </c:chart>
  <c:spPr>
    <a:solidFill>
      <a:schemeClr val="bg1"/>
    </a:solidFill>
    <a:ln w="9525" cap="flat" cmpd="sng" algn="ctr">
      <a:noFill/>
      <a:round/>
    </a:ln>
    <a:effectLst/>
  </c:spPr>
  <c:txPr>
    <a:bodyPr/>
    <a:lstStyle/>
    <a:p>
      <a:pPr>
        <a:defRPr sz="1000">
          <a:solidFill>
            <a:sysClr val="windowText" lastClr="000000"/>
          </a:solidFill>
        </a:defRPr>
      </a:pPr>
      <a:endParaRPr lang="es-CO"/>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manualLayout>
          <c:layoutTarget val="inner"/>
          <c:xMode val="edge"/>
          <c:yMode val="edge"/>
          <c:x val="0.1848613845144379"/>
          <c:y val="9.3066990575758943E-2"/>
          <c:w val="0.53542596237970264"/>
          <c:h val="0.69878392301802605"/>
        </c:manualLayout>
      </c:layout>
      <c:scatterChart>
        <c:scatterStyle val="smoothMarker"/>
        <c:ser>
          <c:idx val="0"/>
          <c:order val="0"/>
          <c:tx>
            <c:v>V:CM 1:0</c:v>
          </c:tx>
          <c:spPr>
            <a:ln w="9525">
              <a:solidFill>
                <a:schemeClr val="tx1"/>
              </a:solidFill>
            </a:ln>
          </c:spPr>
          <c:marker>
            <c:symbol val="circle"/>
            <c:size val="3"/>
            <c:spPr>
              <a:solidFill>
                <a:schemeClr val="tx1"/>
              </a:solidFill>
              <a:ln>
                <a:solidFill>
                  <a:schemeClr val="tx1"/>
                </a:solidFill>
              </a:ln>
            </c:spPr>
          </c:marker>
          <c:errBars>
            <c:errDir val="y"/>
            <c:errBarType val="both"/>
            <c:errValType val="cust"/>
            <c:plus>
              <c:numRef>
                <c:f>AMONIO!$I$24:$I$30</c:f>
                <c:numCache>
                  <c:formatCode>General</c:formatCode>
                  <c:ptCount val="7"/>
                  <c:pt idx="0">
                    <c:v>0.80863718702913245</c:v>
                  </c:pt>
                  <c:pt idx="1">
                    <c:v>6.6888708299213855</c:v>
                  </c:pt>
                  <c:pt idx="2">
                    <c:v>14.525604338750076</c:v>
                  </c:pt>
                  <c:pt idx="3">
                    <c:v>21.513806102163628</c:v>
                  </c:pt>
                  <c:pt idx="4">
                    <c:v>30.432644103177527</c:v>
                  </c:pt>
                  <c:pt idx="5">
                    <c:v>33.242783814102012</c:v>
                  </c:pt>
                  <c:pt idx="6">
                    <c:v>39.774753166263174</c:v>
                  </c:pt>
                </c:numCache>
              </c:numRef>
            </c:plus>
            <c:minus>
              <c:numRef>
                <c:f>AMONIO!$I$24:$I$30</c:f>
                <c:numCache>
                  <c:formatCode>General</c:formatCode>
                  <c:ptCount val="7"/>
                  <c:pt idx="0">
                    <c:v>0.80863718702913245</c:v>
                  </c:pt>
                  <c:pt idx="1">
                    <c:v>6.6888708299213855</c:v>
                  </c:pt>
                  <c:pt idx="2">
                    <c:v>14.525604338750076</c:v>
                  </c:pt>
                  <c:pt idx="3">
                    <c:v>21.513806102163628</c:v>
                  </c:pt>
                  <c:pt idx="4">
                    <c:v>30.432644103177527</c:v>
                  </c:pt>
                  <c:pt idx="5">
                    <c:v>33.242783814102012</c:v>
                  </c:pt>
                  <c:pt idx="6">
                    <c:v>39.774753166263174</c:v>
                  </c:pt>
                </c:numCache>
              </c:numRef>
            </c:minus>
          </c:errBars>
          <c:xVal>
            <c:numRef>
              <c:f>AMONIO!$G$24:$G$30</c:f>
              <c:numCache>
                <c:formatCode>General</c:formatCode>
                <c:ptCount val="7"/>
                <c:pt idx="0">
                  <c:v>0</c:v>
                </c:pt>
                <c:pt idx="1">
                  <c:v>5</c:v>
                </c:pt>
                <c:pt idx="2">
                  <c:v>10</c:v>
                </c:pt>
                <c:pt idx="3">
                  <c:v>15</c:v>
                </c:pt>
                <c:pt idx="4">
                  <c:v>20</c:v>
                </c:pt>
                <c:pt idx="5">
                  <c:v>25</c:v>
                </c:pt>
                <c:pt idx="6">
                  <c:v>30</c:v>
                </c:pt>
              </c:numCache>
            </c:numRef>
          </c:xVal>
          <c:yVal>
            <c:numRef>
              <c:f>AMONIO!$H$24:$H$30</c:f>
              <c:numCache>
                <c:formatCode>0</c:formatCode>
                <c:ptCount val="7"/>
                <c:pt idx="0">
                  <c:v>37.806557898552001</c:v>
                </c:pt>
                <c:pt idx="1">
                  <c:v>144.76605224357968</c:v>
                </c:pt>
                <c:pt idx="2">
                  <c:v>261.42490707890369</c:v>
                </c:pt>
                <c:pt idx="3">
                  <c:v>407.44979139336016</c:v>
                </c:pt>
                <c:pt idx="4">
                  <c:v>484.10158675872822</c:v>
                </c:pt>
                <c:pt idx="5">
                  <c:v>560.53687462412802</c:v>
                </c:pt>
                <c:pt idx="6">
                  <c:v>1082.8617736178098</c:v>
                </c:pt>
              </c:numCache>
            </c:numRef>
          </c:yVal>
          <c:smooth val="1"/>
          <c:extLst xmlns:c16r2="http://schemas.microsoft.com/office/drawing/2015/06/chart">
            <c:ext xmlns:c16="http://schemas.microsoft.com/office/drawing/2014/chart" uri="{C3380CC4-5D6E-409C-BE32-E72D297353CC}">
              <c16:uniqueId val="{00000000-13A2-4827-B4B7-C5BCB95798F4}"/>
            </c:ext>
          </c:extLst>
        </c:ser>
        <c:ser>
          <c:idx val="2"/>
          <c:order val="1"/>
          <c:tx>
            <c:v>V:CM 3:1</c:v>
          </c:tx>
          <c:spPr>
            <a:ln w="9525">
              <a:solidFill>
                <a:schemeClr val="tx1"/>
              </a:solidFill>
            </a:ln>
          </c:spPr>
          <c:marker>
            <c:symbol val="triangle"/>
            <c:size val="3"/>
            <c:spPr>
              <a:noFill/>
              <a:ln>
                <a:solidFill>
                  <a:schemeClr val="bg1">
                    <a:lumMod val="50000"/>
                  </a:schemeClr>
                </a:solidFill>
              </a:ln>
            </c:spPr>
          </c:marker>
          <c:xVal>
            <c:numRef>
              <c:f>AMONIO!$G$24:$G$30</c:f>
              <c:numCache>
                <c:formatCode>General</c:formatCode>
                <c:ptCount val="7"/>
                <c:pt idx="0">
                  <c:v>0</c:v>
                </c:pt>
                <c:pt idx="1">
                  <c:v>5</c:v>
                </c:pt>
                <c:pt idx="2">
                  <c:v>10</c:v>
                </c:pt>
                <c:pt idx="3">
                  <c:v>15</c:v>
                </c:pt>
                <c:pt idx="4">
                  <c:v>20</c:v>
                </c:pt>
                <c:pt idx="5">
                  <c:v>25</c:v>
                </c:pt>
                <c:pt idx="6">
                  <c:v>30</c:v>
                </c:pt>
              </c:numCache>
            </c:numRef>
          </c:xVal>
          <c:yVal>
            <c:numRef>
              <c:f>AMONIO!$L$24:$L$30</c:f>
              <c:numCache>
                <c:formatCode>0</c:formatCode>
                <c:ptCount val="7"/>
                <c:pt idx="0">
                  <c:v>201.78263935312754</c:v>
                </c:pt>
                <c:pt idx="1">
                  <c:v>324.32986310764932</c:v>
                </c:pt>
                <c:pt idx="2">
                  <c:v>489.85137403834409</c:v>
                </c:pt>
                <c:pt idx="3">
                  <c:v>631.20332533662565</c:v>
                </c:pt>
                <c:pt idx="4">
                  <c:v>757.99979510978551</c:v>
                </c:pt>
                <c:pt idx="5">
                  <c:v>883.45761636243719</c:v>
                </c:pt>
                <c:pt idx="6">
                  <c:v>1326.4815965581024</c:v>
                </c:pt>
              </c:numCache>
            </c:numRef>
          </c:yVal>
          <c:smooth val="1"/>
          <c:extLst xmlns:c16r2="http://schemas.microsoft.com/office/drawing/2015/06/chart">
            <c:ext xmlns:c16="http://schemas.microsoft.com/office/drawing/2014/chart" uri="{C3380CC4-5D6E-409C-BE32-E72D297353CC}">
              <c16:uniqueId val="{00000001-13A2-4827-B4B7-C5BCB95798F4}"/>
            </c:ext>
          </c:extLst>
        </c:ser>
        <c:ser>
          <c:idx val="3"/>
          <c:order val="2"/>
          <c:tx>
            <c:v>V:CM 1:3</c:v>
          </c:tx>
          <c:spPr>
            <a:ln w="9525">
              <a:solidFill>
                <a:schemeClr val="tx1">
                  <a:lumMod val="50000"/>
                  <a:lumOff val="50000"/>
                </a:schemeClr>
              </a:solidFill>
            </a:ln>
          </c:spPr>
          <c:marker>
            <c:symbol val="star"/>
            <c:size val="3"/>
            <c:spPr>
              <a:noFill/>
              <a:ln>
                <a:solidFill>
                  <a:schemeClr val="tx1"/>
                </a:solidFill>
              </a:ln>
            </c:spPr>
          </c:marker>
          <c:errBars>
            <c:errDir val="y"/>
            <c:errBarType val="both"/>
            <c:errValType val="cust"/>
            <c:plus>
              <c:numRef>
                <c:f>AMONIO!$M$24:$M$30</c:f>
                <c:numCache>
                  <c:formatCode>General</c:formatCode>
                  <c:ptCount val="7"/>
                  <c:pt idx="0">
                    <c:v>6.1650679016324865</c:v>
                  </c:pt>
                  <c:pt idx="1">
                    <c:v>12.528314807816978</c:v>
                  </c:pt>
                  <c:pt idx="2">
                    <c:v>22.637958438795682</c:v>
                  </c:pt>
                  <c:pt idx="3">
                    <c:v>46.709233836573219</c:v>
                  </c:pt>
                  <c:pt idx="4">
                    <c:v>50.195949854670431</c:v>
                  </c:pt>
                  <c:pt idx="5">
                    <c:v>62.825798782637399</c:v>
                  </c:pt>
                  <c:pt idx="6">
                    <c:v>73.654979844783014</c:v>
                  </c:pt>
                </c:numCache>
              </c:numRef>
            </c:plus>
            <c:minus>
              <c:numRef>
                <c:f>AMONIO!$M$24:$M$30</c:f>
                <c:numCache>
                  <c:formatCode>General</c:formatCode>
                  <c:ptCount val="7"/>
                  <c:pt idx="0">
                    <c:v>6.1650679016324865</c:v>
                  </c:pt>
                  <c:pt idx="1">
                    <c:v>12.528314807816978</c:v>
                  </c:pt>
                  <c:pt idx="2">
                    <c:v>22.637958438795682</c:v>
                  </c:pt>
                  <c:pt idx="3">
                    <c:v>46.709233836573219</c:v>
                  </c:pt>
                  <c:pt idx="4">
                    <c:v>50.195949854670431</c:v>
                  </c:pt>
                  <c:pt idx="5">
                    <c:v>62.825798782637399</c:v>
                  </c:pt>
                  <c:pt idx="6">
                    <c:v>73.654979844783014</c:v>
                  </c:pt>
                </c:numCache>
              </c:numRef>
            </c:minus>
          </c:errBars>
          <c:xVal>
            <c:numRef>
              <c:f>AMONIO!$G$24:$G$30</c:f>
              <c:numCache>
                <c:formatCode>General</c:formatCode>
                <c:ptCount val="7"/>
                <c:pt idx="0">
                  <c:v>0</c:v>
                </c:pt>
                <c:pt idx="1">
                  <c:v>5</c:v>
                </c:pt>
                <c:pt idx="2">
                  <c:v>10</c:v>
                </c:pt>
                <c:pt idx="3">
                  <c:v>15</c:v>
                </c:pt>
                <c:pt idx="4">
                  <c:v>20</c:v>
                </c:pt>
                <c:pt idx="5">
                  <c:v>25</c:v>
                </c:pt>
                <c:pt idx="6">
                  <c:v>30</c:v>
                </c:pt>
              </c:numCache>
            </c:numRef>
          </c:xVal>
          <c:yVal>
            <c:numRef>
              <c:f>AMONIO!$N$24:$N$30</c:f>
              <c:numCache>
                <c:formatCode>0</c:formatCode>
                <c:ptCount val="7"/>
                <c:pt idx="0">
                  <c:v>218.79609067258448</c:v>
                </c:pt>
                <c:pt idx="1">
                  <c:v>397.78056978034925</c:v>
                </c:pt>
                <c:pt idx="2">
                  <c:v>555.84152966287297</c:v>
                </c:pt>
                <c:pt idx="3">
                  <c:v>657.11144739287442</c:v>
                </c:pt>
                <c:pt idx="4">
                  <c:v>787.88762163417289</c:v>
                </c:pt>
                <c:pt idx="5">
                  <c:v>925.2166365092487</c:v>
                </c:pt>
                <c:pt idx="6">
                  <c:v>1755.0496721490881</c:v>
                </c:pt>
              </c:numCache>
            </c:numRef>
          </c:yVal>
          <c:smooth val="1"/>
          <c:extLst xmlns:c16r2="http://schemas.microsoft.com/office/drawing/2015/06/chart">
            <c:ext xmlns:c16="http://schemas.microsoft.com/office/drawing/2014/chart" uri="{C3380CC4-5D6E-409C-BE32-E72D297353CC}">
              <c16:uniqueId val="{00000002-13A2-4827-B4B7-C5BCB95798F4}"/>
            </c:ext>
          </c:extLst>
        </c:ser>
        <c:ser>
          <c:idx val="1"/>
          <c:order val="3"/>
          <c:tx>
            <c:v>V:CM 0:1</c:v>
          </c:tx>
          <c:spPr>
            <a:ln w="9525">
              <a:solidFill>
                <a:schemeClr val="tx1">
                  <a:lumMod val="50000"/>
                  <a:lumOff val="50000"/>
                </a:schemeClr>
              </a:solidFill>
            </a:ln>
          </c:spPr>
          <c:marker>
            <c:symbol val="square"/>
            <c:size val="3"/>
            <c:spPr>
              <a:solidFill>
                <a:schemeClr val="tx1">
                  <a:lumMod val="50000"/>
                  <a:lumOff val="50000"/>
                </a:schemeClr>
              </a:solidFill>
              <a:ln>
                <a:solidFill>
                  <a:schemeClr val="tx1"/>
                </a:solidFill>
              </a:ln>
            </c:spPr>
          </c:marker>
          <c:errBars>
            <c:errDir val="y"/>
            <c:errBarType val="both"/>
            <c:errValType val="cust"/>
            <c:plus>
              <c:numRef>
                <c:f>AMONIO!$K$24:$K$30</c:f>
                <c:numCache>
                  <c:formatCode>General</c:formatCode>
                  <c:ptCount val="7"/>
                  <c:pt idx="0">
                    <c:v>5.249154109666275</c:v>
                  </c:pt>
                  <c:pt idx="1">
                    <c:v>5.7779371941095583</c:v>
                  </c:pt>
                  <c:pt idx="2">
                    <c:v>32.631521745829033</c:v>
                  </c:pt>
                  <c:pt idx="3">
                    <c:v>39.619723509242064</c:v>
                  </c:pt>
                  <c:pt idx="4">
                    <c:v>40.560111692625163</c:v>
                  </c:pt>
                  <c:pt idx="5">
                    <c:v>41.224697691095074</c:v>
                  </c:pt>
                  <c:pt idx="6">
                    <c:v>51.18287840013096</c:v>
                  </c:pt>
                </c:numCache>
              </c:numRef>
            </c:plus>
            <c:minus>
              <c:numRef>
                <c:f>AMONIO!$K$24:$K$30</c:f>
                <c:numCache>
                  <c:formatCode>General</c:formatCode>
                  <c:ptCount val="7"/>
                  <c:pt idx="0">
                    <c:v>5.249154109666275</c:v>
                  </c:pt>
                  <c:pt idx="1">
                    <c:v>5.7779371941095583</c:v>
                  </c:pt>
                  <c:pt idx="2">
                    <c:v>32.631521745829033</c:v>
                  </c:pt>
                  <c:pt idx="3">
                    <c:v>39.619723509242064</c:v>
                  </c:pt>
                  <c:pt idx="4">
                    <c:v>40.560111692625163</c:v>
                  </c:pt>
                  <c:pt idx="5">
                    <c:v>41.224697691095074</c:v>
                  </c:pt>
                  <c:pt idx="6">
                    <c:v>51.18287840013096</c:v>
                  </c:pt>
                </c:numCache>
              </c:numRef>
            </c:minus>
          </c:errBars>
          <c:xVal>
            <c:numRef>
              <c:f>AMONIO!$G$24:$G$30</c:f>
              <c:numCache>
                <c:formatCode>General</c:formatCode>
                <c:ptCount val="7"/>
                <c:pt idx="0">
                  <c:v>0</c:v>
                </c:pt>
                <c:pt idx="1">
                  <c:v>5</c:v>
                </c:pt>
                <c:pt idx="2">
                  <c:v>10</c:v>
                </c:pt>
                <c:pt idx="3">
                  <c:v>15</c:v>
                </c:pt>
                <c:pt idx="4">
                  <c:v>20</c:v>
                </c:pt>
                <c:pt idx="5">
                  <c:v>25</c:v>
                </c:pt>
                <c:pt idx="6">
                  <c:v>30</c:v>
                </c:pt>
              </c:numCache>
            </c:numRef>
          </c:xVal>
          <c:yVal>
            <c:numRef>
              <c:f>AMONIO!$J$24:$J$30</c:f>
              <c:numCache>
                <c:formatCode>0</c:formatCode>
                <c:ptCount val="7"/>
                <c:pt idx="0">
                  <c:v>286.31279497556818</c:v>
                </c:pt>
                <c:pt idx="1">
                  <c:v>459.35680957789521</c:v>
                </c:pt>
                <c:pt idx="2">
                  <c:v>619.88665457661853</c:v>
                </c:pt>
                <c:pt idx="3">
                  <c:v>848.61046081083759</c:v>
                </c:pt>
                <c:pt idx="4">
                  <c:v>951.19226756973876</c:v>
                </c:pt>
                <c:pt idx="5">
                  <c:v>1059.9355023097271</c:v>
                </c:pt>
                <c:pt idx="6">
                  <c:v>1874.6570042152994</c:v>
                </c:pt>
              </c:numCache>
            </c:numRef>
          </c:yVal>
          <c:smooth val="1"/>
          <c:extLst xmlns:c16r2="http://schemas.microsoft.com/office/drawing/2015/06/chart">
            <c:ext xmlns:c16="http://schemas.microsoft.com/office/drawing/2014/chart" uri="{C3380CC4-5D6E-409C-BE32-E72D297353CC}">
              <c16:uniqueId val="{00000003-13A2-4827-B4B7-C5BCB95798F4}"/>
            </c:ext>
          </c:extLst>
        </c:ser>
        <c:axId val="75677696"/>
        <c:axId val="75679616"/>
      </c:scatterChart>
      <c:valAx>
        <c:axId val="75677696"/>
        <c:scaling>
          <c:orientation val="minMax"/>
          <c:max val="30"/>
        </c:scaling>
        <c:axPos val="b"/>
        <c:title>
          <c:tx>
            <c:rich>
              <a:bodyPr/>
              <a:lstStyle/>
              <a:p>
                <a:pPr>
                  <a:defRPr lang="es-CO"/>
                </a:pPr>
                <a:r>
                  <a:rPr lang="es-CO"/>
                  <a:t>D</a:t>
                </a:r>
                <a:r>
                  <a:rPr lang="es-CO">
                    <a:solidFill>
                      <a:srgbClr val="FF0000"/>
                    </a:solidFill>
                  </a:rPr>
                  <a:t>i</a:t>
                </a:r>
                <a:r>
                  <a:rPr lang="es-CO"/>
                  <a:t>gestion time (Days)</a:t>
                </a:r>
              </a:p>
            </c:rich>
          </c:tx>
        </c:title>
        <c:numFmt formatCode="General" sourceLinked="1"/>
        <c:majorTickMark val="none"/>
        <c:tickLblPos val="nextTo"/>
        <c:txPr>
          <a:bodyPr/>
          <a:lstStyle/>
          <a:p>
            <a:pPr>
              <a:defRPr lang="es-CO"/>
            </a:pPr>
            <a:endParaRPr lang="es-CO"/>
          </a:p>
        </c:txPr>
        <c:crossAx val="75679616"/>
        <c:crosses val="autoZero"/>
        <c:crossBetween val="midCat"/>
        <c:majorUnit val="5"/>
      </c:valAx>
      <c:valAx>
        <c:axId val="75679616"/>
        <c:scaling>
          <c:orientation val="minMax"/>
          <c:max val="2000"/>
        </c:scaling>
        <c:axPos val="l"/>
        <c:title>
          <c:tx>
            <c:rich>
              <a:bodyPr/>
              <a:lstStyle/>
              <a:p>
                <a:pPr>
                  <a:defRPr lang="es-CO"/>
                </a:pPr>
                <a:r>
                  <a:rPr lang="es-CO" baseline="0">
                    <a:latin typeface="Arial" pitchFamily="34" charset="0"/>
                    <a:cs typeface="Arial" pitchFamily="34" charset="0"/>
                  </a:rPr>
                  <a:t>TAN (mg/L)</a:t>
                </a:r>
                <a:endParaRPr lang="es-CO" baseline="-25000">
                  <a:latin typeface="Arial" pitchFamily="34" charset="0"/>
                  <a:cs typeface="Arial" pitchFamily="34" charset="0"/>
                </a:endParaRPr>
              </a:p>
            </c:rich>
          </c:tx>
          <c:layout>
            <c:manualLayout>
              <c:xMode val="edge"/>
              <c:yMode val="edge"/>
              <c:x val="2.2222222222222251E-2"/>
              <c:y val="0.30161052785068887"/>
            </c:manualLayout>
          </c:layout>
        </c:title>
        <c:numFmt formatCode="0" sourceLinked="1"/>
        <c:majorTickMark val="none"/>
        <c:tickLblPos val="nextTo"/>
        <c:txPr>
          <a:bodyPr/>
          <a:lstStyle/>
          <a:p>
            <a:pPr>
              <a:defRPr lang="es-CO"/>
            </a:pPr>
            <a:endParaRPr lang="es-CO"/>
          </a:p>
        </c:txPr>
        <c:crossAx val="75677696"/>
        <c:crosses val="autoZero"/>
        <c:crossBetween val="midCat"/>
        <c:majorUnit val="400"/>
      </c:valAx>
    </c:plotArea>
    <c:legend>
      <c:legendPos val="r"/>
      <c:layout>
        <c:manualLayout>
          <c:xMode val="edge"/>
          <c:yMode val="edge"/>
          <c:x val="0.77723185740920653"/>
          <c:y val="0.28291820665273981"/>
          <c:w val="0.22276814259080283"/>
          <c:h val="0.39814918093221796"/>
        </c:manualLayout>
      </c:layout>
      <c:txPr>
        <a:bodyPr/>
        <a:lstStyle/>
        <a:p>
          <a:pPr>
            <a:defRPr lang="es-CO"/>
          </a:pPr>
          <a:endParaRPr lang="es-CO"/>
        </a:p>
      </c:txPr>
    </c:legend>
    <c:plotVisOnly val="1"/>
    <c:dispBlanksAs val="gap"/>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06D74CC-D711-44BB-8274-D2DBCA49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4791</Words>
  <Characters>26353</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Massachusetts Institute of Technology</Company>
  <LinksUpToDate>false</LinksUpToDate>
  <CharactersWithSpaces>31082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revista</cp:lastModifiedBy>
  <cp:revision>16</cp:revision>
  <cp:lastPrinted>2015-12-10T15:48:00Z</cp:lastPrinted>
  <dcterms:created xsi:type="dcterms:W3CDTF">2016-10-17T17:10:00Z</dcterms:created>
  <dcterms:modified xsi:type="dcterms:W3CDTF">2016-11-17T17:43:00Z</dcterms:modified>
</cp:coreProperties>
</file>