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rawings/drawing8.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FF2" w:rsidRPr="00D247A3" w:rsidRDefault="00A61FF2" w:rsidP="005836FE">
      <w:pPr>
        <w:spacing w:line="360" w:lineRule="auto"/>
        <w:jc w:val="center"/>
        <w:rPr>
          <w:rFonts w:cs="Arial"/>
          <w:b/>
          <w:sz w:val="24"/>
          <w:szCs w:val="24"/>
          <w:lang w:val="en-US"/>
        </w:rPr>
      </w:pPr>
      <w:bookmarkStart w:id="0" w:name="_Toc256005581"/>
      <w:bookmarkStart w:id="1" w:name="_Toc256005759"/>
      <w:bookmarkStart w:id="2" w:name="_Toc256084896"/>
      <w:bookmarkStart w:id="3" w:name="_Toc256085022"/>
      <w:bookmarkStart w:id="4" w:name="_Toc256087935"/>
      <w:bookmarkStart w:id="5" w:name="_Ref256612083"/>
      <w:bookmarkStart w:id="6" w:name="_Ref256612105"/>
      <w:bookmarkStart w:id="7" w:name="_Ref256692441"/>
      <w:r w:rsidRPr="00D247A3">
        <w:rPr>
          <w:rFonts w:cs="Arial"/>
          <w:b/>
          <w:sz w:val="24"/>
          <w:szCs w:val="24"/>
          <w:lang w:val="en-US"/>
        </w:rPr>
        <w:t xml:space="preserve">Evaluation of factors that affect </w:t>
      </w:r>
      <w:proofErr w:type="spellStart"/>
      <w:r w:rsidRPr="00D247A3">
        <w:rPr>
          <w:rFonts w:cs="Arial"/>
          <w:b/>
          <w:sz w:val="24"/>
          <w:szCs w:val="24"/>
          <w:lang w:val="en-US"/>
        </w:rPr>
        <w:t>bioacidulation</w:t>
      </w:r>
      <w:proofErr w:type="spellEnd"/>
      <w:r w:rsidRPr="00D247A3">
        <w:rPr>
          <w:rFonts w:cs="Arial"/>
          <w:b/>
          <w:sz w:val="24"/>
          <w:szCs w:val="24"/>
          <w:lang w:val="en-US"/>
        </w:rPr>
        <w:t xml:space="preserve"> rock phosphate under </w:t>
      </w:r>
      <w:r w:rsidRPr="00D247A3">
        <w:rPr>
          <w:rFonts w:cs="Arial"/>
          <w:b/>
          <w:i/>
          <w:sz w:val="24"/>
          <w:szCs w:val="24"/>
          <w:lang w:val="en-US"/>
        </w:rPr>
        <w:t>in vitro</w:t>
      </w:r>
      <w:r w:rsidRPr="00D247A3">
        <w:rPr>
          <w:rFonts w:cs="Arial"/>
          <w:b/>
          <w:sz w:val="24"/>
          <w:szCs w:val="24"/>
          <w:lang w:val="en-US"/>
        </w:rPr>
        <w:t xml:space="preserve"> conditions</w:t>
      </w:r>
    </w:p>
    <w:p w:rsidR="00F344FC" w:rsidRPr="00D247A3" w:rsidRDefault="00A61FF2" w:rsidP="005836FE">
      <w:pPr>
        <w:spacing w:line="360" w:lineRule="auto"/>
        <w:jc w:val="center"/>
        <w:rPr>
          <w:rFonts w:cs="Arial"/>
          <w:i/>
          <w:sz w:val="24"/>
          <w:szCs w:val="24"/>
        </w:rPr>
      </w:pPr>
      <w:r w:rsidRPr="00D247A3">
        <w:rPr>
          <w:rFonts w:cs="Arial"/>
          <w:sz w:val="24"/>
          <w:szCs w:val="24"/>
        </w:rPr>
        <w:t xml:space="preserve">Evaluación de factores que afectan la </w:t>
      </w:r>
      <w:proofErr w:type="spellStart"/>
      <w:r w:rsidRPr="00D247A3">
        <w:rPr>
          <w:rFonts w:cs="Arial"/>
          <w:sz w:val="24"/>
          <w:szCs w:val="24"/>
        </w:rPr>
        <w:t>bioacidulación</w:t>
      </w:r>
      <w:proofErr w:type="spellEnd"/>
      <w:r w:rsidRPr="00D247A3">
        <w:rPr>
          <w:rFonts w:cs="Arial"/>
          <w:sz w:val="24"/>
          <w:szCs w:val="24"/>
        </w:rPr>
        <w:t xml:space="preserve"> de roca fosfórica bajo condiciones </w:t>
      </w:r>
      <w:r w:rsidRPr="00D247A3">
        <w:rPr>
          <w:rFonts w:cs="Arial"/>
          <w:i/>
          <w:sz w:val="24"/>
          <w:szCs w:val="24"/>
        </w:rPr>
        <w:t>in vitro</w:t>
      </w:r>
    </w:p>
    <w:p w:rsidR="00F344FC" w:rsidRPr="00D247A3" w:rsidRDefault="00F344FC" w:rsidP="005836FE">
      <w:pPr>
        <w:spacing w:line="360" w:lineRule="auto"/>
        <w:jc w:val="center"/>
        <w:rPr>
          <w:rFonts w:cs="Arial"/>
          <w:sz w:val="24"/>
          <w:szCs w:val="24"/>
        </w:rPr>
      </w:pPr>
      <w:r w:rsidRPr="00D247A3">
        <w:rPr>
          <w:rFonts w:cs="Arial"/>
          <w:b/>
          <w:sz w:val="24"/>
          <w:szCs w:val="24"/>
        </w:rPr>
        <w:t xml:space="preserve">Titulo corto: </w:t>
      </w:r>
      <w:proofErr w:type="spellStart"/>
      <w:r w:rsidRPr="00D247A3">
        <w:rPr>
          <w:rFonts w:cs="Arial"/>
          <w:sz w:val="24"/>
          <w:szCs w:val="24"/>
        </w:rPr>
        <w:t>Bioacidulación</w:t>
      </w:r>
      <w:proofErr w:type="spellEnd"/>
      <w:r w:rsidRPr="00D247A3">
        <w:rPr>
          <w:rFonts w:cs="Arial"/>
          <w:sz w:val="24"/>
          <w:szCs w:val="24"/>
        </w:rPr>
        <w:t xml:space="preserve"> de roca fosfórica </w:t>
      </w:r>
    </w:p>
    <w:p w:rsidR="00850EFA" w:rsidRPr="007D7831" w:rsidRDefault="00483773" w:rsidP="00483773">
      <w:pPr>
        <w:spacing w:line="360" w:lineRule="auto"/>
        <w:jc w:val="center"/>
        <w:rPr>
          <w:rStyle w:val="hps"/>
          <w:rFonts w:cs="Arial"/>
          <w:sz w:val="24"/>
          <w:szCs w:val="24"/>
        </w:rPr>
      </w:pPr>
      <w:r w:rsidRPr="007D7831">
        <w:rPr>
          <w:rFonts w:cs="Arial"/>
          <w:sz w:val="24"/>
          <w:szCs w:val="24"/>
        </w:rPr>
        <w:t>Laura Osorno Bedoya</w:t>
      </w:r>
      <w:r w:rsidRPr="007D7831">
        <w:rPr>
          <w:rStyle w:val="Refdenotaalpie"/>
          <w:rFonts w:cs="Arial"/>
          <w:sz w:val="24"/>
          <w:szCs w:val="24"/>
        </w:rPr>
        <w:footnoteReference w:id="1"/>
      </w:r>
      <w:r w:rsidRPr="007D7831">
        <w:rPr>
          <w:rFonts w:cs="Arial"/>
          <w:sz w:val="24"/>
          <w:szCs w:val="24"/>
        </w:rPr>
        <w:t>, Nelson Walter Osorio Vega</w:t>
      </w:r>
      <w:r w:rsidRPr="007D7831">
        <w:rPr>
          <w:rStyle w:val="Refdenotaalpie"/>
          <w:rFonts w:cs="Arial"/>
          <w:sz w:val="24"/>
          <w:szCs w:val="24"/>
        </w:rPr>
        <w:footnoteReference w:id="2"/>
      </w:r>
    </w:p>
    <w:p w:rsidR="00397D69" w:rsidRPr="00D247A3" w:rsidRDefault="00397D69" w:rsidP="005836FE">
      <w:pPr>
        <w:spacing w:line="360" w:lineRule="auto"/>
        <w:rPr>
          <w:rFonts w:cs="Arial"/>
          <w:b/>
          <w:sz w:val="24"/>
          <w:szCs w:val="24"/>
        </w:rPr>
      </w:pPr>
    </w:p>
    <w:p w:rsidR="001D3AFB" w:rsidRPr="00D247A3" w:rsidRDefault="00DD4A2D" w:rsidP="005836FE">
      <w:pPr>
        <w:spacing w:line="360" w:lineRule="auto"/>
        <w:rPr>
          <w:rFonts w:cs="Arial"/>
          <w:b/>
          <w:sz w:val="24"/>
          <w:szCs w:val="24"/>
        </w:rPr>
      </w:pPr>
      <w:r w:rsidRPr="00D247A3">
        <w:rPr>
          <w:rFonts w:cs="Arial"/>
          <w:b/>
          <w:sz w:val="24"/>
          <w:szCs w:val="24"/>
        </w:rPr>
        <w:t>Resumen</w:t>
      </w:r>
    </w:p>
    <w:p w:rsidR="00F62B6A" w:rsidRPr="00D247A3" w:rsidRDefault="00F409DD" w:rsidP="00F62B6A">
      <w:pPr>
        <w:spacing w:line="360" w:lineRule="auto"/>
        <w:jc w:val="both"/>
        <w:rPr>
          <w:rFonts w:cs="Arial"/>
          <w:sz w:val="24"/>
          <w:szCs w:val="24"/>
        </w:rPr>
      </w:pPr>
      <w:r w:rsidRPr="00D247A3">
        <w:rPr>
          <w:rFonts w:cs="Arial"/>
          <w:sz w:val="24"/>
          <w:szCs w:val="24"/>
        </w:rPr>
        <w:t xml:space="preserve">El </w:t>
      </w:r>
      <w:r w:rsidR="00C55C05" w:rsidRPr="00D247A3">
        <w:rPr>
          <w:rFonts w:cs="Arial"/>
          <w:sz w:val="24"/>
          <w:szCs w:val="24"/>
        </w:rPr>
        <w:t xml:space="preserve">fósforo </w:t>
      </w:r>
      <w:r w:rsidRPr="00D247A3">
        <w:rPr>
          <w:rFonts w:cs="Arial"/>
          <w:sz w:val="24"/>
          <w:szCs w:val="24"/>
        </w:rPr>
        <w:t>(P) es un nutriente esencial para el desarrollo de las plantas</w:t>
      </w:r>
      <w:r w:rsidR="000E34D6" w:rsidRPr="00D247A3">
        <w:rPr>
          <w:rFonts w:cs="Arial"/>
          <w:sz w:val="24"/>
          <w:szCs w:val="24"/>
        </w:rPr>
        <w:t>,</w:t>
      </w:r>
      <w:r w:rsidRPr="00D247A3">
        <w:rPr>
          <w:rFonts w:cs="Arial"/>
          <w:sz w:val="24"/>
          <w:szCs w:val="24"/>
        </w:rPr>
        <w:t xml:space="preserve"> </w:t>
      </w:r>
      <w:r w:rsidR="000E34D6" w:rsidRPr="00D247A3">
        <w:rPr>
          <w:rFonts w:cs="Arial"/>
          <w:sz w:val="24"/>
          <w:szCs w:val="24"/>
        </w:rPr>
        <w:t>desafortunadamente</w:t>
      </w:r>
      <w:r w:rsidRPr="00D247A3">
        <w:rPr>
          <w:rFonts w:cs="Arial"/>
          <w:sz w:val="24"/>
          <w:szCs w:val="24"/>
        </w:rPr>
        <w:t xml:space="preserve">, </w:t>
      </w:r>
      <w:r w:rsidR="000E34D6" w:rsidRPr="00D247A3">
        <w:rPr>
          <w:rFonts w:cs="Arial"/>
          <w:sz w:val="24"/>
          <w:szCs w:val="24"/>
        </w:rPr>
        <w:t xml:space="preserve">su disponibilidad en </w:t>
      </w:r>
      <w:r w:rsidRPr="00D247A3">
        <w:rPr>
          <w:rFonts w:cs="Arial"/>
          <w:sz w:val="24"/>
          <w:szCs w:val="24"/>
        </w:rPr>
        <w:t>m</w:t>
      </w:r>
      <w:r w:rsidR="00894ADC" w:rsidRPr="00D247A3">
        <w:rPr>
          <w:rFonts w:cs="Arial"/>
          <w:sz w:val="24"/>
          <w:szCs w:val="24"/>
        </w:rPr>
        <w:t xml:space="preserve">uchos suelos </w:t>
      </w:r>
      <w:r w:rsidR="000E34D6" w:rsidRPr="00D247A3">
        <w:rPr>
          <w:rFonts w:cs="Arial"/>
          <w:sz w:val="24"/>
          <w:szCs w:val="24"/>
        </w:rPr>
        <w:t xml:space="preserve">es </w:t>
      </w:r>
      <w:r w:rsidR="001D3AFB" w:rsidRPr="00D247A3">
        <w:rPr>
          <w:rFonts w:cs="Arial"/>
          <w:sz w:val="24"/>
          <w:szCs w:val="24"/>
        </w:rPr>
        <w:t xml:space="preserve">baja. </w:t>
      </w:r>
      <w:r w:rsidR="000E34D6" w:rsidRPr="00D247A3">
        <w:rPr>
          <w:rFonts w:cs="Arial"/>
          <w:sz w:val="24"/>
          <w:szCs w:val="24"/>
        </w:rPr>
        <w:t>Consecuentemente,</w:t>
      </w:r>
      <w:r w:rsidR="00597FC6" w:rsidRPr="00D247A3">
        <w:rPr>
          <w:rFonts w:cs="Arial"/>
          <w:sz w:val="24"/>
          <w:szCs w:val="24"/>
        </w:rPr>
        <w:t xml:space="preserve"> </w:t>
      </w:r>
      <w:r w:rsidR="000E34D6" w:rsidRPr="00D247A3">
        <w:rPr>
          <w:rFonts w:cs="Arial"/>
          <w:sz w:val="24"/>
          <w:szCs w:val="24"/>
        </w:rPr>
        <w:t xml:space="preserve">los agricultores </w:t>
      </w:r>
      <w:r w:rsidR="001D3AFB" w:rsidRPr="00D247A3">
        <w:rPr>
          <w:rFonts w:cs="Arial"/>
          <w:sz w:val="24"/>
          <w:szCs w:val="24"/>
        </w:rPr>
        <w:t>aplica</w:t>
      </w:r>
      <w:r w:rsidR="00597FC6" w:rsidRPr="00D247A3">
        <w:rPr>
          <w:rFonts w:cs="Arial"/>
          <w:sz w:val="24"/>
          <w:szCs w:val="24"/>
        </w:rPr>
        <w:t>n</w:t>
      </w:r>
      <w:r w:rsidR="001D3AFB" w:rsidRPr="00D247A3">
        <w:rPr>
          <w:rFonts w:cs="Arial"/>
          <w:sz w:val="24"/>
          <w:szCs w:val="24"/>
        </w:rPr>
        <w:t xml:space="preserve"> altas cantidades de fertilizantes fosfóricos solubles, pero esto </w:t>
      </w:r>
      <w:r w:rsidR="00894ADC" w:rsidRPr="00D247A3">
        <w:rPr>
          <w:rFonts w:cs="Arial"/>
          <w:sz w:val="24"/>
          <w:szCs w:val="24"/>
        </w:rPr>
        <w:t>es</w:t>
      </w:r>
      <w:r w:rsidR="001D3AFB" w:rsidRPr="00D247A3">
        <w:rPr>
          <w:rFonts w:cs="Arial"/>
          <w:sz w:val="24"/>
          <w:szCs w:val="24"/>
        </w:rPr>
        <w:t xml:space="preserve"> ineficiente y costoso. </w:t>
      </w:r>
      <w:r w:rsidR="000E34D6" w:rsidRPr="00D247A3">
        <w:rPr>
          <w:rFonts w:cs="Arial"/>
          <w:sz w:val="24"/>
          <w:szCs w:val="24"/>
        </w:rPr>
        <w:t xml:space="preserve">El uso directo de </w:t>
      </w:r>
      <w:r w:rsidR="00825117" w:rsidRPr="00D247A3">
        <w:rPr>
          <w:rFonts w:cs="Arial"/>
          <w:sz w:val="24"/>
          <w:szCs w:val="24"/>
        </w:rPr>
        <w:t>roca fosfórica</w:t>
      </w:r>
      <w:r w:rsidR="001D3AFB" w:rsidRPr="00D247A3">
        <w:rPr>
          <w:rFonts w:cs="Arial"/>
          <w:sz w:val="24"/>
          <w:szCs w:val="24"/>
        </w:rPr>
        <w:t xml:space="preserve"> (RP) es </w:t>
      </w:r>
      <w:r w:rsidR="000E34D6" w:rsidRPr="00D247A3">
        <w:rPr>
          <w:rFonts w:cs="Arial"/>
          <w:sz w:val="24"/>
          <w:szCs w:val="24"/>
        </w:rPr>
        <w:t xml:space="preserve">muy atractivo </w:t>
      </w:r>
      <w:r w:rsidR="001D3AFB" w:rsidRPr="00D247A3">
        <w:rPr>
          <w:rFonts w:cs="Arial"/>
          <w:sz w:val="24"/>
          <w:szCs w:val="24"/>
        </w:rPr>
        <w:t>por su bajo costo</w:t>
      </w:r>
      <w:r w:rsidR="000E34D6" w:rsidRPr="00D247A3">
        <w:rPr>
          <w:rFonts w:cs="Arial"/>
          <w:sz w:val="24"/>
          <w:szCs w:val="24"/>
        </w:rPr>
        <w:t xml:space="preserve">; </w:t>
      </w:r>
      <w:r w:rsidR="003C34D1" w:rsidRPr="00D247A3">
        <w:rPr>
          <w:rFonts w:cs="Arial"/>
          <w:sz w:val="24"/>
          <w:szCs w:val="24"/>
        </w:rPr>
        <w:t>sin embargo,</w:t>
      </w:r>
      <w:r w:rsidR="001D3AFB" w:rsidRPr="00D247A3">
        <w:rPr>
          <w:rFonts w:cs="Arial"/>
          <w:sz w:val="24"/>
          <w:szCs w:val="24"/>
        </w:rPr>
        <w:t xml:space="preserve"> es poco soluble y de baja eficiencia agronómica. Para superar </w:t>
      </w:r>
      <w:r w:rsidR="000E34D6" w:rsidRPr="00D247A3">
        <w:rPr>
          <w:rFonts w:cs="Arial"/>
          <w:sz w:val="24"/>
          <w:szCs w:val="24"/>
        </w:rPr>
        <w:t xml:space="preserve">esta </w:t>
      </w:r>
      <w:r w:rsidR="004B537B" w:rsidRPr="00D247A3">
        <w:rPr>
          <w:rFonts w:cs="Arial"/>
          <w:sz w:val="24"/>
          <w:szCs w:val="24"/>
        </w:rPr>
        <w:t>limitación</w:t>
      </w:r>
      <w:r w:rsidR="000E34D6" w:rsidRPr="00D247A3">
        <w:rPr>
          <w:rFonts w:cs="Arial"/>
          <w:sz w:val="24"/>
          <w:szCs w:val="24"/>
        </w:rPr>
        <w:t xml:space="preserve">, </w:t>
      </w:r>
      <w:r w:rsidR="001D3AFB" w:rsidRPr="00D247A3">
        <w:rPr>
          <w:rFonts w:cs="Arial"/>
          <w:sz w:val="24"/>
          <w:szCs w:val="24"/>
        </w:rPr>
        <w:t xml:space="preserve">hay un creciente interés en </w:t>
      </w:r>
      <w:r w:rsidR="002033C5" w:rsidRPr="00D247A3">
        <w:rPr>
          <w:rFonts w:cs="Arial"/>
          <w:sz w:val="24"/>
          <w:szCs w:val="24"/>
        </w:rPr>
        <w:t xml:space="preserve">el </w:t>
      </w:r>
      <w:r w:rsidR="001D3AFB" w:rsidRPr="00D247A3">
        <w:rPr>
          <w:rFonts w:cs="Arial"/>
          <w:sz w:val="24"/>
          <w:szCs w:val="24"/>
        </w:rPr>
        <w:t>us</w:t>
      </w:r>
      <w:r w:rsidR="002033C5" w:rsidRPr="00D247A3">
        <w:rPr>
          <w:rFonts w:cs="Arial"/>
          <w:sz w:val="24"/>
          <w:szCs w:val="24"/>
        </w:rPr>
        <w:t>o de</w:t>
      </w:r>
      <w:r w:rsidR="001D3AFB" w:rsidRPr="00D247A3">
        <w:rPr>
          <w:rFonts w:cs="Arial"/>
          <w:sz w:val="24"/>
          <w:szCs w:val="24"/>
        </w:rPr>
        <w:t xml:space="preserve"> microorganismos </w:t>
      </w:r>
      <w:r w:rsidR="000E34D6" w:rsidRPr="00D247A3">
        <w:rPr>
          <w:rFonts w:cs="Arial"/>
          <w:sz w:val="24"/>
          <w:szCs w:val="24"/>
        </w:rPr>
        <w:t xml:space="preserve">del suelo </w:t>
      </w:r>
      <w:r w:rsidR="001D3AFB" w:rsidRPr="00D247A3">
        <w:rPr>
          <w:rFonts w:cs="Arial"/>
          <w:sz w:val="24"/>
          <w:szCs w:val="24"/>
        </w:rPr>
        <w:t>capaces de disolver</w:t>
      </w:r>
      <w:r w:rsidR="00597FC6" w:rsidRPr="00D247A3">
        <w:rPr>
          <w:rFonts w:cs="Arial"/>
          <w:sz w:val="24"/>
          <w:szCs w:val="24"/>
        </w:rPr>
        <w:t>la</w:t>
      </w:r>
      <w:r w:rsidR="001D3AFB" w:rsidRPr="00D247A3">
        <w:rPr>
          <w:rFonts w:cs="Arial"/>
          <w:sz w:val="24"/>
          <w:szCs w:val="24"/>
        </w:rPr>
        <w:t xml:space="preserve"> y mejorar su </w:t>
      </w:r>
      <w:r w:rsidR="000E34D6" w:rsidRPr="00D247A3">
        <w:rPr>
          <w:rFonts w:cs="Arial"/>
          <w:sz w:val="24"/>
          <w:szCs w:val="24"/>
        </w:rPr>
        <w:t>valor como fertilizante</w:t>
      </w:r>
      <w:r w:rsidR="001D3AFB" w:rsidRPr="00D247A3">
        <w:rPr>
          <w:rFonts w:cs="Arial"/>
          <w:sz w:val="24"/>
          <w:szCs w:val="24"/>
        </w:rPr>
        <w:t xml:space="preserve">. El objetivo de este trabajo fue evaluar </w:t>
      </w:r>
      <w:r w:rsidR="000E34D6" w:rsidRPr="00D247A3">
        <w:rPr>
          <w:rFonts w:cs="Arial"/>
          <w:sz w:val="24"/>
          <w:szCs w:val="24"/>
        </w:rPr>
        <w:t xml:space="preserve">el efecto que tienen algunos factores sobre la capacidad del hongo </w:t>
      </w:r>
      <w:proofErr w:type="spellStart"/>
      <w:r w:rsidR="000E34D6" w:rsidRPr="00D247A3">
        <w:rPr>
          <w:rFonts w:cs="Arial"/>
          <w:i/>
          <w:sz w:val="24"/>
          <w:szCs w:val="24"/>
        </w:rPr>
        <w:t>Mortierella</w:t>
      </w:r>
      <w:proofErr w:type="spellEnd"/>
      <w:r w:rsidR="000E34D6" w:rsidRPr="00D247A3">
        <w:rPr>
          <w:rFonts w:cs="Arial"/>
          <w:i/>
          <w:sz w:val="24"/>
          <w:szCs w:val="24"/>
        </w:rPr>
        <w:t xml:space="preserve"> </w:t>
      </w:r>
      <w:proofErr w:type="spellStart"/>
      <w:r w:rsidR="000E34D6" w:rsidRPr="00D247A3">
        <w:rPr>
          <w:rFonts w:cs="Arial"/>
          <w:sz w:val="24"/>
          <w:szCs w:val="24"/>
        </w:rPr>
        <w:t>sp.</w:t>
      </w:r>
      <w:proofErr w:type="spellEnd"/>
      <w:r w:rsidR="000E34D6" w:rsidRPr="00D247A3">
        <w:rPr>
          <w:rFonts w:cs="Arial"/>
          <w:sz w:val="24"/>
          <w:szCs w:val="24"/>
        </w:rPr>
        <w:t xml:space="preserve"> para disolver RP </w:t>
      </w:r>
      <w:r w:rsidR="001D3AFB" w:rsidRPr="00D247A3">
        <w:rPr>
          <w:rFonts w:cs="Arial"/>
          <w:sz w:val="24"/>
          <w:szCs w:val="24"/>
        </w:rPr>
        <w:t xml:space="preserve">bajo condiciones </w:t>
      </w:r>
      <w:r w:rsidR="001D3AFB" w:rsidRPr="00D247A3">
        <w:rPr>
          <w:rFonts w:cs="Arial"/>
          <w:i/>
          <w:sz w:val="24"/>
          <w:szCs w:val="24"/>
        </w:rPr>
        <w:t>in vitro</w:t>
      </w:r>
      <w:r w:rsidR="000E34D6" w:rsidRPr="00D247A3">
        <w:rPr>
          <w:rFonts w:cs="Arial"/>
          <w:sz w:val="24"/>
          <w:szCs w:val="24"/>
        </w:rPr>
        <w:t>.</w:t>
      </w:r>
      <w:r w:rsidR="001D3AFB" w:rsidRPr="00D247A3">
        <w:rPr>
          <w:rFonts w:cs="Arial"/>
          <w:sz w:val="24"/>
          <w:szCs w:val="24"/>
        </w:rPr>
        <w:t xml:space="preserve"> </w:t>
      </w:r>
      <w:r w:rsidR="000E34D6" w:rsidRPr="00D247A3">
        <w:rPr>
          <w:rFonts w:cs="Arial"/>
          <w:sz w:val="24"/>
          <w:szCs w:val="24"/>
        </w:rPr>
        <w:t>Estos factores son</w:t>
      </w:r>
      <w:r w:rsidR="001D3AFB" w:rsidRPr="00D247A3">
        <w:rPr>
          <w:rFonts w:cs="Arial"/>
          <w:sz w:val="24"/>
          <w:szCs w:val="24"/>
        </w:rPr>
        <w:t>: (i) tiempo de</w:t>
      </w:r>
      <w:r w:rsidR="0050104D" w:rsidRPr="00D247A3">
        <w:rPr>
          <w:rFonts w:cs="Arial"/>
          <w:sz w:val="24"/>
          <w:szCs w:val="24"/>
        </w:rPr>
        <w:t xml:space="preserve"> </w:t>
      </w:r>
      <w:r w:rsidR="001D3AFB" w:rsidRPr="00D247A3">
        <w:rPr>
          <w:rFonts w:cs="Arial"/>
          <w:sz w:val="24"/>
          <w:szCs w:val="24"/>
        </w:rPr>
        <w:t>incubación, (</w:t>
      </w:r>
      <w:proofErr w:type="spellStart"/>
      <w:r w:rsidR="001D3AFB" w:rsidRPr="00D247A3">
        <w:rPr>
          <w:rFonts w:cs="Arial"/>
          <w:sz w:val="24"/>
          <w:szCs w:val="24"/>
        </w:rPr>
        <w:t>ii</w:t>
      </w:r>
      <w:proofErr w:type="spellEnd"/>
      <w:r w:rsidR="001D3AFB" w:rsidRPr="00D247A3">
        <w:rPr>
          <w:rFonts w:cs="Arial"/>
          <w:sz w:val="24"/>
          <w:szCs w:val="24"/>
        </w:rPr>
        <w:t>) tipo de RP, (</w:t>
      </w:r>
      <w:proofErr w:type="spellStart"/>
      <w:r w:rsidR="001D3AFB" w:rsidRPr="00D247A3">
        <w:rPr>
          <w:rFonts w:cs="Arial"/>
          <w:sz w:val="24"/>
          <w:szCs w:val="24"/>
        </w:rPr>
        <w:t>iii</w:t>
      </w:r>
      <w:proofErr w:type="spellEnd"/>
      <w:r w:rsidR="001D3AFB" w:rsidRPr="00D247A3">
        <w:rPr>
          <w:rFonts w:cs="Arial"/>
          <w:sz w:val="24"/>
          <w:szCs w:val="24"/>
        </w:rPr>
        <w:t xml:space="preserve">) concentración </w:t>
      </w:r>
      <w:r w:rsidR="000E34D6" w:rsidRPr="00D247A3">
        <w:rPr>
          <w:rFonts w:cs="Arial"/>
          <w:sz w:val="24"/>
          <w:szCs w:val="24"/>
        </w:rPr>
        <w:t xml:space="preserve">inicial </w:t>
      </w:r>
      <w:r w:rsidR="001D3AFB" w:rsidRPr="00D247A3">
        <w:rPr>
          <w:rFonts w:cs="Arial"/>
          <w:sz w:val="24"/>
          <w:szCs w:val="24"/>
        </w:rPr>
        <w:t>de P soluble y (</w:t>
      </w:r>
      <w:proofErr w:type="spellStart"/>
      <w:r w:rsidR="001D3AFB" w:rsidRPr="00D247A3">
        <w:rPr>
          <w:rFonts w:cs="Arial"/>
          <w:sz w:val="24"/>
          <w:szCs w:val="24"/>
        </w:rPr>
        <w:t>iv</w:t>
      </w:r>
      <w:proofErr w:type="spellEnd"/>
      <w:r w:rsidR="001D3AFB" w:rsidRPr="00D247A3">
        <w:rPr>
          <w:rFonts w:cs="Arial"/>
          <w:sz w:val="24"/>
          <w:szCs w:val="24"/>
        </w:rPr>
        <w:t xml:space="preserve">) adición de </w:t>
      </w:r>
      <w:r w:rsidR="00240318" w:rsidRPr="00D247A3">
        <w:rPr>
          <w:rFonts w:cs="Arial"/>
          <w:sz w:val="24"/>
          <w:szCs w:val="24"/>
        </w:rPr>
        <w:t xml:space="preserve">vitaminas y micronutrientes. </w:t>
      </w:r>
      <w:proofErr w:type="spellStart"/>
      <w:r w:rsidR="00240318" w:rsidRPr="00D247A3">
        <w:rPr>
          <w:rFonts w:cs="Arial"/>
          <w:sz w:val="24"/>
          <w:szCs w:val="24"/>
        </w:rPr>
        <w:t>Des</w:t>
      </w:r>
      <w:r w:rsidR="005E49C6" w:rsidRPr="00D247A3">
        <w:rPr>
          <w:rFonts w:cs="Arial"/>
          <w:sz w:val="24"/>
          <w:szCs w:val="24"/>
        </w:rPr>
        <w:t>pues</w:t>
      </w:r>
      <w:proofErr w:type="spellEnd"/>
      <w:r w:rsidR="005E49C6" w:rsidRPr="00D247A3">
        <w:rPr>
          <w:rFonts w:cs="Arial"/>
          <w:sz w:val="24"/>
          <w:szCs w:val="24"/>
        </w:rPr>
        <w:t xml:space="preserve"> del periodo de incubación s</w:t>
      </w:r>
      <w:r w:rsidR="00240318" w:rsidRPr="00D247A3">
        <w:rPr>
          <w:rFonts w:cs="Arial"/>
          <w:sz w:val="24"/>
          <w:szCs w:val="24"/>
        </w:rPr>
        <w:t xml:space="preserve">e </w:t>
      </w:r>
      <w:r w:rsidR="005E49C6" w:rsidRPr="00D247A3">
        <w:rPr>
          <w:rFonts w:cs="Arial"/>
          <w:sz w:val="24"/>
          <w:szCs w:val="24"/>
        </w:rPr>
        <w:t>midió</w:t>
      </w:r>
      <w:r w:rsidR="00240318" w:rsidRPr="00D247A3">
        <w:rPr>
          <w:rFonts w:cs="Arial"/>
          <w:sz w:val="24"/>
          <w:szCs w:val="24"/>
        </w:rPr>
        <w:t xml:space="preserve"> P en solución y pH</w:t>
      </w:r>
      <w:r w:rsidR="001D3AFB" w:rsidRPr="00D247A3">
        <w:rPr>
          <w:rFonts w:cs="Arial"/>
          <w:sz w:val="24"/>
          <w:szCs w:val="24"/>
        </w:rPr>
        <w:t>. Los resultados indican que</w:t>
      </w:r>
      <w:r w:rsidR="000E34D6" w:rsidRPr="00D247A3">
        <w:rPr>
          <w:rFonts w:cs="Arial"/>
          <w:sz w:val="24"/>
          <w:szCs w:val="24"/>
        </w:rPr>
        <w:t xml:space="preserve"> producto de la </w:t>
      </w:r>
      <w:proofErr w:type="spellStart"/>
      <w:r w:rsidR="000E34D6" w:rsidRPr="00D247A3">
        <w:rPr>
          <w:rFonts w:cs="Arial"/>
          <w:sz w:val="24"/>
          <w:szCs w:val="24"/>
        </w:rPr>
        <w:t>biodisolución</w:t>
      </w:r>
      <w:proofErr w:type="spellEnd"/>
      <w:r w:rsidR="000E34D6" w:rsidRPr="00D247A3">
        <w:rPr>
          <w:rFonts w:cs="Arial"/>
          <w:sz w:val="24"/>
          <w:szCs w:val="24"/>
        </w:rPr>
        <w:t xml:space="preserve"> de RP la más alta concentración de P en solución se alcanzó</w:t>
      </w:r>
      <w:r w:rsidR="001D3AFB" w:rsidRPr="00D247A3">
        <w:rPr>
          <w:rFonts w:cs="Arial"/>
          <w:sz w:val="24"/>
          <w:szCs w:val="24"/>
        </w:rPr>
        <w:t xml:space="preserve"> al día 5. </w:t>
      </w:r>
      <w:r w:rsidR="00AE7940" w:rsidRPr="00D247A3">
        <w:rPr>
          <w:rFonts w:cs="Arial"/>
          <w:sz w:val="24"/>
          <w:szCs w:val="24"/>
        </w:rPr>
        <w:t xml:space="preserve">Por otro lado, la </w:t>
      </w:r>
      <w:proofErr w:type="spellStart"/>
      <w:r w:rsidR="00AE7940" w:rsidRPr="00D247A3">
        <w:rPr>
          <w:rFonts w:cs="Arial"/>
          <w:sz w:val="24"/>
          <w:szCs w:val="24"/>
        </w:rPr>
        <w:t>biodisolución</w:t>
      </w:r>
      <w:proofErr w:type="spellEnd"/>
      <w:r w:rsidR="00AE7940" w:rsidRPr="00D247A3">
        <w:rPr>
          <w:rFonts w:cs="Arial"/>
          <w:sz w:val="24"/>
          <w:szCs w:val="24"/>
        </w:rPr>
        <w:t xml:space="preserve"> de RP fue reducida por la </w:t>
      </w:r>
      <w:r w:rsidR="001D3AFB" w:rsidRPr="00D247A3">
        <w:rPr>
          <w:rFonts w:cs="Arial"/>
          <w:sz w:val="24"/>
          <w:szCs w:val="24"/>
        </w:rPr>
        <w:t xml:space="preserve">adición de vitaminas y micronutrientes y </w:t>
      </w:r>
      <w:r w:rsidR="00AE7940" w:rsidRPr="00D247A3">
        <w:rPr>
          <w:rFonts w:cs="Arial"/>
          <w:sz w:val="24"/>
          <w:szCs w:val="24"/>
        </w:rPr>
        <w:t xml:space="preserve">por </w:t>
      </w:r>
      <w:r w:rsidR="001D3AFB" w:rsidRPr="00D247A3">
        <w:rPr>
          <w:rFonts w:cs="Arial"/>
          <w:sz w:val="24"/>
          <w:szCs w:val="24"/>
        </w:rPr>
        <w:t xml:space="preserve">el incremento en la concentración inicial de P soluble </w:t>
      </w:r>
      <w:r w:rsidR="00AE7940" w:rsidRPr="00D247A3">
        <w:rPr>
          <w:rFonts w:cs="Arial"/>
          <w:sz w:val="24"/>
          <w:szCs w:val="24"/>
        </w:rPr>
        <w:t>en el medio</w:t>
      </w:r>
      <w:r w:rsidR="001D3AFB" w:rsidRPr="00D247A3">
        <w:rPr>
          <w:rFonts w:cs="Arial"/>
          <w:sz w:val="24"/>
          <w:szCs w:val="24"/>
        </w:rPr>
        <w:t>.</w:t>
      </w:r>
      <w:r w:rsidR="00F62B6A">
        <w:rPr>
          <w:rFonts w:cs="Arial"/>
          <w:sz w:val="24"/>
          <w:szCs w:val="24"/>
        </w:rPr>
        <w:t xml:space="preserve"> </w:t>
      </w:r>
      <w:r w:rsidR="00F62B6A" w:rsidRPr="00D247A3">
        <w:rPr>
          <w:rFonts w:cs="Arial"/>
          <w:sz w:val="24"/>
          <w:szCs w:val="24"/>
        </w:rPr>
        <w:t xml:space="preserve">Aunque la disolución microbiana fue más efectiva con la RP de Carolina del Norte, las RP del Huila y Santander presentaron un buen nivel de </w:t>
      </w:r>
      <w:r w:rsidR="00F62B6A" w:rsidRPr="00D247A3">
        <w:rPr>
          <w:rFonts w:cs="Arial"/>
          <w:sz w:val="24"/>
          <w:szCs w:val="24"/>
        </w:rPr>
        <w:lastRenderedPageBreak/>
        <w:t xml:space="preserve">disolución en un </w:t>
      </w:r>
      <w:r w:rsidR="00F62B6A">
        <w:rPr>
          <w:rFonts w:cs="Arial"/>
          <w:sz w:val="24"/>
          <w:szCs w:val="24"/>
        </w:rPr>
        <w:t xml:space="preserve">periodo de tiempo </w:t>
      </w:r>
      <w:r w:rsidR="00F62B6A" w:rsidRPr="00D247A3">
        <w:rPr>
          <w:rFonts w:cs="Arial"/>
          <w:sz w:val="24"/>
          <w:szCs w:val="24"/>
        </w:rPr>
        <w:t xml:space="preserve">corto. </w:t>
      </w:r>
      <w:r w:rsidR="00F62B6A">
        <w:rPr>
          <w:rFonts w:cs="Arial"/>
          <w:sz w:val="24"/>
          <w:szCs w:val="24"/>
        </w:rPr>
        <w:t xml:space="preserve">La </w:t>
      </w:r>
      <w:proofErr w:type="spellStart"/>
      <w:r w:rsidR="00F62B6A">
        <w:rPr>
          <w:rFonts w:cs="Arial"/>
          <w:sz w:val="24"/>
          <w:szCs w:val="24"/>
        </w:rPr>
        <w:t>bioacidulación</w:t>
      </w:r>
      <w:proofErr w:type="spellEnd"/>
      <w:r w:rsidR="00F62B6A">
        <w:rPr>
          <w:rFonts w:cs="Arial"/>
          <w:sz w:val="24"/>
          <w:szCs w:val="24"/>
        </w:rPr>
        <w:t xml:space="preserve"> </w:t>
      </w:r>
      <w:r w:rsidR="00F62B6A" w:rsidRPr="00D247A3">
        <w:rPr>
          <w:rFonts w:cs="Arial"/>
          <w:sz w:val="24"/>
          <w:szCs w:val="24"/>
        </w:rPr>
        <w:t>mejorar</w:t>
      </w:r>
      <w:r w:rsidR="00F62B6A">
        <w:rPr>
          <w:rFonts w:cs="Arial"/>
          <w:sz w:val="24"/>
          <w:szCs w:val="24"/>
        </w:rPr>
        <w:t>a</w:t>
      </w:r>
      <w:r w:rsidR="00F62B6A" w:rsidRPr="00D247A3">
        <w:rPr>
          <w:rFonts w:cs="Arial"/>
          <w:sz w:val="24"/>
          <w:szCs w:val="24"/>
        </w:rPr>
        <w:t xml:space="preserve"> la efectividad agronómica de </w:t>
      </w:r>
      <w:r w:rsidR="00F62B6A">
        <w:rPr>
          <w:rFonts w:cs="Arial"/>
          <w:sz w:val="24"/>
          <w:szCs w:val="24"/>
        </w:rPr>
        <w:t>la</w:t>
      </w:r>
      <w:r w:rsidR="00F62B6A" w:rsidRPr="00D247A3">
        <w:rPr>
          <w:rFonts w:cs="Arial"/>
          <w:sz w:val="24"/>
          <w:szCs w:val="24"/>
        </w:rPr>
        <w:t xml:space="preserve"> RP para su uso directo o a través de un proceso biotecnológico previo.</w:t>
      </w:r>
    </w:p>
    <w:p w:rsidR="001D3AFB" w:rsidRPr="00D247A3" w:rsidRDefault="001D3AFB" w:rsidP="005836FE">
      <w:pPr>
        <w:spacing w:line="360" w:lineRule="auto"/>
        <w:jc w:val="both"/>
        <w:rPr>
          <w:rFonts w:cs="Arial"/>
          <w:sz w:val="24"/>
          <w:szCs w:val="24"/>
        </w:rPr>
      </w:pPr>
    </w:p>
    <w:p w:rsidR="00EB4C5D" w:rsidRPr="00D247A3" w:rsidRDefault="00DD4A2D" w:rsidP="005836FE">
      <w:pPr>
        <w:spacing w:line="360" w:lineRule="auto"/>
        <w:rPr>
          <w:rFonts w:cs="Arial"/>
          <w:sz w:val="24"/>
          <w:szCs w:val="24"/>
        </w:rPr>
      </w:pPr>
      <w:r w:rsidRPr="00D247A3">
        <w:rPr>
          <w:rFonts w:cs="Arial"/>
          <w:b/>
          <w:sz w:val="24"/>
          <w:szCs w:val="24"/>
        </w:rPr>
        <w:t>Palabras clave</w:t>
      </w:r>
      <w:r w:rsidR="001D3AFB" w:rsidRPr="00D247A3">
        <w:rPr>
          <w:rFonts w:cs="Arial"/>
          <w:b/>
          <w:sz w:val="24"/>
          <w:szCs w:val="24"/>
        </w:rPr>
        <w:t>:</w:t>
      </w:r>
      <w:r w:rsidR="001D3AFB" w:rsidRPr="00D247A3">
        <w:rPr>
          <w:rFonts w:cs="Arial"/>
          <w:sz w:val="24"/>
          <w:szCs w:val="24"/>
        </w:rPr>
        <w:t xml:space="preserve"> solubilización, fósforo, microorganismos </w:t>
      </w:r>
      <w:proofErr w:type="spellStart"/>
      <w:r w:rsidR="001D3AFB" w:rsidRPr="00D247A3">
        <w:rPr>
          <w:rFonts w:cs="Arial"/>
          <w:sz w:val="24"/>
          <w:szCs w:val="24"/>
        </w:rPr>
        <w:t>solubilizadores</w:t>
      </w:r>
      <w:proofErr w:type="spellEnd"/>
      <w:r w:rsidR="001D3AFB" w:rsidRPr="00D247A3">
        <w:rPr>
          <w:rFonts w:cs="Arial"/>
          <w:sz w:val="24"/>
          <w:szCs w:val="24"/>
        </w:rPr>
        <w:t xml:space="preserve"> de fósforo.</w:t>
      </w:r>
    </w:p>
    <w:p w:rsidR="00DE7225" w:rsidRPr="00D247A3" w:rsidRDefault="00DE7225" w:rsidP="005836FE">
      <w:pPr>
        <w:spacing w:line="360" w:lineRule="auto"/>
        <w:rPr>
          <w:rFonts w:cs="Arial"/>
          <w:sz w:val="24"/>
          <w:szCs w:val="24"/>
        </w:rPr>
      </w:pPr>
    </w:p>
    <w:p w:rsidR="00397D69" w:rsidRPr="00D247A3" w:rsidRDefault="00397D69" w:rsidP="005836FE">
      <w:pPr>
        <w:spacing w:line="360" w:lineRule="auto"/>
        <w:rPr>
          <w:rFonts w:cs="Arial"/>
          <w:sz w:val="24"/>
          <w:szCs w:val="24"/>
        </w:rPr>
      </w:pPr>
    </w:p>
    <w:p w:rsidR="00EB4C5D" w:rsidRPr="00D247A3" w:rsidRDefault="00EB4C5D" w:rsidP="005836FE">
      <w:pPr>
        <w:spacing w:line="360" w:lineRule="auto"/>
        <w:rPr>
          <w:rFonts w:cs="Arial"/>
          <w:sz w:val="24"/>
          <w:szCs w:val="24"/>
          <w:lang w:val="en-US"/>
        </w:rPr>
      </w:pPr>
      <w:r w:rsidRPr="00D247A3">
        <w:rPr>
          <w:rFonts w:cs="Arial"/>
          <w:b/>
          <w:sz w:val="24"/>
          <w:szCs w:val="24"/>
          <w:lang w:val="en-US"/>
        </w:rPr>
        <w:t>Abstract</w:t>
      </w:r>
    </w:p>
    <w:p w:rsidR="00D84D5F" w:rsidRPr="00D247A3" w:rsidRDefault="00C461DD" w:rsidP="005836FE">
      <w:pPr>
        <w:spacing w:after="0" w:line="360" w:lineRule="auto"/>
        <w:jc w:val="both"/>
        <w:rPr>
          <w:rFonts w:cs="Arial"/>
          <w:sz w:val="24"/>
          <w:szCs w:val="24"/>
          <w:lang w:val="en-US"/>
        </w:rPr>
      </w:pPr>
      <w:r w:rsidRPr="00D247A3">
        <w:rPr>
          <w:rFonts w:cs="Arial"/>
          <w:sz w:val="24"/>
          <w:szCs w:val="24"/>
          <w:lang w:val="en-US"/>
        </w:rPr>
        <w:t>Phosph</w:t>
      </w:r>
      <w:r w:rsidR="00C55C05" w:rsidRPr="00D247A3">
        <w:rPr>
          <w:rFonts w:cs="Arial"/>
          <w:sz w:val="24"/>
          <w:szCs w:val="24"/>
          <w:lang w:val="en-US"/>
        </w:rPr>
        <w:t>orus</w:t>
      </w:r>
      <w:r w:rsidR="00F409DD" w:rsidRPr="00D247A3">
        <w:rPr>
          <w:rFonts w:cs="Arial"/>
          <w:sz w:val="24"/>
          <w:szCs w:val="24"/>
          <w:lang w:val="en-US"/>
        </w:rPr>
        <w:t xml:space="preserve"> (P)</w:t>
      </w:r>
      <w:r w:rsidRPr="00D247A3">
        <w:rPr>
          <w:rFonts w:cs="Arial"/>
          <w:sz w:val="24"/>
          <w:szCs w:val="24"/>
          <w:lang w:val="en-US"/>
        </w:rPr>
        <w:t xml:space="preserve"> is an essential nutrient for plant </w:t>
      </w:r>
      <w:proofErr w:type="gramStart"/>
      <w:r w:rsidRPr="00D247A3">
        <w:rPr>
          <w:rFonts w:cs="Arial"/>
          <w:sz w:val="24"/>
          <w:szCs w:val="24"/>
          <w:lang w:val="en-US"/>
        </w:rPr>
        <w:t>development</w:t>
      </w:r>
      <w:r w:rsidR="002649D4" w:rsidRPr="00D247A3">
        <w:rPr>
          <w:rFonts w:cs="Arial"/>
          <w:sz w:val="24"/>
          <w:szCs w:val="24"/>
          <w:lang w:val="en-US"/>
        </w:rPr>
        <w:t>,</w:t>
      </w:r>
      <w:proofErr w:type="gramEnd"/>
      <w:r w:rsidR="002649D4" w:rsidRPr="00D247A3">
        <w:rPr>
          <w:rFonts w:cs="Arial"/>
          <w:sz w:val="24"/>
          <w:szCs w:val="24"/>
          <w:lang w:val="en-US"/>
        </w:rPr>
        <w:t xml:space="preserve"> unfortunately</w:t>
      </w:r>
      <w:r w:rsidRPr="00D247A3">
        <w:rPr>
          <w:rFonts w:cs="Arial"/>
          <w:sz w:val="24"/>
          <w:szCs w:val="24"/>
          <w:lang w:val="en-US"/>
        </w:rPr>
        <w:t>, it</w:t>
      </w:r>
      <w:r w:rsidR="002649D4" w:rsidRPr="00D247A3">
        <w:rPr>
          <w:rFonts w:cs="Arial"/>
          <w:sz w:val="24"/>
          <w:szCs w:val="24"/>
          <w:lang w:val="en-US"/>
        </w:rPr>
        <w:t>s</w:t>
      </w:r>
      <w:r w:rsidRPr="00D247A3">
        <w:rPr>
          <w:rFonts w:cs="Arial"/>
          <w:sz w:val="24"/>
          <w:szCs w:val="24"/>
          <w:lang w:val="en-US"/>
        </w:rPr>
        <w:t xml:space="preserve"> availability in many soils</w:t>
      </w:r>
      <w:r w:rsidR="002649D4" w:rsidRPr="00D247A3">
        <w:rPr>
          <w:rFonts w:cs="Arial"/>
          <w:sz w:val="24"/>
          <w:szCs w:val="24"/>
          <w:lang w:val="en-US"/>
        </w:rPr>
        <w:t xml:space="preserve"> is low</w:t>
      </w:r>
      <w:r w:rsidRPr="00D247A3">
        <w:rPr>
          <w:rFonts w:cs="Arial"/>
          <w:sz w:val="24"/>
          <w:szCs w:val="24"/>
          <w:lang w:val="en-US"/>
        </w:rPr>
        <w:t xml:space="preserve">. </w:t>
      </w:r>
      <w:r w:rsidR="00A044FB" w:rsidRPr="00D247A3">
        <w:rPr>
          <w:rFonts w:cs="Arial"/>
          <w:sz w:val="24"/>
          <w:szCs w:val="24"/>
          <w:lang w:val="en-US"/>
        </w:rPr>
        <w:t>Consequently,</w:t>
      </w:r>
      <w:r w:rsidRPr="00D247A3">
        <w:rPr>
          <w:rFonts w:cs="Arial"/>
          <w:sz w:val="24"/>
          <w:szCs w:val="24"/>
          <w:lang w:val="en-US"/>
        </w:rPr>
        <w:t xml:space="preserve"> </w:t>
      </w:r>
      <w:r w:rsidR="002649D4" w:rsidRPr="00D247A3">
        <w:rPr>
          <w:rFonts w:cs="Arial"/>
          <w:sz w:val="24"/>
          <w:szCs w:val="24"/>
          <w:lang w:val="en-US"/>
        </w:rPr>
        <w:t xml:space="preserve">farmers </w:t>
      </w:r>
      <w:r w:rsidRPr="00D247A3">
        <w:rPr>
          <w:rFonts w:cs="Arial"/>
          <w:sz w:val="24"/>
          <w:szCs w:val="24"/>
          <w:lang w:val="en-US"/>
        </w:rPr>
        <w:t xml:space="preserve">apply high quantities of soluble </w:t>
      </w:r>
      <w:r w:rsidR="002649D4" w:rsidRPr="00D247A3">
        <w:rPr>
          <w:rFonts w:cs="Arial"/>
          <w:sz w:val="24"/>
          <w:szCs w:val="24"/>
          <w:lang w:val="en-US"/>
        </w:rPr>
        <w:t xml:space="preserve">P </w:t>
      </w:r>
      <w:r w:rsidRPr="00D247A3">
        <w:rPr>
          <w:rFonts w:cs="Arial"/>
          <w:sz w:val="24"/>
          <w:szCs w:val="24"/>
          <w:lang w:val="en-US"/>
        </w:rPr>
        <w:t xml:space="preserve">fertilizers, but this is an inefficient and costly practice. </w:t>
      </w:r>
      <w:r w:rsidR="002649D4" w:rsidRPr="00D247A3">
        <w:rPr>
          <w:rFonts w:cs="Arial"/>
          <w:sz w:val="24"/>
          <w:szCs w:val="24"/>
          <w:lang w:val="en-US"/>
        </w:rPr>
        <w:t xml:space="preserve">The direct use of </w:t>
      </w:r>
      <w:r w:rsidRPr="00D247A3">
        <w:rPr>
          <w:rFonts w:cs="Arial"/>
          <w:sz w:val="24"/>
          <w:szCs w:val="24"/>
          <w:lang w:val="en-US"/>
        </w:rPr>
        <w:t>rock phosphate (RP) is a highly attractive option because its low cost</w:t>
      </w:r>
      <w:r w:rsidR="002649D4" w:rsidRPr="00D247A3">
        <w:rPr>
          <w:rFonts w:cs="Arial"/>
          <w:sz w:val="24"/>
          <w:szCs w:val="24"/>
          <w:lang w:val="en-US"/>
        </w:rPr>
        <w:t>, but</w:t>
      </w:r>
      <w:r w:rsidRPr="00D247A3">
        <w:rPr>
          <w:rFonts w:cs="Arial"/>
          <w:sz w:val="24"/>
          <w:szCs w:val="24"/>
          <w:lang w:val="en-US"/>
        </w:rPr>
        <w:t xml:space="preserve"> this material has low solubility and low agronomic efficiency. In order to overcome this limitation, there is a growing interest in the use of soil microorganisms capable of dissolving RP and improving </w:t>
      </w:r>
      <w:r w:rsidR="002649D4" w:rsidRPr="00D247A3">
        <w:rPr>
          <w:rFonts w:cs="Arial"/>
          <w:sz w:val="24"/>
          <w:szCs w:val="24"/>
          <w:lang w:val="en-US"/>
        </w:rPr>
        <w:t>its value as a P fertilizer</w:t>
      </w:r>
      <w:r w:rsidRPr="00D247A3">
        <w:rPr>
          <w:rFonts w:cs="Arial"/>
          <w:sz w:val="24"/>
          <w:szCs w:val="24"/>
          <w:lang w:val="en-US"/>
        </w:rPr>
        <w:t xml:space="preserve">. The objective of this study was to evaluate the effect of some factors on the </w:t>
      </w:r>
      <w:r w:rsidR="002649D4" w:rsidRPr="00D247A3">
        <w:rPr>
          <w:rFonts w:cs="Arial"/>
          <w:sz w:val="24"/>
          <w:szCs w:val="24"/>
          <w:lang w:val="en-US"/>
        </w:rPr>
        <w:t>effectivenes</w:t>
      </w:r>
      <w:r w:rsidR="00A044FB" w:rsidRPr="00D247A3">
        <w:rPr>
          <w:rFonts w:cs="Arial"/>
          <w:sz w:val="24"/>
          <w:szCs w:val="24"/>
          <w:lang w:val="en-US"/>
        </w:rPr>
        <w:t>s</w:t>
      </w:r>
      <w:r w:rsidRPr="00D247A3">
        <w:rPr>
          <w:rFonts w:cs="Arial"/>
          <w:sz w:val="24"/>
          <w:szCs w:val="24"/>
          <w:lang w:val="en-US"/>
        </w:rPr>
        <w:t xml:space="preserve"> of the</w:t>
      </w:r>
      <w:r w:rsidR="002649D4" w:rsidRPr="00D247A3">
        <w:rPr>
          <w:rFonts w:cs="Arial"/>
          <w:sz w:val="24"/>
          <w:szCs w:val="24"/>
          <w:lang w:val="en-US"/>
        </w:rPr>
        <w:t xml:space="preserve"> fungus</w:t>
      </w:r>
      <w:r w:rsidRPr="00D247A3">
        <w:rPr>
          <w:rFonts w:cs="Arial"/>
          <w:sz w:val="24"/>
          <w:szCs w:val="24"/>
          <w:lang w:val="en-US"/>
        </w:rPr>
        <w:t> </w:t>
      </w:r>
      <w:proofErr w:type="spellStart"/>
      <w:r w:rsidRPr="00D247A3">
        <w:rPr>
          <w:rFonts w:cs="Arial"/>
          <w:i/>
          <w:sz w:val="24"/>
          <w:szCs w:val="24"/>
          <w:lang w:val="en-US"/>
        </w:rPr>
        <w:t>Mortierella</w:t>
      </w:r>
      <w:proofErr w:type="spellEnd"/>
      <w:r w:rsidRPr="00D247A3">
        <w:rPr>
          <w:rFonts w:cs="Arial"/>
          <w:i/>
          <w:sz w:val="24"/>
          <w:szCs w:val="24"/>
          <w:lang w:val="en-US"/>
        </w:rPr>
        <w:t> </w:t>
      </w:r>
      <w:r w:rsidRPr="00D247A3">
        <w:rPr>
          <w:rFonts w:cs="Arial"/>
          <w:sz w:val="24"/>
          <w:szCs w:val="24"/>
          <w:lang w:val="en-US"/>
        </w:rPr>
        <w:t xml:space="preserve">sp. to dissolve RP </w:t>
      </w:r>
      <w:r w:rsidR="002649D4" w:rsidRPr="00D247A3">
        <w:rPr>
          <w:rFonts w:cs="Arial"/>
          <w:sz w:val="24"/>
          <w:szCs w:val="24"/>
          <w:lang w:val="en-US"/>
        </w:rPr>
        <w:t>under </w:t>
      </w:r>
      <w:r w:rsidRPr="00D247A3">
        <w:rPr>
          <w:rFonts w:cs="Arial"/>
          <w:i/>
          <w:sz w:val="24"/>
          <w:szCs w:val="24"/>
          <w:lang w:val="en-US"/>
        </w:rPr>
        <w:t>in vitro </w:t>
      </w:r>
      <w:r w:rsidRPr="00D247A3">
        <w:rPr>
          <w:rFonts w:cs="Arial"/>
          <w:sz w:val="24"/>
          <w:szCs w:val="24"/>
          <w:lang w:val="en-US"/>
        </w:rPr>
        <w:t>conditions. These factors included: (</w:t>
      </w:r>
      <w:proofErr w:type="spellStart"/>
      <w:r w:rsidRPr="00D247A3">
        <w:rPr>
          <w:rFonts w:cs="Arial"/>
          <w:sz w:val="24"/>
          <w:szCs w:val="24"/>
          <w:lang w:val="en-US"/>
        </w:rPr>
        <w:t>i</w:t>
      </w:r>
      <w:proofErr w:type="spellEnd"/>
      <w:r w:rsidRPr="00D247A3">
        <w:rPr>
          <w:rFonts w:cs="Arial"/>
          <w:sz w:val="24"/>
          <w:szCs w:val="24"/>
          <w:lang w:val="en-US"/>
        </w:rPr>
        <w:t>) incubation time, (ii) type of RP, (iii) initial concentration of soluble P</w:t>
      </w:r>
      <w:r w:rsidR="002649D4" w:rsidRPr="00D247A3">
        <w:rPr>
          <w:rFonts w:cs="Arial"/>
          <w:sz w:val="24"/>
          <w:szCs w:val="24"/>
          <w:lang w:val="en-US"/>
        </w:rPr>
        <w:t>,</w:t>
      </w:r>
      <w:r w:rsidR="00240318" w:rsidRPr="00D247A3">
        <w:rPr>
          <w:rFonts w:cs="Arial"/>
          <w:sz w:val="24"/>
          <w:szCs w:val="24"/>
          <w:lang w:val="en-US"/>
        </w:rPr>
        <w:t xml:space="preserve"> and (iv) </w:t>
      </w:r>
      <w:r w:rsidRPr="00D247A3">
        <w:rPr>
          <w:rFonts w:cs="Arial"/>
          <w:sz w:val="24"/>
          <w:szCs w:val="24"/>
          <w:lang w:val="en-US"/>
        </w:rPr>
        <w:t xml:space="preserve">addition of </w:t>
      </w:r>
      <w:r w:rsidR="00240318" w:rsidRPr="00D247A3">
        <w:rPr>
          <w:rFonts w:cs="Arial"/>
          <w:sz w:val="24"/>
          <w:szCs w:val="24"/>
          <w:lang w:val="en-US"/>
        </w:rPr>
        <w:t>vitamins and micronutrients</w:t>
      </w:r>
      <w:r w:rsidRPr="00D247A3">
        <w:rPr>
          <w:rFonts w:cs="Arial"/>
          <w:sz w:val="24"/>
          <w:szCs w:val="24"/>
          <w:lang w:val="en-US"/>
        </w:rPr>
        <w:t xml:space="preserve">. </w:t>
      </w:r>
      <w:r w:rsidR="00240318" w:rsidRPr="00D247A3">
        <w:rPr>
          <w:rFonts w:cs="Arial"/>
          <w:sz w:val="24"/>
          <w:szCs w:val="24"/>
          <w:lang w:val="en-US"/>
        </w:rPr>
        <w:t xml:space="preserve">After the incubation period, P and pH were measured in solution. </w:t>
      </w:r>
      <w:r w:rsidRPr="00D247A3">
        <w:rPr>
          <w:rFonts w:cs="Arial"/>
          <w:sz w:val="24"/>
          <w:szCs w:val="24"/>
          <w:lang w:val="en-US"/>
        </w:rPr>
        <w:t>The results indicate</w:t>
      </w:r>
      <w:r w:rsidR="002649D4" w:rsidRPr="00D247A3">
        <w:rPr>
          <w:rFonts w:cs="Arial"/>
          <w:sz w:val="24"/>
          <w:szCs w:val="24"/>
          <w:lang w:val="en-US"/>
        </w:rPr>
        <w:t>d</w:t>
      </w:r>
      <w:r w:rsidRPr="00D247A3">
        <w:rPr>
          <w:rFonts w:cs="Arial"/>
          <w:sz w:val="24"/>
          <w:szCs w:val="24"/>
          <w:lang w:val="en-US"/>
        </w:rPr>
        <w:t xml:space="preserve"> that </w:t>
      </w:r>
      <w:r w:rsidR="002649D4" w:rsidRPr="00D247A3">
        <w:rPr>
          <w:rFonts w:cs="Arial"/>
          <w:sz w:val="24"/>
          <w:szCs w:val="24"/>
          <w:lang w:val="en-US"/>
        </w:rPr>
        <w:t xml:space="preserve">as a </w:t>
      </w:r>
      <w:r w:rsidR="000E34D6" w:rsidRPr="00D247A3">
        <w:rPr>
          <w:rFonts w:cs="Arial"/>
          <w:sz w:val="24"/>
          <w:szCs w:val="24"/>
          <w:lang w:val="en-US"/>
        </w:rPr>
        <w:t>consequence</w:t>
      </w:r>
      <w:r w:rsidR="002649D4" w:rsidRPr="00D247A3">
        <w:rPr>
          <w:rFonts w:cs="Arial"/>
          <w:sz w:val="24"/>
          <w:szCs w:val="24"/>
          <w:lang w:val="en-US"/>
        </w:rPr>
        <w:t xml:space="preserve"> of the </w:t>
      </w:r>
      <w:proofErr w:type="spellStart"/>
      <w:r w:rsidR="002649D4" w:rsidRPr="00D247A3">
        <w:rPr>
          <w:rFonts w:cs="Arial"/>
          <w:sz w:val="24"/>
          <w:szCs w:val="24"/>
          <w:lang w:val="en-US"/>
        </w:rPr>
        <w:t>biodissolution</w:t>
      </w:r>
      <w:proofErr w:type="spellEnd"/>
      <w:r w:rsidR="002649D4" w:rsidRPr="00D247A3">
        <w:rPr>
          <w:rFonts w:cs="Arial"/>
          <w:sz w:val="24"/>
          <w:szCs w:val="24"/>
          <w:lang w:val="en-US"/>
        </w:rPr>
        <w:t xml:space="preserve"> of RP</w:t>
      </w:r>
      <w:r w:rsidR="00A044FB" w:rsidRPr="00D247A3">
        <w:rPr>
          <w:rFonts w:cs="Arial"/>
          <w:sz w:val="24"/>
          <w:szCs w:val="24"/>
          <w:lang w:val="en-US"/>
        </w:rPr>
        <w:t>,</w:t>
      </w:r>
      <w:r w:rsidR="002649D4" w:rsidRPr="00D247A3">
        <w:rPr>
          <w:rFonts w:cs="Arial"/>
          <w:sz w:val="24"/>
          <w:szCs w:val="24"/>
          <w:lang w:val="en-US"/>
        </w:rPr>
        <w:t xml:space="preserve"> </w:t>
      </w:r>
      <w:r w:rsidRPr="00D247A3">
        <w:rPr>
          <w:rFonts w:cs="Arial"/>
          <w:sz w:val="24"/>
          <w:szCs w:val="24"/>
          <w:lang w:val="en-US"/>
        </w:rPr>
        <w:t xml:space="preserve">the highest concentration of soluble P in the medium was reached </w:t>
      </w:r>
      <w:r w:rsidR="002649D4" w:rsidRPr="00D247A3">
        <w:rPr>
          <w:rFonts w:cs="Arial"/>
          <w:sz w:val="24"/>
          <w:szCs w:val="24"/>
          <w:lang w:val="en-US"/>
        </w:rPr>
        <w:t xml:space="preserve">on the </w:t>
      </w:r>
      <w:r w:rsidRPr="00D247A3">
        <w:rPr>
          <w:rFonts w:cs="Arial"/>
          <w:sz w:val="24"/>
          <w:szCs w:val="24"/>
          <w:lang w:val="en-US"/>
        </w:rPr>
        <w:t>day 5</w:t>
      </w:r>
      <w:r w:rsidR="002649D4" w:rsidRPr="00F62B6A">
        <w:rPr>
          <w:rFonts w:cs="Arial"/>
          <w:sz w:val="24"/>
          <w:szCs w:val="24"/>
          <w:vertAlign w:val="superscript"/>
          <w:lang w:val="en-US"/>
        </w:rPr>
        <w:t>th</w:t>
      </w:r>
      <w:r w:rsidR="00F62B6A">
        <w:rPr>
          <w:rFonts w:cs="Arial"/>
          <w:sz w:val="24"/>
          <w:szCs w:val="24"/>
          <w:lang w:val="en-US"/>
        </w:rPr>
        <w:t xml:space="preserve">. </w:t>
      </w:r>
      <w:r w:rsidRPr="00D247A3">
        <w:rPr>
          <w:rFonts w:cs="Arial"/>
          <w:sz w:val="24"/>
          <w:szCs w:val="24"/>
          <w:lang w:val="en-US"/>
        </w:rPr>
        <w:t xml:space="preserve">The </w:t>
      </w:r>
      <w:proofErr w:type="spellStart"/>
      <w:r w:rsidR="00A044FB" w:rsidRPr="00D247A3">
        <w:rPr>
          <w:rFonts w:cs="Arial"/>
          <w:sz w:val="24"/>
          <w:szCs w:val="24"/>
          <w:lang w:val="en-US"/>
        </w:rPr>
        <w:t>bio</w:t>
      </w:r>
      <w:r w:rsidR="002649D4" w:rsidRPr="00D247A3">
        <w:rPr>
          <w:rFonts w:cs="Arial"/>
          <w:sz w:val="24"/>
          <w:szCs w:val="24"/>
          <w:lang w:val="en-US"/>
        </w:rPr>
        <w:t>dissolution</w:t>
      </w:r>
      <w:proofErr w:type="spellEnd"/>
      <w:r w:rsidR="002649D4" w:rsidRPr="00D247A3">
        <w:rPr>
          <w:rFonts w:cs="Arial"/>
          <w:sz w:val="24"/>
          <w:szCs w:val="24"/>
          <w:lang w:val="en-US"/>
        </w:rPr>
        <w:t xml:space="preserve"> of RP was reduced </w:t>
      </w:r>
      <w:r w:rsidR="00A044FB" w:rsidRPr="00D247A3">
        <w:rPr>
          <w:rFonts w:cs="Arial"/>
          <w:sz w:val="24"/>
          <w:szCs w:val="24"/>
          <w:lang w:val="en-US"/>
        </w:rPr>
        <w:t xml:space="preserve">by the </w:t>
      </w:r>
      <w:r w:rsidRPr="00D247A3">
        <w:rPr>
          <w:rFonts w:cs="Arial"/>
          <w:sz w:val="24"/>
          <w:szCs w:val="24"/>
          <w:lang w:val="en-US"/>
        </w:rPr>
        <w:t xml:space="preserve">addition of vitamins and micronutrients and </w:t>
      </w:r>
      <w:r w:rsidR="00A044FB" w:rsidRPr="00D247A3">
        <w:rPr>
          <w:rFonts w:cs="Arial"/>
          <w:sz w:val="24"/>
          <w:szCs w:val="24"/>
          <w:lang w:val="en-US"/>
        </w:rPr>
        <w:t xml:space="preserve">by </w:t>
      </w:r>
      <w:r w:rsidRPr="00D247A3">
        <w:rPr>
          <w:rFonts w:cs="Arial"/>
          <w:sz w:val="24"/>
          <w:szCs w:val="24"/>
          <w:lang w:val="en-US"/>
        </w:rPr>
        <w:t xml:space="preserve">the increase in the initial concentration of soluble </w:t>
      </w:r>
      <w:r w:rsidRPr="00850EFA">
        <w:rPr>
          <w:rFonts w:cs="Arial"/>
          <w:sz w:val="24"/>
          <w:szCs w:val="24"/>
          <w:lang w:val="en-US"/>
        </w:rPr>
        <w:t>P</w:t>
      </w:r>
      <w:r w:rsidR="00A044FB" w:rsidRPr="00850EFA">
        <w:rPr>
          <w:rFonts w:cs="Arial"/>
          <w:sz w:val="24"/>
          <w:szCs w:val="24"/>
          <w:lang w:val="en-US"/>
        </w:rPr>
        <w:t>.</w:t>
      </w:r>
      <w:r w:rsidRPr="00850EFA">
        <w:rPr>
          <w:rFonts w:cs="Arial"/>
          <w:sz w:val="24"/>
          <w:szCs w:val="24"/>
          <w:lang w:val="en-US"/>
        </w:rPr>
        <w:t xml:space="preserve"> </w:t>
      </w:r>
      <w:r w:rsidR="00F62B6A" w:rsidRPr="00850EFA">
        <w:rPr>
          <w:rFonts w:cs="Arial"/>
          <w:sz w:val="24"/>
          <w:szCs w:val="24"/>
          <w:lang w:val="en-US"/>
        </w:rPr>
        <w:t>Although microbial dissolution was more</w:t>
      </w:r>
      <w:r w:rsidR="00850EFA" w:rsidRPr="00850EFA">
        <w:rPr>
          <w:rFonts w:cs="Arial"/>
          <w:sz w:val="24"/>
          <w:szCs w:val="24"/>
          <w:lang w:val="en-US"/>
        </w:rPr>
        <w:t xml:space="preserve"> effective with North Carolina </w:t>
      </w:r>
      <w:r w:rsidR="00F62B6A" w:rsidRPr="00850EFA">
        <w:rPr>
          <w:rFonts w:cs="Arial"/>
          <w:sz w:val="24"/>
          <w:szCs w:val="24"/>
          <w:lang w:val="en-US"/>
        </w:rPr>
        <w:t>R</w:t>
      </w:r>
      <w:r w:rsidR="00850EFA" w:rsidRPr="00850EFA">
        <w:rPr>
          <w:rFonts w:cs="Arial"/>
          <w:sz w:val="24"/>
          <w:szCs w:val="24"/>
          <w:lang w:val="en-US"/>
        </w:rPr>
        <w:t>P</w:t>
      </w:r>
      <w:r w:rsidR="00F62B6A" w:rsidRPr="00850EFA">
        <w:rPr>
          <w:rFonts w:cs="Arial"/>
          <w:sz w:val="24"/>
          <w:szCs w:val="24"/>
          <w:lang w:val="en-US"/>
        </w:rPr>
        <w:t>, R</w:t>
      </w:r>
      <w:r w:rsidR="00850EFA" w:rsidRPr="00850EFA">
        <w:rPr>
          <w:rFonts w:cs="Arial"/>
          <w:sz w:val="24"/>
          <w:szCs w:val="24"/>
          <w:lang w:val="en-US"/>
        </w:rPr>
        <w:t>P</w:t>
      </w:r>
      <w:r w:rsidR="00F62B6A" w:rsidRPr="00850EFA">
        <w:rPr>
          <w:rFonts w:cs="Arial"/>
          <w:sz w:val="24"/>
          <w:szCs w:val="24"/>
          <w:lang w:val="en-US"/>
        </w:rPr>
        <w:t xml:space="preserve">s from Huila and Santander showed a good level of dissolution in a short period of time. </w:t>
      </w:r>
      <w:proofErr w:type="spellStart"/>
      <w:r w:rsidR="00F62B6A" w:rsidRPr="00850EFA">
        <w:rPr>
          <w:rFonts w:cs="Arial"/>
          <w:sz w:val="24"/>
          <w:szCs w:val="24"/>
          <w:lang w:val="en-US"/>
        </w:rPr>
        <w:t>Bioacidulation</w:t>
      </w:r>
      <w:proofErr w:type="spellEnd"/>
      <w:r w:rsidR="00F62B6A" w:rsidRPr="00850EFA">
        <w:rPr>
          <w:rFonts w:cs="Arial"/>
          <w:sz w:val="24"/>
          <w:szCs w:val="24"/>
          <w:lang w:val="en-US"/>
        </w:rPr>
        <w:t xml:space="preserve"> will improve </w:t>
      </w:r>
      <w:r w:rsidR="00850EFA" w:rsidRPr="00850EFA">
        <w:rPr>
          <w:rFonts w:cs="Arial"/>
          <w:sz w:val="24"/>
          <w:szCs w:val="24"/>
          <w:lang w:val="en-US"/>
        </w:rPr>
        <w:t xml:space="preserve">the agronomic effectiveness of </w:t>
      </w:r>
      <w:r w:rsidR="00F62B6A" w:rsidRPr="00850EFA">
        <w:rPr>
          <w:rFonts w:cs="Arial"/>
          <w:sz w:val="24"/>
          <w:szCs w:val="24"/>
          <w:lang w:val="en-US"/>
        </w:rPr>
        <w:t>R</w:t>
      </w:r>
      <w:r w:rsidR="00850EFA" w:rsidRPr="00850EFA">
        <w:rPr>
          <w:rFonts w:cs="Arial"/>
          <w:sz w:val="24"/>
          <w:szCs w:val="24"/>
          <w:lang w:val="en-US"/>
        </w:rPr>
        <w:t>P</w:t>
      </w:r>
      <w:r w:rsidR="00F62B6A" w:rsidRPr="00850EFA">
        <w:rPr>
          <w:rFonts w:cs="Arial"/>
          <w:sz w:val="24"/>
          <w:szCs w:val="24"/>
          <w:lang w:val="en-US"/>
        </w:rPr>
        <w:t xml:space="preserve"> for its direct use or through a previous biotechnological process.</w:t>
      </w:r>
    </w:p>
    <w:p w:rsidR="00A044FB" w:rsidRPr="00D247A3" w:rsidRDefault="00A044FB" w:rsidP="005836FE">
      <w:pPr>
        <w:spacing w:line="360" w:lineRule="auto"/>
        <w:rPr>
          <w:rFonts w:cs="Arial"/>
          <w:b/>
          <w:sz w:val="24"/>
          <w:szCs w:val="24"/>
          <w:lang w:val="en-US"/>
        </w:rPr>
      </w:pPr>
    </w:p>
    <w:p w:rsidR="00CE2F29" w:rsidRPr="00D247A3" w:rsidRDefault="00D84D5F" w:rsidP="005836FE">
      <w:pPr>
        <w:spacing w:line="360" w:lineRule="auto"/>
        <w:rPr>
          <w:rFonts w:cs="Arial"/>
          <w:sz w:val="24"/>
          <w:szCs w:val="24"/>
          <w:highlight w:val="green"/>
          <w:lang w:val="en-US"/>
        </w:rPr>
      </w:pPr>
      <w:r w:rsidRPr="00D247A3">
        <w:rPr>
          <w:rFonts w:cs="Arial"/>
          <w:b/>
          <w:sz w:val="24"/>
          <w:szCs w:val="24"/>
          <w:lang w:val="en-US"/>
        </w:rPr>
        <w:lastRenderedPageBreak/>
        <w:t>Key words:</w:t>
      </w:r>
      <w:r w:rsidRPr="00D247A3">
        <w:rPr>
          <w:rFonts w:cs="Arial"/>
          <w:sz w:val="24"/>
          <w:szCs w:val="24"/>
          <w:lang w:val="en-US"/>
        </w:rPr>
        <w:t xml:space="preserve"> </w:t>
      </w:r>
      <w:proofErr w:type="spellStart"/>
      <w:r w:rsidRPr="00D247A3">
        <w:rPr>
          <w:rFonts w:cs="Arial"/>
          <w:sz w:val="24"/>
          <w:szCs w:val="24"/>
          <w:lang w:val="en-US"/>
        </w:rPr>
        <w:t>solubiliza</w:t>
      </w:r>
      <w:r w:rsidR="00CE2F29" w:rsidRPr="00D247A3">
        <w:rPr>
          <w:rFonts w:cs="Arial"/>
          <w:sz w:val="24"/>
          <w:szCs w:val="24"/>
          <w:lang w:val="en-US"/>
        </w:rPr>
        <w:t>tion</w:t>
      </w:r>
      <w:proofErr w:type="spellEnd"/>
      <w:r w:rsidRPr="00D247A3">
        <w:rPr>
          <w:rFonts w:cs="Arial"/>
          <w:sz w:val="24"/>
          <w:szCs w:val="24"/>
          <w:lang w:val="en-US"/>
        </w:rPr>
        <w:t xml:space="preserve">, </w:t>
      </w:r>
      <w:r w:rsidR="00CE2F29" w:rsidRPr="00D247A3">
        <w:rPr>
          <w:rFonts w:cs="Arial"/>
          <w:sz w:val="24"/>
          <w:szCs w:val="24"/>
          <w:lang w:val="en-US"/>
        </w:rPr>
        <w:t>phosphorus</w:t>
      </w:r>
      <w:r w:rsidRPr="00D247A3">
        <w:rPr>
          <w:rFonts w:cs="Arial"/>
          <w:sz w:val="24"/>
          <w:szCs w:val="24"/>
          <w:lang w:val="en-US"/>
        </w:rPr>
        <w:t xml:space="preserve">, </w:t>
      </w:r>
      <w:r w:rsidR="00CE2F29" w:rsidRPr="00D247A3">
        <w:rPr>
          <w:rFonts w:cs="Arial"/>
          <w:sz w:val="24"/>
          <w:szCs w:val="24"/>
          <w:lang w:val="en-US"/>
        </w:rPr>
        <w:t xml:space="preserve">phosphate </w:t>
      </w:r>
      <w:proofErr w:type="spellStart"/>
      <w:r w:rsidR="00CE2F29" w:rsidRPr="00D247A3">
        <w:rPr>
          <w:rFonts w:cs="Arial"/>
          <w:sz w:val="24"/>
          <w:szCs w:val="24"/>
          <w:lang w:val="en-US"/>
        </w:rPr>
        <w:t>solubilizing</w:t>
      </w:r>
      <w:proofErr w:type="spellEnd"/>
      <w:r w:rsidR="00CE2F29" w:rsidRPr="00D247A3">
        <w:rPr>
          <w:rFonts w:cs="Arial"/>
          <w:sz w:val="24"/>
          <w:szCs w:val="24"/>
          <w:lang w:val="en-US"/>
        </w:rPr>
        <w:t xml:space="preserve"> microorganism.</w:t>
      </w:r>
    </w:p>
    <w:p w:rsidR="00A044FB" w:rsidRPr="00851CDE" w:rsidRDefault="00CB133D" w:rsidP="005836FE">
      <w:pPr>
        <w:spacing w:line="360" w:lineRule="auto"/>
        <w:rPr>
          <w:rFonts w:cs="Arial"/>
          <w:sz w:val="24"/>
          <w:szCs w:val="24"/>
        </w:rPr>
      </w:pPr>
      <w:r w:rsidRPr="00851CDE">
        <w:rPr>
          <w:rFonts w:cs="Arial"/>
          <w:b/>
          <w:sz w:val="24"/>
          <w:szCs w:val="24"/>
        </w:rPr>
        <w:t>Recibido:</w:t>
      </w:r>
      <w:r w:rsidRPr="00851CDE">
        <w:rPr>
          <w:rFonts w:cs="Arial"/>
          <w:sz w:val="24"/>
          <w:szCs w:val="24"/>
        </w:rPr>
        <w:t xml:space="preserve"> </w:t>
      </w:r>
      <w:r w:rsidR="00851CDE" w:rsidRPr="00851CDE">
        <w:rPr>
          <w:rFonts w:cs="Arial"/>
          <w:sz w:val="24"/>
          <w:szCs w:val="24"/>
        </w:rPr>
        <w:t>diciembre 15 de 2016</w:t>
      </w:r>
      <w:r w:rsidR="00851CDE" w:rsidRPr="00851CDE">
        <w:rPr>
          <w:rFonts w:cs="Arial"/>
          <w:sz w:val="24"/>
          <w:szCs w:val="24"/>
        </w:rPr>
        <w:tab/>
      </w:r>
      <w:r w:rsidR="00851CDE">
        <w:rPr>
          <w:rFonts w:cs="Arial"/>
          <w:sz w:val="24"/>
          <w:szCs w:val="24"/>
        </w:rPr>
        <w:tab/>
      </w:r>
      <w:r w:rsidRPr="00851CDE">
        <w:rPr>
          <w:rFonts w:cs="Arial"/>
          <w:b/>
          <w:sz w:val="24"/>
          <w:szCs w:val="24"/>
        </w:rPr>
        <w:t>Aprobado:</w:t>
      </w:r>
      <w:r w:rsidR="00851CDE">
        <w:rPr>
          <w:rFonts w:cs="Arial"/>
          <w:sz w:val="24"/>
          <w:szCs w:val="24"/>
        </w:rPr>
        <w:t xml:space="preserve"> mayo 24 de 2017</w:t>
      </w:r>
    </w:p>
    <w:p w:rsidR="00CB133D" w:rsidRPr="00851CDE" w:rsidRDefault="00CB133D" w:rsidP="005836FE">
      <w:pPr>
        <w:spacing w:line="360" w:lineRule="auto"/>
        <w:rPr>
          <w:rFonts w:cs="Arial"/>
          <w:sz w:val="24"/>
          <w:szCs w:val="24"/>
        </w:rPr>
      </w:pPr>
    </w:p>
    <w:p w:rsidR="001D3AFB" w:rsidRPr="00D247A3" w:rsidRDefault="00EE50AC" w:rsidP="005836FE">
      <w:pPr>
        <w:spacing w:line="360" w:lineRule="auto"/>
        <w:rPr>
          <w:rFonts w:cs="Arial"/>
          <w:b/>
          <w:sz w:val="24"/>
          <w:szCs w:val="24"/>
        </w:rPr>
      </w:pPr>
      <w:r w:rsidRPr="00D247A3">
        <w:rPr>
          <w:rFonts w:cs="Arial"/>
          <w:b/>
          <w:sz w:val="24"/>
          <w:szCs w:val="24"/>
        </w:rPr>
        <w:t>Introducción</w:t>
      </w:r>
    </w:p>
    <w:p w:rsidR="00A61FF2" w:rsidRPr="00D247A3" w:rsidRDefault="001D3AFB" w:rsidP="005836FE">
      <w:pPr>
        <w:spacing w:line="360" w:lineRule="auto"/>
        <w:jc w:val="both"/>
        <w:rPr>
          <w:rFonts w:cs="Arial"/>
          <w:sz w:val="24"/>
          <w:szCs w:val="24"/>
        </w:rPr>
      </w:pPr>
      <w:r w:rsidRPr="00D247A3">
        <w:rPr>
          <w:rFonts w:cs="Arial"/>
          <w:sz w:val="24"/>
          <w:szCs w:val="24"/>
        </w:rPr>
        <w:t>La roca fosfórica (RP) es la principal fuente n</w:t>
      </w:r>
      <w:r w:rsidR="00A61FF2" w:rsidRPr="00D247A3">
        <w:rPr>
          <w:rFonts w:cs="Arial"/>
          <w:sz w:val="24"/>
          <w:szCs w:val="24"/>
        </w:rPr>
        <w:t>atural inorgánica de fósforo (P</w:t>
      </w:r>
      <w:r w:rsidRPr="00D247A3">
        <w:rPr>
          <w:rFonts w:cs="Arial"/>
          <w:sz w:val="24"/>
          <w:szCs w:val="24"/>
        </w:rPr>
        <w:t>) en el mundo</w:t>
      </w:r>
      <w:r w:rsidR="00A97B6D" w:rsidRPr="00D247A3">
        <w:rPr>
          <w:rFonts w:cs="Arial"/>
          <w:sz w:val="24"/>
          <w:szCs w:val="24"/>
        </w:rPr>
        <w:t>,</w:t>
      </w:r>
      <w:r w:rsidR="003C0580" w:rsidRPr="00D247A3">
        <w:rPr>
          <w:rFonts w:cs="Arial"/>
          <w:sz w:val="24"/>
          <w:szCs w:val="24"/>
        </w:rPr>
        <w:t xml:space="preserve"> es usada para sinterizar fertilizantes fosfóricos</w:t>
      </w:r>
      <w:r w:rsidR="002A5C32" w:rsidRPr="00D247A3">
        <w:rPr>
          <w:rFonts w:cs="Arial"/>
          <w:sz w:val="24"/>
          <w:szCs w:val="24"/>
        </w:rPr>
        <w:t xml:space="preserve"> solubles</w:t>
      </w:r>
      <w:r w:rsidR="003C0580" w:rsidRPr="00D247A3">
        <w:rPr>
          <w:rFonts w:cs="Arial"/>
          <w:sz w:val="24"/>
          <w:szCs w:val="24"/>
        </w:rPr>
        <w:t xml:space="preserve"> (90%) y</w:t>
      </w:r>
      <w:r w:rsidRPr="00D247A3">
        <w:rPr>
          <w:rFonts w:cs="Arial"/>
          <w:sz w:val="24"/>
          <w:szCs w:val="24"/>
        </w:rPr>
        <w:t xml:space="preserve"> </w:t>
      </w:r>
      <w:r w:rsidR="006C1C04" w:rsidRPr="00D247A3">
        <w:rPr>
          <w:rFonts w:cs="Arial"/>
          <w:sz w:val="24"/>
          <w:szCs w:val="24"/>
        </w:rPr>
        <w:t>P</w:t>
      </w:r>
      <w:r w:rsidRPr="00D247A3">
        <w:rPr>
          <w:rFonts w:cs="Arial"/>
          <w:sz w:val="24"/>
          <w:szCs w:val="24"/>
        </w:rPr>
        <w:t xml:space="preserve"> elemental (10%) para la </w:t>
      </w:r>
      <w:r w:rsidR="00DA7B3F" w:rsidRPr="00D247A3">
        <w:rPr>
          <w:rFonts w:cs="Arial"/>
          <w:sz w:val="24"/>
          <w:szCs w:val="24"/>
        </w:rPr>
        <w:t>industria química</w:t>
      </w:r>
      <w:r w:rsidRPr="00D247A3">
        <w:rPr>
          <w:rFonts w:cs="Arial"/>
          <w:sz w:val="24"/>
          <w:szCs w:val="24"/>
        </w:rPr>
        <w:t>, de alimentos y de detergentes (</w:t>
      </w:r>
      <w:proofErr w:type="spellStart"/>
      <w:r w:rsidRPr="00D247A3">
        <w:rPr>
          <w:rFonts w:cs="Arial"/>
          <w:sz w:val="24"/>
          <w:szCs w:val="24"/>
        </w:rPr>
        <w:t>Ham</w:t>
      </w:r>
      <w:r w:rsidR="00D30A8C" w:rsidRPr="00D247A3">
        <w:rPr>
          <w:rFonts w:cs="Arial"/>
          <w:sz w:val="24"/>
          <w:szCs w:val="24"/>
        </w:rPr>
        <w:t>m</w:t>
      </w:r>
      <w:r w:rsidRPr="00D247A3">
        <w:rPr>
          <w:rFonts w:cs="Arial"/>
          <w:sz w:val="24"/>
          <w:szCs w:val="24"/>
        </w:rPr>
        <w:t>ond</w:t>
      </w:r>
      <w:proofErr w:type="spellEnd"/>
      <w:r w:rsidRPr="00D247A3">
        <w:rPr>
          <w:rFonts w:cs="Arial"/>
          <w:sz w:val="24"/>
          <w:szCs w:val="24"/>
        </w:rPr>
        <w:t xml:space="preserve"> </w:t>
      </w:r>
      <w:r w:rsidR="00CC72EC" w:rsidRPr="00D247A3">
        <w:rPr>
          <w:rFonts w:cs="Arial"/>
          <w:sz w:val="24"/>
          <w:szCs w:val="24"/>
        </w:rPr>
        <w:t xml:space="preserve">&amp; </w:t>
      </w:r>
      <w:proofErr w:type="spellStart"/>
      <w:r w:rsidRPr="00D247A3">
        <w:rPr>
          <w:rFonts w:cs="Arial"/>
          <w:sz w:val="24"/>
          <w:szCs w:val="24"/>
        </w:rPr>
        <w:t>Day</w:t>
      </w:r>
      <w:proofErr w:type="spellEnd"/>
      <w:r w:rsidRPr="00D247A3">
        <w:rPr>
          <w:rFonts w:cs="Arial"/>
          <w:sz w:val="24"/>
          <w:szCs w:val="24"/>
        </w:rPr>
        <w:t xml:space="preserve">, 1992; </w:t>
      </w:r>
      <w:proofErr w:type="spellStart"/>
      <w:r w:rsidRPr="00D247A3">
        <w:rPr>
          <w:rFonts w:cs="Arial"/>
          <w:sz w:val="24"/>
          <w:szCs w:val="24"/>
        </w:rPr>
        <w:t>Goenadi</w:t>
      </w:r>
      <w:proofErr w:type="spellEnd"/>
      <w:r w:rsidRPr="00D247A3">
        <w:rPr>
          <w:rFonts w:cs="Arial"/>
          <w:sz w:val="24"/>
          <w:szCs w:val="24"/>
        </w:rPr>
        <w:t xml:space="preserve"> </w:t>
      </w:r>
      <w:r w:rsidR="00DB75C7" w:rsidRPr="00D247A3">
        <w:rPr>
          <w:rFonts w:cs="Arial"/>
          <w:i/>
          <w:sz w:val="24"/>
          <w:szCs w:val="24"/>
        </w:rPr>
        <w:t>et al</w:t>
      </w:r>
      <w:r w:rsidRPr="00D247A3">
        <w:rPr>
          <w:rFonts w:cs="Arial"/>
          <w:sz w:val="24"/>
          <w:szCs w:val="24"/>
        </w:rPr>
        <w:t xml:space="preserve">., 2000; Reyes </w:t>
      </w:r>
      <w:r w:rsidR="00DB75C7" w:rsidRPr="00D247A3">
        <w:rPr>
          <w:rFonts w:cs="Arial"/>
          <w:i/>
          <w:sz w:val="24"/>
          <w:szCs w:val="24"/>
        </w:rPr>
        <w:t>et al</w:t>
      </w:r>
      <w:r w:rsidR="003C0580" w:rsidRPr="00D247A3">
        <w:rPr>
          <w:rFonts w:cs="Arial"/>
          <w:sz w:val="24"/>
          <w:szCs w:val="24"/>
        </w:rPr>
        <w:t xml:space="preserve">., 2001; </w:t>
      </w:r>
      <w:proofErr w:type="spellStart"/>
      <w:r w:rsidR="003C0580" w:rsidRPr="00D247A3">
        <w:rPr>
          <w:rFonts w:cs="Arial"/>
          <w:sz w:val="24"/>
          <w:szCs w:val="24"/>
        </w:rPr>
        <w:t>Bhatti</w:t>
      </w:r>
      <w:proofErr w:type="spellEnd"/>
      <w:r w:rsidR="003C0580" w:rsidRPr="00D247A3">
        <w:rPr>
          <w:rFonts w:cs="Arial"/>
          <w:sz w:val="24"/>
          <w:szCs w:val="24"/>
        </w:rPr>
        <w:t xml:space="preserve"> </w:t>
      </w:r>
      <w:r w:rsidR="00CC72EC" w:rsidRPr="00D247A3">
        <w:rPr>
          <w:rFonts w:cs="Arial"/>
          <w:sz w:val="24"/>
          <w:szCs w:val="24"/>
        </w:rPr>
        <w:t xml:space="preserve">&amp; </w:t>
      </w:r>
      <w:proofErr w:type="spellStart"/>
      <w:r w:rsidR="003C0580" w:rsidRPr="00D247A3">
        <w:rPr>
          <w:rFonts w:cs="Arial"/>
          <w:sz w:val="24"/>
          <w:szCs w:val="24"/>
        </w:rPr>
        <w:t>Ya</w:t>
      </w:r>
      <w:r w:rsidR="001901D6" w:rsidRPr="00D247A3">
        <w:rPr>
          <w:rFonts w:cs="Arial"/>
          <w:sz w:val="24"/>
          <w:szCs w:val="24"/>
        </w:rPr>
        <w:t>w</w:t>
      </w:r>
      <w:r w:rsidR="003C0580" w:rsidRPr="00D247A3">
        <w:rPr>
          <w:rFonts w:cs="Arial"/>
          <w:sz w:val="24"/>
          <w:szCs w:val="24"/>
        </w:rPr>
        <w:t>ar</w:t>
      </w:r>
      <w:proofErr w:type="spellEnd"/>
      <w:r w:rsidR="003C0580" w:rsidRPr="00D247A3">
        <w:rPr>
          <w:rFonts w:cs="Arial"/>
          <w:sz w:val="24"/>
          <w:szCs w:val="24"/>
        </w:rPr>
        <w:t xml:space="preserve">, 2010). </w:t>
      </w:r>
      <w:r w:rsidR="00DA7B3F" w:rsidRPr="00D247A3">
        <w:rPr>
          <w:rFonts w:cs="Arial"/>
          <w:sz w:val="24"/>
          <w:szCs w:val="24"/>
        </w:rPr>
        <w:t>É</w:t>
      </w:r>
      <w:r w:rsidR="003C0580" w:rsidRPr="00D247A3">
        <w:rPr>
          <w:rFonts w:cs="Arial"/>
          <w:sz w:val="24"/>
          <w:szCs w:val="24"/>
        </w:rPr>
        <w:t xml:space="preserve">sta </w:t>
      </w:r>
      <w:r w:rsidR="00A61FF2" w:rsidRPr="00D247A3">
        <w:rPr>
          <w:rFonts w:cs="Arial"/>
          <w:sz w:val="24"/>
          <w:szCs w:val="24"/>
        </w:rPr>
        <w:t>consiste en un fosfato de calcio insoluble conocido</w:t>
      </w:r>
      <w:r w:rsidR="003C0580" w:rsidRPr="00D247A3">
        <w:rPr>
          <w:rFonts w:cs="Arial"/>
          <w:sz w:val="24"/>
          <w:szCs w:val="24"/>
        </w:rPr>
        <w:t xml:space="preserve"> genéricamente como apatita (Ca</w:t>
      </w:r>
      <w:r w:rsidR="003C0580" w:rsidRPr="00D247A3">
        <w:rPr>
          <w:rFonts w:cs="Arial"/>
          <w:sz w:val="24"/>
          <w:szCs w:val="24"/>
          <w:vertAlign w:val="subscript"/>
        </w:rPr>
        <w:t>5</w:t>
      </w:r>
      <w:r w:rsidR="003C0580" w:rsidRPr="00D247A3">
        <w:rPr>
          <w:rFonts w:cs="Arial"/>
          <w:sz w:val="24"/>
          <w:szCs w:val="24"/>
        </w:rPr>
        <w:t>(PO</w:t>
      </w:r>
      <w:r w:rsidR="003C0580" w:rsidRPr="00D247A3">
        <w:rPr>
          <w:rFonts w:cs="Arial"/>
          <w:sz w:val="24"/>
          <w:szCs w:val="24"/>
          <w:vertAlign w:val="subscript"/>
        </w:rPr>
        <w:t>4</w:t>
      </w:r>
      <w:r w:rsidR="003C0580" w:rsidRPr="00D247A3">
        <w:rPr>
          <w:rFonts w:cs="Arial"/>
          <w:sz w:val="24"/>
          <w:szCs w:val="24"/>
        </w:rPr>
        <w:t>)</w:t>
      </w:r>
      <w:r w:rsidR="003C0580" w:rsidRPr="00D247A3">
        <w:rPr>
          <w:rFonts w:cs="Arial"/>
          <w:sz w:val="24"/>
          <w:szCs w:val="24"/>
          <w:vertAlign w:val="subscript"/>
        </w:rPr>
        <w:t>3</w:t>
      </w:r>
      <w:r w:rsidR="003C0580" w:rsidRPr="00D247A3">
        <w:rPr>
          <w:rFonts w:cs="Arial"/>
          <w:sz w:val="24"/>
          <w:szCs w:val="24"/>
        </w:rPr>
        <w:t xml:space="preserve">OH,F) </w:t>
      </w:r>
      <w:r w:rsidR="00A61FF2" w:rsidRPr="00D247A3">
        <w:rPr>
          <w:rFonts w:cs="Arial"/>
          <w:sz w:val="24"/>
          <w:szCs w:val="24"/>
        </w:rPr>
        <w:t>(</w:t>
      </w:r>
      <w:proofErr w:type="spellStart"/>
      <w:r w:rsidR="00A61FF2" w:rsidRPr="00D247A3">
        <w:rPr>
          <w:rFonts w:cs="Arial"/>
          <w:sz w:val="24"/>
          <w:szCs w:val="24"/>
        </w:rPr>
        <w:t>Hammond</w:t>
      </w:r>
      <w:proofErr w:type="spellEnd"/>
      <w:r w:rsidR="00A61FF2" w:rsidRPr="00D247A3">
        <w:rPr>
          <w:rFonts w:cs="Arial"/>
          <w:sz w:val="24"/>
          <w:szCs w:val="24"/>
        </w:rPr>
        <w:t xml:space="preserve"> </w:t>
      </w:r>
      <w:r w:rsidR="00CC72EC" w:rsidRPr="00D247A3">
        <w:rPr>
          <w:rFonts w:cs="Arial"/>
          <w:sz w:val="24"/>
          <w:szCs w:val="24"/>
        </w:rPr>
        <w:t xml:space="preserve">&amp; </w:t>
      </w:r>
      <w:proofErr w:type="spellStart"/>
      <w:r w:rsidR="00A61FF2" w:rsidRPr="00D247A3">
        <w:rPr>
          <w:rFonts w:cs="Arial"/>
          <w:sz w:val="24"/>
          <w:szCs w:val="24"/>
        </w:rPr>
        <w:t>Day</w:t>
      </w:r>
      <w:proofErr w:type="spellEnd"/>
      <w:r w:rsidR="00A61FF2" w:rsidRPr="00D247A3">
        <w:rPr>
          <w:rFonts w:cs="Arial"/>
          <w:sz w:val="24"/>
          <w:szCs w:val="24"/>
        </w:rPr>
        <w:t xml:space="preserve">, 1992). </w:t>
      </w:r>
    </w:p>
    <w:p w:rsidR="006033AE" w:rsidRPr="00D247A3" w:rsidRDefault="003C0580" w:rsidP="005836FE">
      <w:pPr>
        <w:spacing w:line="360" w:lineRule="auto"/>
        <w:jc w:val="both"/>
        <w:rPr>
          <w:rFonts w:cs="Arial"/>
          <w:sz w:val="24"/>
          <w:szCs w:val="24"/>
          <w:lang w:val="es-ES"/>
        </w:rPr>
      </w:pPr>
      <w:r w:rsidRPr="00D247A3">
        <w:rPr>
          <w:rFonts w:cs="Arial"/>
          <w:sz w:val="24"/>
          <w:szCs w:val="24"/>
        </w:rPr>
        <w:t>Desafortunadamente</w:t>
      </w:r>
      <w:r w:rsidR="00A97B6D" w:rsidRPr="00D247A3">
        <w:rPr>
          <w:rFonts w:cs="Arial"/>
          <w:sz w:val="24"/>
          <w:szCs w:val="24"/>
        </w:rPr>
        <w:t>,</w:t>
      </w:r>
      <w:r w:rsidR="00077B55" w:rsidRPr="00D247A3">
        <w:rPr>
          <w:rFonts w:cs="Arial"/>
          <w:sz w:val="24"/>
          <w:szCs w:val="24"/>
        </w:rPr>
        <w:t xml:space="preserve"> la RP es</w:t>
      </w:r>
      <w:r w:rsidRPr="00D247A3">
        <w:rPr>
          <w:rFonts w:cs="Arial"/>
          <w:sz w:val="24"/>
          <w:szCs w:val="24"/>
        </w:rPr>
        <w:t xml:space="preserve"> poco soluble (</w:t>
      </w:r>
      <w:r w:rsidR="00A97B6D" w:rsidRPr="00D247A3">
        <w:rPr>
          <w:rFonts w:cs="Arial"/>
          <w:sz w:val="24"/>
          <w:szCs w:val="24"/>
        </w:rPr>
        <w:t>&lt;0.0</w:t>
      </w:r>
      <w:r w:rsidR="00351305" w:rsidRPr="00D247A3">
        <w:rPr>
          <w:rFonts w:cs="Arial"/>
          <w:sz w:val="24"/>
          <w:szCs w:val="24"/>
        </w:rPr>
        <w:t>0</w:t>
      </w:r>
      <w:r w:rsidR="00A97B6D" w:rsidRPr="00D247A3">
        <w:rPr>
          <w:rFonts w:cs="Arial"/>
          <w:sz w:val="24"/>
          <w:szCs w:val="24"/>
        </w:rPr>
        <w:t>1 g</w:t>
      </w:r>
      <w:r w:rsidR="0028657B" w:rsidRPr="00D247A3">
        <w:rPr>
          <w:rFonts w:cs="Arial"/>
          <w:sz w:val="24"/>
          <w:szCs w:val="24"/>
        </w:rPr>
        <w:t xml:space="preserve"> </w:t>
      </w:r>
      <w:r w:rsidR="00A97B6D" w:rsidRPr="00D247A3">
        <w:rPr>
          <w:rFonts w:cs="Arial"/>
          <w:sz w:val="24"/>
          <w:szCs w:val="24"/>
        </w:rPr>
        <w:t>L</w:t>
      </w:r>
      <w:r w:rsidR="0028657B" w:rsidRPr="00D247A3">
        <w:rPr>
          <w:rFonts w:cs="Arial"/>
          <w:sz w:val="24"/>
          <w:szCs w:val="24"/>
          <w:vertAlign w:val="superscript"/>
        </w:rPr>
        <w:t>-1</w:t>
      </w:r>
      <w:r w:rsidRPr="00D247A3">
        <w:rPr>
          <w:rFonts w:cs="Arial"/>
          <w:sz w:val="24"/>
          <w:szCs w:val="24"/>
        </w:rPr>
        <w:t>), lo cual limita su efectividad como fertilizante</w:t>
      </w:r>
      <w:r w:rsidR="001D3AFB" w:rsidRPr="00D247A3">
        <w:rPr>
          <w:rFonts w:cs="Arial"/>
          <w:sz w:val="24"/>
          <w:szCs w:val="24"/>
        </w:rPr>
        <w:t xml:space="preserve"> </w:t>
      </w:r>
      <w:r w:rsidRPr="00D247A3">
        <w:rPr>
          <w:rFonts w:cs="Arial"/>
          <w:sz w:val="24"/>
          <w:szCs w:val="24"/>
        </w:rPr>
        <w:t xml:space="preserve">y, por ende, su uso masivo es restringido </w:t>
      </w:r>
      <w:r w:rsidR="001D3AFB" w:rsidRPr="00D247A3">
        <w:rPr>
          <w:rFonts w:cs="Arial"/>
          <w:sz w:val="24"/>
          <w:szCs w:val="24"/>
        </w:rPr>
        <w:t xml:space="preserve">(Rajan </w:t>
      </w:r>
      <w:r w:rsidR="00DB75C7" w:rsidRPr="00D247A3">
        <w:rPr>
          <w:rFonts w:cs="Arial"/>
          <w:i/>
          <w:sz w:val="24"/>
          <w:szCs w:val="24"/>
        </w:rPr>
        <w:t>et al</w:t>
      </w:r>
      <w:r w:rsidR="001D3AFB" w:rsidRPr="00D247A3">
        <w:rPr>
          <w:rFonts w:cs="Arial"/>
          <w:sz w:val="24"/>
          <w:szCs w:val="24"/>
        </w:rPr>
        <w:t xml:space="preserve">., 1996; </w:t>
      </w:r>
      <w:proofErr w:type="spellStart"/>
      <w:r w:rsidR="001D3AFB" w:rsidRPr="00D247A3">
        <w:rPr>
          <w:rFonts w:cs="Arial"/>
          <w:sz w:val="24"/>
          <w:szCs w:val="24"/>
        </w:rPr>
        <w:t>Reddy</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2002</w:t>
      </w:r>
      <w:r w:rsidR="0028657B" w:rsidRPr="00D247A3">
        <w:rPr>
          <w:rFonts w:cs="Arial"/>
          <w:sz w:val="24"/>
          <w:szCs w:val="24"/>
        </w:rPr>
        <w:t>;</w:t>
      </w:r>
      <w:r w:rsidR="001D3AFB" w:rsidRPr="00D247A3">
        <w:rPr>
          <w:rFonts w:cs="Arial"/>
          <w:sz w:val="24"/>
          <w:szCs w:val="24"/>
        </w:rPr>
        <w:t xml:space="preserve"> </w:t>
      </w:r>
      <w:proofErr w:type="spellStart"/>
      <w:r w:rsidR="0028657B" w:rsidRPr="00D247A3">
        <w:rPr>
          <w:rFonts w:cs="Arial"/>
          <w:sz w:val="24"/>
          <w:szCs w:val="24"/>
        </w:rPr>
        <w:t>Msolla</w:t>
      </w:r>
      <w:proofErr w:type="spellEnd"/>
      <w:r w:rsidR="0028657B" w:rsidRPr="00D247A3">
        <w:rPr>
          <w:rFonts w:cs="Arial"/>
          <w:sz w:val="24"/>
          <w:szCs w:val="24"/>
        </w:rPr>
        <w:t xml:space="preserve"> </w:t>
      </w:r>
      <w:r w:rsidR="0028657B" w:rsidRPr="00D247A3">
        <w:rPr>
          <w:rFonts w:cs="Arial"/>
          <w:i/>
          <w:sz w:val="24"/>
          <w:szCs w:val="24"/>
        </w:rPr>
        <w:t>et al</w:t>
      </w:r>
      <w:r w:rsidR="0028657B" w:rsidRPr="00D247A3">
        <w:rPr>
          <w:rFonts w:cs="Arial"/>
          <w:sz w:val="24"/>
          <w:szCs w:val="24"/>
        </w:rPr>
        <w:t xml:space="preserve">., 2007; </w:t>
      </w:r>
      <w:proofErr w:type="spellStart"/>
      <w:r w:rsidR="005129DE" w:rsidRPr="00D247A3">
        <w:rPr>
          <w:rFonts w:cs="Arial"/>
          <w:sz w:val="24"/>
          <w:szCs w:val="24"/>
        </w:rPr>
        <w:t>Shrivastava</w:t>
      </w:r>
      <w:proofErr w:type="spellEnd"/>
      <w:r w:rsidR="005129DE" w:rsidRPr="00D247A3">
        <w:rPr>
          <w:rFonts w:cs="Arial"/>
          <w:sz w:val="24"/>
          <w:szCs w:val="24"/>
        </w:rPr>
        <w:t xml:space="preserve"> </w:t>
      </w:r>
      <w:r w:rsidR="005129DE" w:rsidRPr="00D247A3">
        <w:rPr>
          <w:rFonts w:cs="Arial"/>
          <w:i/>
          <w:sz w:val="24"/>
          <w:szCs w:val="24"/>
        </w:rPr>
        <w:t>et al</w:t>
      </w:r>
      <w:r w:rsidR="005129DE" w:rsidRPr="00D247A3">
        <w:rPr>
          <w:rFonts w:cs="Arial"/>
          <w:sz w:val="24"/>
          <w:szCs w:val="24"/>
        </w:rPr>
        <w:t xml:space="preserve">., 2007; </w:t>
      </w:r>
      <w:proofErr w:type="spellStart"/>
      <w:r w:rsidR="001D3AFB" w:rsidRPr="00D247A3">
        <w:rPr>
          <w:rFonts w:cs="Arial"/>
          <w:sz w:val="24"/>
          <w:szCs w:val="24"/>
        </w:rPr>
        <w:t>Pramanik</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xml:space="preserve">., 2009). </w:t>
      </w:r>
      <w:r w:rsidRPr="00D247A3">
        <w:rPr>
          <w:rFonts w:cs="Arial"/>
          <w:sz w:val="24"/>
          <w:szCs w:val="24"/>
        </w:rPr>
        <w:t xml:space="preserve">Una alternativa para mejorar la solubilidad de este material es la </w:t>
      </w:r>
      <w:proofErr w:type="spellStart"/>
      <w:r w:rsidRPr="00D247A3">
        <w:rPr>
          <w:rFonts w:cs="Arial"/>
          <w:sz w:val="24"/>
          <w:szCs w:val="24"/>
        </w:rPr>
        <w:t>acidulación</w:t>
      </w:r>
      <w:proofErr w:type="spellEnd"/>
      <w:r w:rsidRPr="00D247A3">
        <w:rPr>
          <w:rFonts w:cs="Arial"/>
          <w:sz w:val="24"/>
          <w:szCs w:val="24"/>
        </w:rPr>
        <w:t xml:space="preserve"> con ácidos fuertes (</w:t>
      </w:r>
      <w:proofErr w:type="spellStart"/>
      <w:r w:rsidR="00A97B6D" w:rsidRPr="00D247A3">
        <w:rPr>
          <w:rFonts w:cs="Arial"/>
          <w:sz w:val="24"/>
          <w:szCs w:val="24"/>
        </w:rPr>
        <w:t>e.g.</w:t>
      </w:r>
      <w:proofErr w:type="spellEnd"/>
      <w:r w:rsidR="00A97B6D" w:rsidRPr="00D247A3">
        <w:rPr>
          <w:rFonts w:cs="Arial"/>
          <w:sz w:val="24"/>
          <w:szCs w:val="24"/>
        </w:rPr>
        <w:t xml:space="preserve">, </w:t>
      </w:r>
      <w:r w:rsidRPr="00D247A3">
        <w:rPr>
          <w:rFonts w:cs="Arial"/>
          <w:sz w:val="24"/>
          <w:szCs w:val="24"/>
        </w:rPr>
        <w:t xml:space="preserve">ácido </w:t>
      </w:r>
      <w:r w:rsidR="006033AE" w:rsidRPr="00D247A3">
        <w:rPr>
          <w:rFonts w:cs="Arial"/>
          <w:sz w:val="24"/>
          <w:szCs w:val="24"/>
        </w:rPr>
        <w:t>sulfúrico, ácido fosfórico),</w:t>
      </w:r>
      <w:r w:rsidRPr="00D247A3">
        <w:rPr>
          <w:rFonts w:cs="Arial"/>
          <w:sz w:val="24"/>
          <w:szCs w:val="24"/>
        </w:rPr>
        <w:t xml:space="preserve"> </w:t>
      </w:r>
      <w:r w:rsidR="006033AE" w:rsidRPr="00D247A3">
        <w:rPr>
          <w:rFonts w:cs="Arial"/>
          <w:sz w:val="24"/>
          <w:szCs w:val="24"/>
        </w:rPr>
        <w:t>pero</w:t>
      </w:r>
      <w:r w:rsidRPr="00D247A3">
        <w:rPr>
          <w:rFonts w:cs="Arial"/>
          <w:sz w:val="24"/>
          <w:szCs w:val="24"/>
        </w:rPr>
        <w:t xml:space="preserve"> este procedimiento </w:t>
      </w:r>
      <w:r w:rsidR="00276AF3" w:rsidRPr="00D247A3">
        <w:rPr>
          <w:rFonts w:cs="Arial"/>
          <w:sz w:val="24"/>
          <w:szCs w:val="24"/>
        </w:rPr>
        <w:t xml:space="preserve">es costoso </w:t>
      </w:r>
      <w:r w:rsidR="002A5C32" w:rsidRPr="00D247A3">
        <w:rPr>
          <w:rFonts w:cs="Arial"/>
          <w:sz w:val="24"/>
          <w:szCs w:val="24"/>
        </w:rPr>
        <w:t>y tiene rie</w:t>
      </w:r>
      <w:r w:rsidR="00DA7B3F" w:rsidRPr="00D247A3">
        <w:rPr>
          <w:rFonts w:cs="Arial"/>
          <w:sz w:val="24"/>
          <w:szCs w:val="24"/>
        </w:rPr>
        <w:t>s</w:t>
      </w:r>
      <w:r w:rsidR="002A5C32" w:rsidRPr="00D247A3">
        <w:rPr>
          <w:rFonts w:cs="Arial"/>
          <w:sz w:val="24"/>
          <w:szCs w:val="24"/>
        </w:rPr>
        <w:t xml:space="preserve">gos </w:t>
      </w:r>
      <w:r w:rsidR="006033AE" w:rsidRPr="00D247A3">
        <w:rPr>
          <w:rFonts w:cs="Arial"/>
          <w:sz w:val="24"/>
          <w:szCs w:val="24"/>
        </w:rPr>
        <w:t>de</w:t>
      </w:r>
      <w:r w:rsidR="002A5C32" w:rsidRPr="00D247A3">
        <w:rPr>
          <w:rFonts w:cs="Arial"/>
          <w:sz w:val="24"/>
          <w:szCs w:val="24"/>
        </w:rPr>
        <w:t xml:space="preserve"> afectar operarios y contaminar </w:t>
      </w:r>
      <w:r w:rsidR="006033AE" w:rsidRPr="00D247A3">
        <w:rPr>
          <w:rFonts w:cs="Arial"/>
          <w:sz w:val="24"/>
          <w:szCs w:val="24"/>
        </w:rPr>
        <w:t xml:space="preserve">el </w:t>
      </w:r>
      <w:r w:rsidR="002A5C32" w:rsidRPr="00D247A3">
        <w:rPr>
          <w:rFonts w:cs="Arial"/>
          <w:sz w:val="24"/>
          <w:szCs w:val="24"/>
        </w:rPr>
        <w:t>ambiente</w:t>
      </w:r>
      <w:r w:rsidR="00680237" w:rsidRPr="00D247A3">
        <w:rPr>
          <w:rFonts w:cs="Arial"/>
          <w:sz w:val="24"/>
          <w:szCs w:val="24"/>
        </w:rPr>
        <w:t xml:space="preserve"> (Smith </w:t>
      </w:r>
      <w:r w:rsidR="00CC72EC" w:rsidRPr="00D247A3">
        <w:rPr>
          <w:rFonts w:cs="Arial"/>
          <w:sz w:val="24"/>
          <w:szCs w:val="24"/>
        </w:rPr>
        <w:t xml:space="preserve">&amp; </w:t>
      </w:r>
      <w:r w:rsidR="00680237" w:rsidRPr="00D247A3">
        <w:rPr>
          <w:rFonts w:cs="Arial"/>
          <w:sz w:val="24"/>
          <w:szCs w:val="24"/>
        </w:rPr>
        <w:t>Moore</w:t>
      </w:r>
      <w:r w:rsidR="00DA7B3F" w:rsidRPr="00D247A3">
        <w:rPr>
          <w:rFonts w:cs="Arial"/>
          <w:sz w:val="24"/>
          <w:szCs w:val="24"/>
        </w:rPr>
        <w:t>,</w:t>
      </w:r>
      <w:r w:rsidR="00680237" w:rsidRPr="00D247A3">
        <w:rPr>
          <w:rFonts w:cs="Arial"/>
          <w:sz w:val="24"/>
          <w:szCs w:val="24"/>
        </w:rPr>
        <w:t xml:space="preserve"> 2005)</w:t>
      </w:r>
      <w:r w:rsidR="002A5C32" w:rsidRPr="00D247A3">
        <w:rPr>
          <w:rFonts w:cs="Arial"/>
          <w:sz w:val="24"/>
          <w:szCs w:val="24"/>
        </w:rPr>
        <w:t>. Una alternativa atra</w:t>
      </w:r>
      <w:r w:rsidR="00A97B6D" w:rsidRPr="00D247A3">
        <w:rPr>
          <w:rFonts w:cs="Arial"/>
          <w:sz w:val="24"/>
          <w:szCs w:val="24"/>
        </w:rPr>
        <w:t>c</w:t>
      </w:r>
      <w:r w:rsidR="002A5C32" w:rsidRPr="00D247A3">
        <w:rPr>
          <w:rFonts w:cs="Arial"/>
          <w:sz w:val="24"/>
          <w:szCs w:val="24"/>
        </w:rPr>
        <w:t xml:space="preserve">tiva es el uso de microorganismos </w:t>
      </w:r>
      <w:proofErr w:type="spellStart"/>
      <w:r w:rsidR="00680237" w:rsidRPr="00D247A3">
        <w:rPr>
          <w:rFonts w:cs="Arial"/>
          <w:sz w:val="24"/>
          <w:szCs w:val="24"/>
        </w:rPr>
        <w:t>sol</w:t>
      </w:r>
      <w:r w:rsidR="00576A55" w:rsidRPr="00D247A3">
        <w:rPr>
          <w:rFonts w:cs="Arial"/>
          <w:sz w:val="24"/>
          <w:szCs w:val="24"/>
        </w:rPr>
        <w:t>u</w:t>
      </w:r>
      <w:r w:rsidR="00680237" w:rsidRPr="00D247A3">
        <w:rPr>
          <w:rFonts w:cs="Arial"/>
          <w:sz w:val="24"/>
          <w:szCs w:val="24"/>
        </w:rPr>
        <w:t>bilizadores</w:t>
      </w:r>
      <w:proofErr w:type="spellEnd"/>
      <w:r w:rsidR="00680237" w:rsidRPr="00D247A3">
        <w:rPr>
          <w:rFonts w:cs="Arial"/>
          <w:sz w:val="24"/>
          <w:szCs w:val="24"/>
        </w:rPr>
        <w:t xml:space="preserve"> de fósforo (MSP) </w:t>
      </w:r>
      <w:r w:rsidR="002A5C32" w:rsidRPr="00D247A3">
        <w:rPr>
          <w:rFonts w:cs="Arial"/>
          <w:sz w:val="24"/>
          <w:szCs w:val="24"/>
        </w:rPr>
        <w:t>productores de ácidos orgánicos que disuelven la RP</w:t>
      </w:r>
      <w:r w:rsidR="006033AE" w:rsidRPr="00D247A3">
        <w:rPr>
          <w:rFonts w:cs="Arial"/>
          <w:sz w:val="24"/>
          <w:szCs w:val="24"/>
        </w:rPr>
        <w:t>,</w:t>
      </w:r>
      <w:r w:rsidR="002A5C32" w:rsidRPr="00D247A3">
        <w:rPr>
          <w:rFonts w:cs="Arial"/>
          <w:sz w:val="24"/>
          <w:szCs w:val="24"/>
        </w:rPr>
        <w:t xml:space="preserve"> esta aproximación ha si</w:t>
      </w:r>
      <w:r w:rsidR="006033AE" w:rsidRPr="00D247A3">
        <w:rPr>
          <w:rFonts w:cs="Arial"/>
          <w:sz w:val="24"/>
          <w:szCs w:val="24"/>
        </w:rPr>
        <w:t>do eval</w:t>
      </w:r>
      <w:r w:rsidR="00576A55" w:rsidRPr="00D247A3">
        <w:rPr>
          <w:rFonts w:cs="Arial"/>
          <w:sz w:val="24"/>
          <w:szCs w:val="24"/>
        </w:rPr>
        <w:t>u</w:t>
      </w:r>
      <w:r w:rsidR="006033AE" w:rsidRPr="00D247A3">
        <w:rPr>
          <w:rFonts w:cs="Arial"/>
          <w:sz w:val="24"/>
          <w:szCs w:val="24"/>
        </w:rPr>
        <w:t>ada por varios autores</w:t>
      </w:r>
      <w:r w:rsidR="003C3597" w:rsidRPr="00D247A3">
        <w:rPr>
          <w:rFonts w:cs="Arial"/>
          <w:sz w:val="24"/>
          <w:szCs w:val="24"/>
        </w:rPr>
        <w:t xml:space="preserve"> </w:t>
      </w:r>
      <w:r w:rsidR="00680237" w:rsidRPr="00D247A3">
        <w:rPr>
          <w:rFonts w:cs="Arial"/>
          <w:sz w:val="24"/>
          <w:szCs w:val="24"/>
        </w:rPr>
        <w:t>(</w:t>
      </w:r>
      <w:proofErr w:type="spellStart"/>
      <w:r w:rsidR="008A44F9" w:rsidRPr="00D247A3">
        <w:rPr>
          <w:rFonts w:cs="Arial"/>
          <w:sz w:val="24"/>
          <w:szCs w:val="24"/>
        </w:rPr>
        <w:t>Narsian</w:t>
      </w:r>
      <w:proofErr w:type="spellEnd"/>
      <w:r w:rsidR="008A44F9" w:rsidRPr="00D247A3">
        <w:rPr>
          <w:rFonts w:cs="Arial"/>
          <w:sz w:val="24"/>
          <w:szCs w:val="24"/>
        </w:rPr>
        <w:t xml:space="preserve"> </w:t>
      </w:r>
      <w:r w:rsidR="00CC72EC" w:rsidRPr="00D247A3">
        <w:rPr>
          <w:rFonts w:cs="Arial"/>
          <w:sz w:val="24"/>
          <w:szCs w:val="24"/>
        </w:rPr>
        <w:t xml:space="preserve">&amp; </w:t>
      </w:r>
      <w:proofErr w:type="spellStart"/>
      <w:r w:rsidR="008A44F9" w:rsidRPr="00D247A3">
        <w:rPr>
          <w:rFonts w:cs="Arial"/>
          <w:sz w:val="24"/>
          <w:szCs w:val="24"/>
        </w:rPr>
        <w:t>Patel</w:t>
      </w:r>
      <w:proofErr w:type="spellEnd"/>
      <w:r w:rsidR="008A44F9" w:rsidRPr="00D247A3">
        <w:rPr>
          <w:rFonts w:cs="Arial"/>
          <w:sz w:val="24"/>
          <w:szCs w:val="24"/>
        </w:rPr>
        <w:t xml:space="preserve">, 2000; </w:t>
      </w:r>
      <w:proofErr w:type="spellStart"/>
      <w:r w:rsidR="00680237" w:rsidRPr="00D247A3">
        <w:rPr>
          <w:rFonts w:cs="Arial"/>
          <w:sz w:val="24"/>
          <w:szCs w:val="24"/>
        </w:rPr>
        <w:t>Whitelaw</w:t>
      </w:r>
      <w:proofErr w:type="spellEnd"/>
      <w:r w:rsidR="00680237" w:rsidRPr="00D247A3">
        <w:rPr>
          <w:rFonts w:cs="Arial"/>
          <w:sz w:val="24"/>
          <w:szCs w:val="24"/>
        </w:rPr>
        <w:t xml:space="preserve"> 2000; Osorio </w:t>
      </w:r>
      <w:r w:rsidR="00CC72EC" w:rsidRPr="00D247A3">
        <w:rPr>
          <w:rFonts w:cs="Arial"/>
          <w:sz w:val="24"/>
          <w:szCs w:val="24"/>
        </w:rPr>
        <w:t xml:space="preserve">&amp; </w:t>
      </w:r>
      <w:r w:rsidR="00680237" w:rsidRPr="00D247A3">
        <w:rPr>
          <w:rFonts w:cs="Arial"/>
          <w:sz w:val="24"/>
          <w:szCs w:val="24"/>
        </w:rPr>
        <w:t xml:space="preserve">Pérez 2000, </w:t>
      </w:r>
      <w:proofErr w:type="spellStart"/>
      <w:r w:rsidR="00680237" w:rsidRPr="00D247A3">
        <w:rPr>
          <w:rFonts w:cs="Arial"/>
          <w:sz w:val="24"/>
          <w:szCs w:val="24"/>
        </w:rPr>
        <w:t>Vassilev</w:t>
      </w:r>
      <w:proofErr w:type="spellEnd"/>
      <w:r w:rsidR="00680237" w:rsidRPr="00D247A3">
        <w:rPr>
          <w:rFonts w:cs="Arial"/>
          <w:sz w:val="24"/>
          <w:szCs w:val="24"/>
        </w:rPr>
        <w:t xml:space="preserve"> </w:t>
      </w:r>
      <w:r w:rsidR="00CC72EC" w:rsidRPr="00D247A3">
        <w:rPr>
          <w:rFonts w:cs="Arial"/>
          <w:sz w:val="24"/>
          <w:szCs w:val="24"/>
        </w:rPr>
        <w:t xml:space="preserve">&amp; </w:t>
      </w:r>
      <w:proofErr w:type="spellStart"/>
      <w:r w:rsidR="00680237" w:rsidRPr="00D247A3">
        <w:rPr>
          <w:rFonts w:cs="Arial"/>
          <w:sz w:val="24"/>
          <w:szCs w:val="24"/>
        </w:rPr>
        <w:t>Vassileva</w:t>
      </w:r>
      <w:proofErr w:type="spellEnd"/>
      <w:r w:rsidR="00680237" w:rsidRPr="00D247A3">
        <w:rPr>
          <w:rFonts w:cs="Arial"/>
          <w:sz w:val="24"/>
          <w:szCs w:val="24"/>
        </w:rPr>
        <w:t xml:space="preserve">, 2003; Ramírez, 2005; </w:t>
      </w:r>
      <w:proofErr w:type="spellStart"/>
      <w:r w:rsidR="00680237" w:rsidRPr="00D247A3">
        <w:rPr>
          <w:rFonts w:cs="Arial"/>
          <w:sz w:val="24"/>
          <w:szCs w:val="24"/>
        </w:rPr>
        <w:t>Jayasinghearachchi</w:t>
      </w:r>
      <w:proofErr w:type="spellEnd"/>
      <w:r w:rsidR="00680237" w:rsidRPr="00D247A3">
        <w:rPr>
          <w:rFonts w:cs="Arial"/>
          <w:sz w:val="24"/>
          <w:szCs w:val="24"/>
        </w:rPr>
        <w:t xml:space="preserve"> </w:t>
      </w:r>
      <w:r w:rsidR="00CC72EC" w:rsidRPr="00D247A3">
        <w:rPr>
          <w:rFonts w:cs="Arial"/>
          <w:sz w:val="24"/>
          <w:szCs w:val="24"/>
        </w:rPr>
        <w:t xml:space="preserve">&amp; </w:t>
      </w:r>
      <w:proofErr w:type="spellStart"/>
      <w:r w:rsidR="00680237" w:rsidRPr="00D247A3">
        <w:rPr>
          <w:rFonts w:cs="Arial"/>
          <w:sz w:val="24"/>
          <w:szCs w:val="24"/>
        </w:rPr>
        <w:t>Seneviratne</w:t>
      </w:r>
      <w:proofErr w:type="spellEnd"/>
      <w:r w:rsidR="00680237" w:rsidRPr="00D247A3">
        <w:rPr>
          <w:rFonts w:cs="Arial"/>
          <w:sz w:val="24"/>
          <w:szCs w:val="24"/>
        </w:rPr>
        <w:t xml:space="preserve">, 2006; </w:t>
      </w:r>
      <w:proofErr w:type="spellStart"/>
      <w:r w:rsidR="00680237" w:rsidRPr="00D247A3">
        <w:rPr>
          <w:rFonts w:cs="Arial"/>
          <w:sz w:val="24"/>
          <w:szCs w:val="24"/>
        </w:rPr>
        <w:t>Relwani</w:t>
      </w:r>
      <w:proofErr w:type="spellEnd"/>
      <w:r w:rsidR="00680237" w:rsidRPr="00D247A3">
        <w:rPr>
          <w:rFonts w:cs="Arial"/>
          <w:sz w:val="24"/>
          <w:szCs w:val="24"/>
        </w:rPr>
        <w:t xml:space="preserve"> </w:t>
      </w:r>
      <w:r w:rsidR="00680237" w:rsidRPr="00D247A3">
        <w:rPr>
          <w:rFonts w:cs="Arial"/>
          <w:i/>
          <w:sz w:val="24"/>
          <w:szCs w:val="24"/>
        </w:rPr>
        <w:t xml:space="preserve">et </w:t>
      </w:r>
      <w:r w:rsidR="001E0EC0" w:rsidRPr="00D247A3">
        <w:rPr>
          <w:rFonts w:cs="Arial"/>
          <w:i/>
          <w:sz w:val="24"/>
          <w:szCs w:val="24"/>
        </w:rPr>
        <w:t>al</w:t>
      </w:r>
      <w:r w:rsidR="001E0EC0" w:rsidRPr="00D247A3">
        <w:rPr>
          <w:rFonts w:cs="Arial"/>
          <w:sz w:val="24"/>
          <w:szCs w:val="24"/>
        </w:rPr>
        <w:t xml:space="preserve">., 2008; Singh </w:t>
      </w:r>
      <w:r w:rsidR="00CC72EC" w:rsidRPr="00D247A3">
        <w:rPr>
          <w:rFonts w:cs="Arial"/>
          <w:sz w:val="24"/>
          <w:szCs w:val="24"/>
        </w:rPr>
        <w:t xml:space="preserve">&amp; </w:t>
      </w:r>
      <w:proofErr w:type="spellStart"/>
      <w:r w:rsidR="001E0EC0" w:rsidRPr="00D247A3">
        <w:rPr>
          <w:rFonts w:cs="Arial"/>
          <w:sz w:val="24"/>
          <w:szCs w:val="24"/>
        </w:rPr>
        <w:t>Reddy</w:t>
      </w:r>
      <w:proofErr w:type="spellEnd"/>
      <w:r w:rsidR="001E0EC0" w:rsidRPr="00D247A3">
        <w:rPr>
          <w:rFonts w:cs="Arial"/>
          <w:sz w:val="24"/>
          <w:szCs w:val="24"/>
        </w:rPr>
        <w:t>, 2011</w:t>
      </w:r>
      <w:r w:rsidR="00077B55" w:rsidRPr="00D247A3">
        <w:rPr>
          <w:rFonts w:cs="Arial"/>
          <w:sz w:val="24"/>
          <w:szCs w:val="24"/>
        </w:rPr>
        <w:t xml:space="preserve">; Restrepo Franco </w:t>
      </w:r>
      <w:r w:rsidR="00077B55" w:rsidRPr="00D247A3">
        <w:rPr>
          <w:rFonts w:cs="Arial"/>
          <w:i/>
          <w:sz w:val="24"/>
          <w:szCs w:val="24"/>
        </w:rPr>
        <w:t>et al</w:t>
      </w:r>
      <w:r w:rsidR="00077B55" w:rsidRPr="00D247A3">
        <w:rPr>
          <w:rFonts w:cs="Arial"/>
          <w:sz w:val="24"/>
          <w:szCs w:val="24"/>
        </w:rPr>
        <w:t>., 2015</w:t>
      </w:r>
      <w:r w:rsidR="001E0EC0" w:rsidRPr="00D247A3">
        <w:rPr>
          <w:rFonts w:cs="Arial"/>
          <w:sz w:val="24"/>
          <w:szCs w:val="24"/>
        </w:rPr>
        <w:t xml:space="preserve">). </w:t>
      </w:r>
      <w:r w:rsidR="001E0EC0" w:rsidRPr="00D247A3">
        <w:rPr>
          <w:rFonts w:cs="Arial"/>
          <w:sz w:val="24"/>
          <w:szCs w:val="24"/>
          <w:lang w:val="es-ES"/>
        </w:rPr>
        <w:t>A pesar de que se conoce la reacción de disolución de</w:t>
      </w:r>
      <w:r w:rsidR="006033AE" w:rsidRPr="00D247A3">
        <w:rPr>
          <w:rFonts w:cs="Arial"/>
          <w:sz w:val="24"/>
          <w:szCs w:val="24"/>
          <w:lang w:val="es-ES"/>
        </w:rPr>
        <w:t xml:space="preserve"> la RP (</w:t>
      </w:r>
      <w:proofErr w:type="spellStart"/>
      <w:r w:rsidR="005129DE" w:rsidRPr="00D247A3">
        <w:rPr>
          <w:rFonts w:cs="Arial"/>
          <w:sz w:val="24"/>
          <w:szCs w:val="24"/>
          <w:lang w:val="es-ES"/>
        </w:rPr>
        <w:t>Yusdar</w:t>
      </w:r>
      <w:proofErr w:type="spellEnd"/>
      <w:r w:rsidR="005129DE" w:rsidRPr="00D247A3">
        <w:rPr>
          <w:rFonts w:cs="Arial"/>
          <w:sz w:val="24"/>
          <w:szCs w:val="24"/>
          <w:lang w:val="es-ES"/>
        </w:rPr>
        <w:t xml:space="preserve"> </w:t>
      </w:r>
      <w:r w:rsidR="005129DE" w:rsidRPr="00D247A3">
        <w:rPr>
          <w:rFonts w:cs="Arial"/>
          <w:i/>
          <w:sz w:val="24"/>
          <w:szCs w:val="24"/>
          <w:lang w:val="es-ES"/>
        </w:rPr>
        <w:t>et al</w:t>
      </w:r>
      <w:r w:rsidR="005129DE" w:rsidRPr="00D247A3">
        <w:rPr>
          <w:rFonts w:cs="Arial"/>
          <w:sz w:val="24"/>
          <w:szCs w:val="24"/>
          <w:lang w:val="es-ES"/>
        </w:rPr>
        <w:t xml:space="preserve">., 2007; </w:t>
      </w:r>
      <w:r w:rsidR="006033AE" w:rsidRPr="00D247A3">
        <w:rPr>
          <w:rFonts w:cs="Arial"/>
          <w:sz w:val="24"/>
          <w:szCs w:val="24"/>
          <w:lang w:val="es-ES"/>
        </w:rPr>
        <w:t xml:space="preserve">Osorio, 2012), falta precisar cuáles son las condiciones que optimizan el proceso </w:t>
      </w:r>
      <w:r w:rsidR="00576A55" w:rsidRPr="00D247A3">
        <w:rPr>
          <w:rFonts w:cs="Arial"/>
          <w:sz w:val="24"/>
          <w:szCs w:val="24"/>
          <w:lang w:val="es-ES"/>
        </w:rPr>
        <w:t xml:space="preserve">de </w:t>
      </w:r>
      <w:proofErr w:type="spellStart"/>
      <w:r w:rsidR="00576A55" w:rsidRPr="00D247A3">
        <w:rPr>
          <w:rFonts w:cs="Arial"/>
          <w:sz w:val="24"/>
          <w:szCs w:val="24"/>
          <w:lang w:val="es-ES"/>
        </w:rPr>
        <w:t>bioacidulación</w:t>
      </w:r>
      <w:proofErr w:type="spellEnd"/>
      <w:r w:rsidR="00576A55" w:rsidRPr="00D247A3">
        <w:rPr>
          <w:rFonts w:cs="Arial"/>
          <w:sz w:val="24"/>
          <w:szCs w:val="24"/>
          <w:lang w:val="es-ES"/>
        </w:rPr>
        <w:t xml:space="preserve"> </w:t>
      </w:r>
      <w:r w:rsidR="00A97B6D" w:rsidRPr="00D247A3">
        <w:rPr>
          <w:rFonts w:cs="Arial"/>
          <w:sz w:val="24"/>
          <w:szCs w:val="24"/>
          <w:lang w:val="es-ES"/>
        </w:rPr>
        <w:t>para cada microorganismo o cepa espec</w:t>
      </w:r>
      <w:r w:rsidR="00DA7B3F" w:rsidRPr="00D247A3">
        <w:rPr>
          <w:rFonts w:cs="Arial"/>
          <w:sz w:val="24"/>
          <w:szCs w:val="24"/>
          <w:lang w:val="es-ES"/>
        </w:rPr>
        <w:t>í</w:t>
      </w:r>
      <w:r w:rsidR="00A97B6D" w:rsidRPr="00D247A3">
        <w:rPr>
          <w:rFonts w:cs="Arial"/>
          <w:sz w:val="24"/>
          <w:szCs w:val="24"/>
          <w:lang w:val="es-ES"/>
        </w:rPr>
        <w:t xml:space="preserve">fica </w:t>
      </w:r>
      <w:r w:rsidR="006033AE" w:rsidRPr="00D247A3">
        <w:rPr>
          <w:rFonts w:cs="Arial"/>
          <w:sz w:val="24"/>
          <w:szCs w:val="24"/>
          <w:lang w:val="es-ES"/>
        </w:rPr>
        <w:t>(</w:t>
      </w:r>
      <w:proofErr w:type="spellStart"/>
      <w:r w:rsidR="006033AE" w:rsidRPr="00D247A3">
        <w:rPr>
          <w:rFonts w:cs="Arial"/>
          <w:sz w:val="24"/>
          <w:szCs w:val="24"/>
          <w:lang w:val="es-ES"/>
        </w:rPr>
        <w:t>Cunningham</w:t>
      </w:r>
      <w:proofErr w:type="spellEnd"/>
      <w:r w:rsidR="006033AE" w:rsidRPr="00D247A3">
        <w:rPr>
          <w:rFonts w:cs="Arial"/>
          <w:sz w:val="24"/>
          <w:szCs w:val="24"/>
          <w:lang w:val="es-ES"/>
        </w:rPr>
        <w:t xml:space="preserve"> </w:t>
      </w:r>
      <w:r w:rsidR="003A254A" w:rsidRPr="00D247A3">
        <w:rPr>
          <w:rFonts w:cs="Arial"/>
          <w:sz w:val="24"/>
          <w:szCs w:val="24"/>
          <w:lang w:val="es-ES"/>
        </w:rPr>
        <w:t xml:space="preserve">&amp; </w:t>
      </w:r>
      <w:proofErr w:type="spellStart"/>
      <w:r w:rsidR="006033AE" w:rsidRPr="00D247A3">
        <w:rPr>
          <w:rFonts w:cs="Arial"/>
          <w:sz w:val="24"/>
          <w:szCs w:val="24"/>
          <w:lang w:val="es-ES"/>
        </w:rPr>
        <w:t>Kuiack</w:t>
      </w:r>
      <w:proofErr w:type="spellEnd"/>
      <w:r w:rsidR="006033AE" w:rsidRPr="00D247A3">
        <w:rPr>
          <w:rFonts w:cs="Arial"/>
          <w:sz w:val="24"/>
          <w:szCs w:val="24"/>
          <w:lang w:val="es-ES"/>
        </w:rPr>
        <w:t xml:space="preserve">, 1992). Entre </w:t>
      </w:r>
      <w:r w:rsidR="00576A55" w:rsidRPr="00D247A3">
        <w:rPr>
          <w:rFonts w:cs="Arial"/>
          <w:sz w:val="24"/>
          <w:szCs w:val="24"/>
          <w:lang w:val="es-ES"/>
        </w:rPr>
        <w:t>est</w:t>
      </w:r>
      <w:r w:rsidR="00A97B6D" w:rsidRPr="00D247A3">
        <w:rPr>
          <w:rFonts w:cs="Arial"/>
          <w:sz w:val="24"/>
          <w:szCs w:val="24"/>
          <w:lang w:val="es-ES"/>
        </w:rPr>
        <w:t xml:space="preserve">os </w:t>
      </w:r>
      <w:r w:rsidR="00576A55" w:rsidRPr="00D247A3">
        <w:rPr>
          <w:rFonts w:cs="Arial"/>
          <w:sz w:val="24"/>
          <w:szCs w:val="24"/>
          <w:lang w:val="es-ES"/>
        </w:rPr>
        <w:t xml:space="preserve">factores </w:t>
      </w:r>
      <w:r w:rsidR="00A97B6D" w:rsidRPr="00D247A3">
        <w:rPr>
          <w:rFonts w:cs="Arial"/>
          <w:sz w:val="24"/>
          <w:szCs w:val="24"/>
          <w:lang w:val="es-ES"/>
        </w:rPr>
        <w:t>est</w:t>
      </w:r>
      <w:r w:rsidR="00576A55" w:rsidRPr="00D247A3">
        <w:rPr>
          <w:rFonts w:cs="Arial"/>
          <w:sz w:val="24"/>
          <w:szCs w:val="24"/>
          <w:lang w:val="es-ES"/>
        </w:rPr>
        <w:t>án</w:t>
      </w:r>
      <w:r w:rsidR="00A97B6D" w:rsidRPr="00D247A3">
        <w:rPr>
          <w:rFonts w:cs="Arial"/>
          <w:sz w:val="24"/>
          <w:szCs w:val="24"/>
          <w:lang w:val="es-ES"/>
        </w:rPr>
        <w:t xml:space="preserve"> el tipo de</w:t>
      </w:r>
      <w:r w:rsidR="006033AE" w:rsidRPr="00D247A3">
        <w:rPr>
          <w:rFonts w:cs="Arial"/>
          <w:sz w:val="24"/>
          <w:szCs w:val="24"/>
          <w:lang w:val="es-ES"/>
        </w:rPr>
        <w:t xml:space="preserve"> RP (</w:t>
      </w:r>
      <w:proofErr w:type="spellStart"/>
      <w:r w:rsidR="006033AE" w:rsidRPr="00D247A3">
        <w:rPr>
          <w:rFonts w:cs="Arial"/>
          <w:sz w:val="24"/>
          <w:szCs w:val="24"/>
        </w:rPr>
        <w:t>Sharan</w:t>
      </w:r>
      <w:proofErr w:type="spellEnd"/>
      <w:r w:rsidR="006033AE" w:rsidRPr="00D247A3">
        <w:rPr>
          <w:rFonts w:cs="Arial"/>
          <w:sz w:val="24"/>
          <w:szCs w:val="24"/>
        </w:rPr>
        <w:t xml:space="preserve"> </w:t>
      </w:r>
      <w:r w:rsidR="006033AE" w:rsidRPr="00D247A3">
        <w:rPr>
          <w:rFonts w:cs="Arial"/>
          <w:i/>
          <w:sz w:val="24"/>
          <w:szCs w:val="24"/>
        </w:rPr>
        <w:t>et al</w:t>
      </w:r>
      <w:r w:rsidR="006033AE" w:rsidRPr="00D247A3">
        <w:rPr>
          <w:rFonts w:cs="Arial"/>
          <w:sz w:val="24"/>
          <w:szCs w:val="24"/>
        </w:rPr>
        <w:t xml:space="preserve">., 2008; </w:t>
      </w:r>
      <w:proofErr w:type="spellStart"/>
      <w:r w:rsidR="006033AE" w:rsidRPr="00D247A3">
        <w:rPr>
          <w:rFonts w:cs="Arial"/>
          <w:sz w:val="24"/>
          <w:szCs w:val="24"/>
        </w:rPr>
        <w:t>Scervino</w:t>
      </w:r>
      <w:proofErr w:type="spellEnd"/>
      <w:r w:rsidR="006033AE" w:rsidRPr="00D247A3">
        <w:rPr>
          <w:rFonts w:cs="Arial"/>
          <w:sz w:val="24"/>
          <w:szCs w:val="24"/>
        </w:rPr>
        <w:t xml:space="preserve"> </w:t>
      </w:r>
      <w:r w:rsidR="006033AE" w:rsidRPr="00D247A3">
        <w:rPr>
          <w:rFonts w:cs="Arial"/>
          <w:i/>
          <w:sz w:val="24"/>
          <w:szCs w:val="24"/>
        </w:rPr>
        <w:t>et al</w:t>
      </w:r>
      <w:r w:rsidR="006033AE" w:rsidRPr="00D247A3">
        <w:rPr>
          <w:rFonts w:cs="Arial"/>
          <w:sz w:val="24"/>
          <w:szCs w:val="24"/>
        </w:rPr>
        <w:t xml:space="preserve">., 2010; </w:t>
      </w:r>
      <w:proofErr w:type="spellStart"/>
      <w:r w:rsidR="006033AE" w:rsidRPr="00D247A3">
        <w:rPr>
          <w:rFonts w:cs="Arial"/>
          <w:sz w:val="24"/>
          <w:szCs w:val="24"/>
          <w:lang w:val="es-ES"/>
        </w:rPr>
        <w:t>Tallapragada</w:t>
      </w:r>
      <w:proofErr w:type="spellEnd"/>
      <w:r w:rsidR="006033AE" w:rsidRPr="00D247A3">
        <w:rPr>
          <w:rFonts w:cs="Arial"/>
          <w:sz w:val="24"/>
          <w:szCs w:val="24"/>
          <w:lang w:val="es-ES"/>
        </w:rPr>
        <w:t xml:space="preserve"> </w:t>
      </w:r>
      <w:r w:rsidR="003A254A" w:rsidRPr="00D247A3">
        <w:rPr>
          <w:rFonts w:cs="Arial"/>
          <w:sz w:val="24"/>
          <w:szCs w:val="24"/>
          <w:lang w:val="es-ES"/>
        </w:rPr>
        <w:t xml:space="preserve">&amp; </w:t>
      </w:r>
      <w:proofErr w:type="spellStart"/>
      <w:r w:rsidR="006033AE" w:rsidRPr="00D247A3">
        <w:rPr>
          <w:rFonts w:cs="Arial"/>
          <w:sz w:val="24"/>
          <w:szCs w:val="24"/>
          <w:lang w:val="es-ES"/>
        </w:rPr>
        <w:t>Seshachala</w:t>
      </w:r>
      <w:proofErr w:type="spellEnd"/>
      <w:r w:rsidR="006033AE" w:rsidRPr="00D247A3">
        <w:rPr>
          <w:rFonts w:cs="Arial"/>
          <w:sz w:val="24"/>
          <w:szCs w:val="24"/>
          <w:lang w:val="es-ES"/>
        </w:rPr>
        <w:t>, 2012),</w:t>
      </w:r>
      <w:r w:rsidR="00A97B6D" w:rsidRPr="00D247A3">
        <w:rPr>
          <w:rFonts w:cs="Arial"/>
          <w:sz w:val="24"/>
          <w:szCs w:val="24"/>
          <w:lang w:val="es-ES"/>
        </w:rPr>
        <w:t xml:space="preserve"> </w:t>
      </w:r>
      <w:r w:rsidR="00576A55" w:rsidRPr="00D247A3">
        <w:rPr>
          <w:rFonts w:cs="Arial"/>
          <w:sz w:val="24"/>
          <w:szCs w:val="24"/>
          <w:lang w:val="es-ES"/>
        </w:rPr>
        <w:t xml:space="preserve">los </w:t>
      </w:r>
      <w:r w:rsidR="006033AE" w:rsidRPr="00D247A3">
        <w:rPr>
          <w:rFonts w:cs="Arial"/>
          <w:sz w:val="24"/>
          <w:szCs w:val="24"/>
          <w:lang w:val="es-ES"/>
        </w:rPr>
        <w:t>requeri</w:t>
      </w:r>
      <w:r w:rsidR="00A97B6D" w:rsidRPr="00D247A3">
        <w:rPr>
          <w:rFonts w:cs="Arial"/>
          <w:sz w:val="24"/>
          <w:szCs w:val="24"/>
          <w:lang w:val="es-ES"/>
        </w:rPr>
        <w:t>mientos nutricionales</w:t>
      </w:r>
      <w:r w:rsidR="006033AE" w:rsidRPr="00D247A3">
        <w:rPr>
          <w:rFonts w:cs="Arial"/>
          <w:sz w:val="24"/>
          <w:szCs w:val="24"/>
          <w:lang w:val="es-ES"/>
        </w:rPr>
        <w:t xml:space="preserve"> y </w:t>
      </w:r>
      <w:r w:rsidR="00576A55" w:rsidRPr="00D247A3">
        <w:rPr>
          <w:rFonts w:cs="Arial"/>
          <w:sz w:val="24"/>
          <w:szCs w:val="24"/>
          <w:lang w:val="es-ES"/>
        </w:rPr>
        <w:t xml:space="preserve">algunas </w:t>
      </w:r>
      <w:r w:rsidR="006033AE" w:rsidRPr="00D247A3">
        <w:rPr>
          <w:rFonts w:cs="Arial"/>
          <w:sz w:val="24"/>
          <w:szCs w:val="24"/>
          <w:lang w:val="es-ES"/>
        </w:rPr>
        <w:t>condiciones de la reacción como el tiempo</w:t>
      </w:r>
      <w:r w:rsidR="00A97B6D" w:rsidRPr="00D247A3">
        <w:rPr>
          <w:rFonts w:cs="Arial"/>
          <w:sz w:val="24"/>
          <w:szCs w:val="24"/>
          <w:lang w:val="es-ES"/>
        </w:rPr>
        <w:t>, la velocidad de agitación, temperatura, entre otros</w:t>
      </w:r>
      <w:r w:rsidR="006033AE" w:rsidRPr="00D247A3">
        <w:rPr>
          <w:rFonts w:cs="Arial"/>
          <w:sz w:val="24"/>
          <w:szCs w:val="24"/>
          <w:lang w:val="es-ES"/>
        </w:rPr>
        <w:t xml:space="preserve"> (</w:t>
      </w:r>
      <w:proofErr w:type="spellStart"/>
      <w:r w:rsidR="006033AE" w:rsidRPr="00D247A3">
        <w:rPr>
          <w:rFonts w:cs="Arial"/>
          <w:sz w:val="24"/>
          <w:szCs w:val="24"/>
        </w:rPr>
        <w:t>Vassileva</w:t>
      </w:r>
      <w:proofErr w:type="spellEnd"/>
      <w:r w:rsidR="006033AE" w:rsidRPr="00D247A3">
        <w:rPr>
          <w:rFonts w:cs="Arial"/>
          <w:sz w:val="24"/>
          <w:szCs w:val="24"/>
        </w:rPr>
        <w:t xml:space="preserve"> </w:t>
      </w:r>
      <w:r w:rsidR="006033AE" w:rsidRPr="00D247A3">
        <w:rPr>
          <w:rFonts w:cs="Arial"/>
          <w:i/>
          <w:sz w:val="24"/>
          <w:szCs w:val="24"/>
        </w:rPr>
        <w:t>et al</w:t>
      </w:r>
      <w:r w:rsidR="006033AE" w:rsidRPr="00D247A3">
        <w:rPr>
          <w:rFonts w:cs="Arial"/>
          <w:sz w:val="24"/>
          <w:szCs w:val="24"/>
        </w:rPr>
        <w:t xml:space="preserve">., 1998; </w:t>
      </w:r>
      <w:proofErr w:type="spellStart"/>
      <w:r w:rsidR="006033AE" w:rsidRPr="00D247A3">
        <w:rPr>
          <w:rFonts w:cs="Arial"/>
          <w:sz w:val="24"/>
          <w:szCs w:val="24"/>
        </w:rPr>
        <w:t>Sahu</w:t>
      </w:r>
      <w:proofErr w:type="spellEnd"/>
      <w:r w:rsidR="006033AE" w:rsidRPr="00D247A3">
        <w:rPr>
          <w:rFonts w:cs="Arial"/>
          <w:sz w:val="24"/>
          <w:szCs w:val="24"/>
        </w:rPr>
        <w:t xml:space="preserve"> </w:t>
      </w:r>
      <w:r w:rsidR="003A254A" w:rsidRPr="00D247A3">
        <w:rPr>
          <w:rFonts w:cs="Arial"/>
          <w:sz w:val="24"/>
          <w:szCs w:val="24"/>
        </w:rPr>
        <w:t xml:space="preserve">&amp; </w:t>
      </w:r>
      <w:r w:rsidR="006033AE" w:rsidRPr="00D247A3">
        <w:rPr>
          <w:rFonts w:cs="Arial"/>
          <w:sz w:val="24"/>
          <w:szCs w:val="24"/>
        </w:rPr>
        <w:t>Jana, 2000</w:t>
      </w:r>
      <w:r w:rsidR="00A97B6D" w:rsidRPr="00D247A3">
        <w:rPr>
          <w:rFonts w:cs="Arial"/>
          <w:sz w:val="24"/>
          <w:szCs w:val="24"/>
        </w:rPr>
        <w:t>;</w:t>
      </w:r>
      <w:r w:rsidR="006033AE" w:rsidRPr="00D247A3">
        <w:rPr>
          <w:rFonts w:cs="Arial"/>
          <w:sz w:val="24"/>
          <w:szCs w:val="24"/>
        </w:rPr>
        <w:t xml:space="preserve"> </w:t>
      </w:r>
      <w:proofErr w:type="spellStart"/>
      <w:r w:rsidR="005129DE" w:rsidRPr="00D247A3">
        <w:rPr>
          <w:rFonts w:cs="Arial"/>
          <w:sz w:val="24"/>
          <w:szCs w:val="24"/>
        </w:rPr>
        <w:t>Vassileva</w:t>
      </w:r>
      <w:proofErr w:type="spellEnd"/>
      <w:r w:rsidR="005129DE" w:rsidRPr="00D247A3">
        <w:rPr>
          <w:rFonts w:cs="Arial"/>
          <w:sz w:val="24"/>
          <w:szCs w:val="24"/>
        </w:rPr>
        <w:t xml:space="preserve"> </w:t>
      </w:r>
      <w:r w:rsidR="005129DE" w:rsidRPr="00D247A3">
        <w:rPr>
          <w:rFonts w:cs="Arial"/>
          <w:i/>
          <w:sz w:val="24"/>
          <w:szCs w:val="24"/>
        </w:rPr>
        <w:t>et al</w:t>
      </w:r>
      <w:r w:rsidR="005129DE" w:rsidRPr="00D247A3">
        <w:rPr>
          <w:rFonts w:cs="Arial"/>
          <w:sz w:val="24"/>
          <w:szCs w:val="24"/>
        </w:rPr>
        <w:t xml:space="preserve">., 2000; </w:t>
      </w:r>
      <w:proofErr w:type="spellStart"/>
      <w:r w:rsidR="006033AE" w:rsidRPr="00D247A3">
        <w:rPr>
          <w:rFonts w:cs="Arial"/>
          <w:sz w:val="24"/>
          <w:szCs w:val="24"/>
        </w:rPr>
        <w:t>Ivanova</w:t>
      </w:r>
      <w:proofErr w:type="spellEnd"/>
      <w:r w:rsidR="006033AE" w:rsidRPr="00D247A3">
        <w:rPr>
          <w:rFonts w:cs="Arial"/>
          <w:sz w:val="24"/>
          <w:szCs w:val="24"/>
        </w:rPr>
        <w:t xml:space="preserve"> </w:t>
      </w:r>
      <w:r w:rsidR="006033AE" w:rsidRPr="00D247A3">
        <w:rPr>
          <w:rFonts w:cs="Arial"/>
          <w:i/>
          <w:sz w:val="24"/>
          <w:szCs w:val="24"/>
        </w:rPr>
        <w:t>et al</w:t>
      </w:r>
      <w:r w:rsidR="00E4389D" w:rsidRPr="00D247A3">
        <w:rPr>
          <w:rFonts w:cs="Arial"/>
          <w:i/>
          <w:sz w:val="24"/>
          <w:szCs w:val="24"/>
        </w:rPr>
        <w:t>.</w:t>
      </w:r>
      <w:r w:rsidR="006033AE" w:rsidRPr="00D247A3">
        <w:rPr>
          <w:rFonts w:cs="Arial"/>
          <w:sz w:val="24"/>
          <w:szCs w:val="24"/>
        </w:rPr>
        <w:t>, 2006</w:t>
      </w:r>
      <w:r w:rsidR="00A97B6D" w:rsidRPr="00D247A3">
        <w:rPr>
          <w:rFonts w:cs="Arial"/>
          <w:sz w:val="24"/>
          <w:szCs w:val="24"/>
        </w:rPr>
        <w:t>;</w:t>
      </w:r>
      <w:r w:rsidR="006033AE" w:rsidRPr="00D247A3">
        <w:rPr>
          <w:rFonts w:cs="Arial"/>
          <w:sz w:val="24"/>
          <w:szCs w:val="24"/>
        </w:rPr>
        <w:t xml:space="preserve"> </w:t>
      </w:r>
      <w:proofErr w:type="spellStart"/>
      <w:r w:rsidR="006033AE" w:rsidRPr="00D247A3">
        <w:rPr>
          <w:rFonts w:cs="Arial"/>
          <w:sz w:val="24"/>
          <w:szCs w:val="24"/>
        </w:rPr>
        <w:t>Bojinova</w:t>
      </w:r>
      <w:proofErr w:type="spellEnd"/>
      <w:r w:rsidR="006033AE" w:rsidRPr="00D247A3">
        <w:rPr>
          <w:rFonts w:cs="Arial"/>
          <w:sz w:val="24"/>
          <w:szCs w:val="24"/>
        </w:rPr>
        <w:t xml:space="preserve"> </w:t>
      </w:r>
      <w:r w:rsidR="006033AE" w:rsidRPr="00D247A3">
        <w:rPr>
          <w:rFonts w:cs="Arial"/>
          <w:i/>
          <w:sz w:val="24"/>
          <w:szCs w:val="24"/>
        </w:rPr>
        <w:t>et al</w:t>
      </w:r>
      <w:r w:rsidR="00E4389D" w:rsidRPr="00D247A3">
        <w:rPr>
          <w:rFonts w:cs="Arial"/>
          <w:i/>
          <w:sz w:val="24"/>
          <w:szCs w:val="24"/>
        </w:rPr>
        <w:t>.</w:t>
      </w:r>
      <w:r w:rsidR="006033AE" w:rsidRPr="00D247A3">
        <w:rPr>
          <w:rFonts w:cs="Arial"/>
          <w:sz w:val="24"/>
          <w:szCs w:val="24"/>
        </w:rPr>
        <w:t>, 2008</w:t>
      </w:r>
      <w:r w:rsidR="003C3597" w:rsidRPr="00D247A3">
        <w:rPr>
          <w:rFonts w:cs="Arial"/>
          <w:sz w:val="24"/>
          <w:szCs w:val="24"/>
          <w:lang w:val="es-ES"/>
        </w:rPr>
        <w:t>).</w:t>
      </w:r>
    </w:p>
    <w:p w:rsidR="008C654D" w:rsidRPr="00D247A3" w:rsidRDefault="008C654D" w:rsidP="005836FE">
      <w:pPr>
        <w:spacing w:line="360" w:lineRule="auto"/>
        <w:jc w:val="both"/>
        <w:rPr>
          <w:rFonts w:cs="Arial"/>
          <w:sz w:val="24"/>
          <w:szCs w:val="24"/>
        </w:rPr>
      </w:pPr>
      <w:r w:rsidRPr="00D247A3">
        <w:rPr>
          <w:rFonts w:cs="Arial"/>
          <w:sz w:val="24"/>
          <w:szCs w:val="24"/>
          <w:lang w:val="es-ES"/>
        </w:rPr>
        <w:lastRenderedPageBreak/>
        <w:t xml:space="preserve">La </w:t>
      </w:r>
      <w:proofErr w:type="spellStart"/>
      <w:r w:rsidRPr="00D247A3">
        <w:rPr>
          <w:rFonts w:cs="Arial"/>
          <w:sz w:val="24"/>
          <w:szCs w:val="24"/>
          <w:lang w:val="es-ES"/>
        </w:rPr>
        <w:t>bioacidulación</w:t>
      </w:r>
      <w:proofErr w:type="spellEnd"/>
      <w:r w:rsidRPr="00D247A3">
        <w:rPr>
          <w:rFonts w:cs="Arial"/>
          <w:sz w:val="24"/>
          <w:szCs w:val="24"/>
          <w:lang w:val="es-ES"/>
        </w:rPr>
        <w:t xml:space="preserve"> de RP es muy at</w:t>
      </w:r>
      <w:r w:rsidR="00634288" w:rsidRPr="00D247A3">
        <w:rPr>
          <w:rFonts w:cs="Arial"/>
          <w:sz w:val="24"/>
          <w:szCs w:val="24"/>
          <w:lang w:val="es-ES"/>
        </w:rPr>
        <w:t>ractiva e</w:t>
      </w:r>
      <w:r w:rsidR="00D0308C" w:rsidRPr="00D247A3">
        <w:rPr>
          <w:rFonts w:cs="Arial"/>
          <w:sz w:val="24"/>
          <w:szCs w:val="24"/>
          <w:lang w:val="es-ES"/>
        </w:rPr>
        <w:t>n</w:t>
      </w:r>
      <w:r w:rsidR="00634288" w:rsidRPr="00D247A3">
        <w:rPr>
          <w:rFonts w:cs="Arial"/>
          <w:sz w:val="24"/>
          <w:szCs w:val="24"/>
          <w:lang w:val="es-ES"/>
        </w:rPr>
        <w:t xml:space="preserve"> países como Colombia</w:t>
      </w:r>
      <w:r w:rsidR="00D0308C" w:rsidRPr="00D247A3">
        <w:rPr>
          <w:rFonts w:cs="Arial"/>
          <w:sz w:val="24"/>
          <w:szCs w:val="24"/>
          <w:lang w:val="es-ES"/>
        </w:rPr>
        <w:t>, ya que</w:t>
      </w:r>
      <w:r w:rsidR="00634288" w:rsidRPr="00D247A3">
        <w:rPr>
          <w:rFonts w:cs="Arial"/>
          <w:sz w:val="24"/>
          <w:szCs w:val="24"/>
          <w:lang w:val="es-ES"/>
        </w:rPr>
        <w:t xml:space="preserve">: </w:t>
      </w:r>
      <w:r w:rsidR="00D0308C" w:rsidRPr="00D247A3">
        <w:rPr>
          <w:rFonts w:cs="Arial"/>
          <w:sz w:val="24"/>
          <w:szCs w:val="24"/>
          <w:lang w:val="es-ES"/>
        </w:rPr>
        <w:t>(</w:t>
      </w:r>
      <w:r w:rsidR="00634288" w:rsidRPr="00D247A3">
        <w:rPr>
          <w:rFonts w:cs="Arial"/>
          <w:sz w:val="24"/>
          <w:szCs w:val="24"/>
          <w:lang w:val="es-ES"/>
        </w:rPr>
        <w:t xml:space="preserve">i) </w:t>
      </w:r>
      <w:r w:rsidRPr="00D247A3">
        <w:rPr>
          <w:rFonts w:cs="Arial"/>
          <w:sz w:val="24"/>
          <w:szCs w:val="24"/>
          <w:lang w:val="es-ES"/>
        </w:rPr>
        <w:t>la mayoría de los suelos son deficientes en P</w:t>
      </w:r>
      <w:r w:rsidR="00634288" w:rsidRPr="00D247A3">
        <w:rPr>
          <w:rFonts w:cs="Arial"/>
          <w:sz w:val="24"/>
          <w:szCs w:val="24"/>
          <w:lang w:val="es-ES"/>
        </w:rPr>
        <w:t xml:space="preserve">, </w:t>
      </w:r>
      <w:r w:rsidR="00D0308C" w:rsidRPr="00D247A3">
        <w:rPr>
          <w:rFonts w:cs="Arial"/>
          <w:sz w:val="24"/>
          <w:szCs w:val="24"/>
          <w:lang w:val="es-ES"/>
        </w:rPr>
        <w:t>(</w:t>
      </w:r>
      <w:proofErr w:type="spellStart"/>
      <w:r w:rsidR="00634288" w:rsidRPr="00D247A3">
        <w:rPr>
          <w:rFonts w:cs="Arial"/>
          <w:sz w:val="24"/>
          <w:szCs w:val="24"/>
          <w:lang w:val="es-ES"/>
        </w:rPr>
        <w:t>ii</w:t>
      </w:r>
      <w:proofErr w:type="spellEnd"/>
      <w:r w:rsidR="00634288" w:rsidRPr="00D247A3">
        <w:rPr>
          <w:rFonts w:cs="Arial"/>
          <w:sz w:val="24"/>
          <w:szCs w:val="24"/>
          <w:lang w:val="es-ES"/>
        </w:rPr>
        <w:t>)</w:t>
      </w:r>
      <w:r w:rsidRPr="00D247A3">
        <w:rPr>
          <w:rFonts w:cs="Arial"/>
          <w:sz w:val="24"/>
          <w:szCs w:val="24"/>
          <w:lang w:val="es-ES"/>
        </w:rPr>
        <w:t xml:space="preserve"> existen fuentes naturales de este mineral</w:t>
      </w:r>
      <w:r w:rsidR="00D0308C" w:rsidRPr="00D247A3">
        <w:rPr>
          <w:rFonts w:cs="Arial"/>
          <w:sz w:val="24"/>
          <w:szCs w:val="24"/>
          <w:lang w:val="es-ES"/>
        </w:rPr>
        <w:t xml:space="preserve"> que son</w:t>
      </w:r>
      <w:r w:rsidRPr="00D247A3">
        <w:rPr>
          <w:rFonts w:cs="Arial"/>
          <w:sz w:val="24"/>
          <w:szCs w:val="24"/>
          <w:lang w:val="es-ES"/>
        </w:rPr>
        <w:t xml:space="preserve"> poco utilizad</w:t>
      </w:r>
      <w:r w:rsidR="00D0308C" w:rsidRPr="00D247A3">
        <w:rPr>
          <w:rFonts w:cs="Arial"/>
          <w:sz w:val="24"/>
          <w:szCs w:val="24"/>
          <w:lang w:val="es-ES"/>
        </w:rPr>
        <w:t>a</w:t>
      </w:r>
      <w:r w:rsidRPr="00D247A3">
        <w:rPr>
          <w:rFonts w:cs="Arial"/>
          <w:sz w:val="24"/>
          <w:szCs w:val="24"/>
          <w:lang w:val="es-ES"/>
        </w:rPr>
        <w:t>s</w:t>
      </w:r>
      <w:r w:rsidR="00634288" w:rsidRPr="00D247A3">
        <w:rPr>
          <w:rFonts w:cs="Arial"/>
          <w:sz w:val="24"/>
          <w:szCs w:val="24"/>
          <w:lang w:val="es-ES"/>
        </w:rPr>
        <w:t xml:space="preserve">, </w:t>
      </w:r>
      <w:r w:rsidR="0090581D" w:rsidRPr="00D247A3">
        <w:rPr>
          <w:rFonts w:cs="Arial"/>
          <w:sz w:val="24"/>
          <w:szCs w:val="24"/>
          <w:lang w:val="es-ES"/>
        </w:rPr>
        <w:t>(</w:t>
      </w:r>
      <w:proofErr w:type="spellStart"/>
      <w:r w:rsidR="00634288" w:rsidRPr="00D247A3">
        <w:rPr>
          <w:rFonts w:cs="Arial"/>
          <w:sz w:val="24"/>
          <w:szCs w:val="24"/>
          <w:lang w:val="es-ES"/>
        </w:rPr>
        <w:t>iii</w:t>
      </w:r>
      <w:proofErr w:type="spellEnd"/>
      <w:r w:rsidR="00634288" w:rsidRPr="00D247A3">
        <w:rPr>
          <w:rFonts w:cs="Arial"/>
          <w:sz w:val="24"/>
          <w:szCs w:val="24"/>
          <w:lang w:val="es-ES"/>
        </w:rPr>
        <w:t>)</w:t>
      </w:r>
      <w:r w:rsidRPr="00D247A3">
        <w:rPr>
          <w:rFonts w:cs="Arial"/>
          <w:sz w:val="24"/>
          <w:szCs w:val="24"/>
          <w:lang w:val="es-ES"/>
        </w:rPr>
        <w:t xml:space="preserve"> existe una alta demanda de productos naturales </w:t>
      </w:r>
      <w:r w:rsidR="0090581D" w:rsidRPr="00D247A3">
        <w:rPr>
          <w:rFonts w:cs="Arial"/>
          <w:sz w:val="24"/>
          <w:szCs w:val="24"/>
          <w:lang w:val="es-ES"/>
        </w:rPr>
        <w:t xml:space="preserve">como la RP </w:t>
      </w:r>
      <w:r w:rsidRPr="00D247A3">
        <w:rPr>
          <w:rFonts w:cs="Arial"/>
          <w:sz w:val="24"/>
          <w:szCs w:val="24"/>
          <w:lang w:val="es-ES"/>
        </w:rPr>
        <w:t>compatible</w:t>
      </w:r>
      <w:r w:rsidR="0090581D" w:rsidRPr="00D247A3">
        <w:rPr>
          <w:rFonts w:cs="Arial"/>
          <w:sz w:val="24"/>
          <w:szCs w:val="24"/>
          <w:lang w:val="es-ES"/>
        </w:rPr>
        <w:t>s</w:t>
      </w:r>
      <w:r w:rsidRPr="00D247A3">
        <w:rPr>
          <w:rFonts w:cs="Arial"/>
          <w:sz w:val="24"/>
          <w:szCs w:val="24"/>
          <w:lang w:val="es-ES"/>
        </w:rPr>
        <w:t xml:space="preserve"> con</w:t>
      </w:r>
      <w:r w:rsidR="00634288" w:rsidRPr="00D247A3">
        <w:rPr>
          <w:rFonts w:cs="Arial"/>
          <w:sz w:val="24"/>
          <w:szCs w:val="24"/>
          <w:lang w:val="es-ES"/>
        </w:rPr>
        <w:t xml:space="preserve"> agriculturas sostenibles, y</w:t>
      </w:r>
      <w:r w:rsidRPr="00D247A3">
        <w:rPr>
          <w:rFonts w:cs="Arial"/>
          <w:sz w:val="24"/>
          <w:szCs w:val="24"/>
          <w:lang w:val="es-ES"/>
        </w:rPr>
        <w:t xml:space="preserve"> </w:t>
      </w:r>
      <w:r w:rsidR="0090581D" w:rsidRPr="00D247A3">
        <w:rPr>
          <w:rFonts w:cs="Arial"/>
          <w:sz w:val="24"/>
          <w:szCs w:val="24"/>
          <w:lang w:val="es-ES"/>
        </w:rPr>
        <w:t>(</w:t>
      </w:r>
      <w:proofErr w:type="spellStart"/>
      <w:r w:rsidR="00634288" w:rsidRPr="00D247A3">
        <w:rPr>
          <w:rFonts w:cs="Arial"/>
          <w:sz w:val="24"/>
          <w:szCs w:val="24"/>
          <w:lang w:val="es-ES"/>
        </w:rPr>
        <w:t>iv</w:t>
      </w:r>
      <w:proofErr w:type="spellEnd"/>
      <w:r w:rsidR="00634288" w:rsidRPr="00D247A3">
        <w:rPr>
          <w:rFonts w:cs="Arial"/>
          <w:sz w:val="24"/>
          <w:szCs w:val="24"/>
          <w:lang w:val="es-ES"/>
        </w:rPr>
        <w:t xml:space="preserve">) </w:t>
      </w:r>
      <w:r w:rsidRPr="00D247A3">
        <w:rPr>
          <w:rFonts w:cs="Arial"/>
          <w:sz w:val="24"/>
          <w:szCs w:val="24"/>
          <w:lang w:val="es-ES"/>
        </w:rPr>
        <w:t xml:space="preserve">la volatilidad de los </w:t>
      </w:r>
      <w:r w:rsidR="00634288" w:rsidRPr="00D247A3">
        <w:rPr>
          <w:rFonts w:cs="Arial"/>
          <w:sz w:val="24"/>
          <w:szCs w:val="24"/>
          <w:lang w:val="es-ES"/>
        </w:rPr>
        <w:t xml:space="preserve">precios de los </w:t>
      </w:r>
      <w:r w:rsidRPr="00D247A3">
        <w:rPr>
          <w:rFonts w:cs="Arial"/>
          <w:sz w:val="24"/>
          <w:szCs w:val="24"/>
          <w:lang w:val="es-ES"/>
        </w:rPr>
        <w:t>fertilizantes fosfóricos solubles (en su totalidad importados</w:t>
      </w:r>
      <w:r w:rsidR="0090581D" w:rsidRPr="00D247A3">
        <w:rPr>
          <w:rFonts w:cs="Arial"/>
          <w:sz w:val="24"/>
          <w:szCs w:val="24"/>
          <w:lang w:val="es-ES"/>
        </w:rPr>
        <w:t xml:space="preserve"> para Colombia</w:t>
      </w:r>
      <w:r w:rsidRPr="00D247A3">
        <w:rPr>
          <w:rFonts w:cs="Arial"/>
          <w:sz w:val="24"/>
          <w:szCs w:val="24"/>
          <w:lang w:val="es-ES"/>
        </w:rPr>
        <w:t xml:space="preserve">) pone en riesgo la seguridad y soberanía alimentaria de </w:t>
      </w:r>
      <w:r w:rsidR="00576A55" w:rsidRPr="00D247A3">
        <w:rPr>
          <w:rFonts w:cs="Arial"/>
          <w:sz w:val="24"/>
          <w:szCs w:val="24"/>
          <w:lang w:val="es-ES"/>
        </w:rPr>
        <w:t xml:space="preserve">los </w:t>
      </w:r>
      <w:r w:rsidRPr="00D247A3">
        <w:rPr>
          <w:rFonts w:cs="Arial"/>
          <w:sz w:val="24"/>
          <w:szCs w:val="24"/>
          <w:lang w:val="es-ES"/>
        </w:rPr>
        <w:t xml:space="preserve">países </w:t>
      </w:r>
      <w:r w:rsidR="00576A55" w:rsidRPr="00D247A3">
        <w:rPr>
          <w:rFonts w:cs="Arial"/>
          <w:sz w:val="24"/>
          <w:szCs w:val="24"/>
          <w:lang w:val="es-ES"/>
        </w:rPr>
        <w:t>consumidores</w:t>
      </w:r>
      <w:r w:rsidRPr="00D247A3">
        <w:rPr>
          <w:rFonts w:cs="Arial"/>
          <w:sz w:val="24"/>
          <w:szCs w:val="24"/>
          <w:lang w:val="es-ES"/>
        </w:rPr>
        <w:t>. Por lo anterior</w:t>
      </w:r>
      <w:r w:rsidR="0090581D" w:rsidRPr="00D247A3">
        <w:rPr>
          <w:rFonts w:cs="Arial"/>
          <w:sz w:val="24"/>
          <w:szCs w:val="24"/>
          <w:lang w:val="es-ES"/>
        </w:rPr>
        <w:t>,</w:t>
      </w:r>
      <w:r w:rsidRPr="00D247A3">
        <w:rPr>
          <w:rFonts w:cs="Arial"/>
          <w:sz w:val="24"/>
          <w:szCs w:val="24"/>
          <w:lang w:val="es-ES"/>
        </w:rPr>
        <w:t xml:space="preserve"> las políticas estatales de Colombia recomiendan el uso de minerales locales, como la RP</w:t>
      </w:r>
      <w:r w:rsidR="0090581D" w:rsidRPr="00D247A3">
        <w:rPr>
          <w:rFonts w:cs="Arial"/>
          <w:sz w:val="24"/>
          <w:szCs w:val="24"/>
          <w:lang w:val="es-ES"/>
        </w:rPr>
        <w:t>,</w:t>
      </w:r>
      <w:r w:rsidRPr="00D247A3">
        <w:rPr>
          <w:rFonts w:cs="Arial"/>
          <w:sz w:val="24"/>
          <w:szCs w:val="24"/>
          <w:lang w:val="es-ES"/>
        </w:rPr>
        <w:t xml:space="preserve"> y el uso de microorganismos </w:t>
      </w:r>
      <w:r w:rsidR="00576A55" w:rsidRPr="00D247A3">
        <w:rPr>
          <w:rFonts w:cs="Arial"/>
          <w:sz w:val="24"/>
          <w:szCs w:val="24"/>
          <w:lang w:val="es-ES"/>
        </w:rPr>
        <w:t>que puedan usarse como</w:t>
      </w:r>
      <w:r w:rsidRPr="00D247A3">
        <w:rPr>
          <w:rFonts w:cs="Arial"/>
          <w:sz w:val="24"/>
          <w:szCs w:val="24"/>
          <w:lang w:val="es-ES"/>
        </w:rPr>
        <w:t xml:space="preserve"> </w:t>
      </w:r>
      <w:proofErr w:type="spellStart"/>
      <w:r w:rsidRPr="00D247A3">
        <w:rPr>
          <w:rFonts w:cs="Arial"/>
          <w:sz w:val="24"/>
          <w:szCs w:val="24"/>
          <w:lang w:val="es-ES"/>
        </w:rPr>
        <w:t>biofertilizantes</w:t>
      </w:r>
      <w:proofErr w:type="spellEnd"/>
      <w:r w:rsidRPr="00D247A3">
        <w:rPr>
          <w:rFonts w:cs="Arial"/>
          <w:sz w:val="24"/>
          <w:szCs w:val="24"/>
          <w:lang w:val="es-ES"/>
        </w:rPr>
        <w:t xml:space="preserve"> (</w:t>
      </w:r>
      <w:r w:rsidR="00576A55" w:rsidRPr="00D247A3">
        <w:rPr>
          <w:rFonts w:cs="Arial"/>
          <w:sz w:val="24"/>
          <w:szCs w:val="24"/>
          <w:lang w:val="es-ES"/>
        </w:rPr>
        <w:t>CONPES</w:t>
      </w:r>
      <w:r w:rsidRPr="00D247A3">
        <w:rPr>
          <w:rFonts w:cs="Arial"/>
          <w:sz w:val="24"/>
          <w:szCs w:val="24"/>
          <w:lang w:val="es-ES"/>
        </w:rPr>
        <w:t>, 2009)</w:t>
      </w:r>
      <w:r w:rsidR="00634288" w:rsidRPr="00D247A3">
        <w:rPr>
          <w:rFonts w:cs="Arial"/>
          <w:sz w:val="24"/>
          <w:szCs w:val="24"/>
          <w:lang w:val="es-ES"/>
        </w:rPr>
        <w:t>.</w:t>
      </w:r>
    </w:p>
    <w:p w:rsidR="001D3AFB" w:rsidRPr="00D247A3" w:rsidRDefault="008C654D" w:rsidP="005836FE">
      <w:pPr>
        <w:spacing w:line="360" w:lineRule="auto"/>
        <w:jc w:val="both"/>
        <w:rPr>
          <w:rFonts w:cs="Arial"/>
          <w:sz w:val="24"/>
          <w:szCs w:val="24"/>
        </w:rPr>
      </w:pPr>
      <w:r w:rsidRPr="00D247A3">
        <w:rPr>
          <w:rFonts w:cs="Arial"/>
          <w:sz w:val="24"/>
          <w:szCs w:val="24"/>
        </w:rPr>
        <w:t xml:space="preserve">Nuestra </w:t>
      </w:r>
      <w:proofErr w:type="spellStart"/>
      <w:r w:rsidRPr="00D247A3">
        <w:rPr>
          <w:rFonts w:cs="Arial"/>
          <w:sz w:val="24"/>
          <w:szCs w:val="24"/>
        </w:rPr>
        <w:t>hipotesis</w:t>
      </w:r>
      <w:proofErr w:type="spellEnd"/>
      <w:r w:rsidRPr="00D247A3">
        <w:rPr>
          <w:rFonts w:cs="Arial"/>
          <w:sz w:val="24"/>
          <w:szCs w:val="24"/>
        </w:rPr>
        <w:t xml:space="preserve"> es </w:t>
      </w:r>
      <w:r w:rsidR="00634288" w:rsidRPr="00D247A3">
        <w:rPr>
          <w:rFonts w:cs="Arial"/>
          <w:sz w:val="24"/>
          <w:szCs w:val="24"/>
        </w:rPr>
        <w:t xml:space="preserve">que la </w:t>
      </w:r>
      <w:r w:rsidR="00C72833" w:rsidRPr="00D247A3">
        <w:rPr>
          <w:rFonts w:cs="Arial"/>
          <w:sz w:val="24"/>
          <w:szCs w:val="24"/>
        </w:rPr>
        <w:t xml:space="preserve">eficiencia </w:t>
      </w:r>
      <w:r w:rsidRPr="00D247A3">
        <w:rPr>
          <w:rFonts w:cs="Arial"/>
          <w:sz w:val="24"/>
          <w:szCs w:val="24"/>
        </w:rPr>
        <w:t xml:space="preserve">del proceso de </w:t>
      </w:r>
      <w:proofErr w:type="spellStart"/>
      <w:r w:rsidRPr="00D247A3">
        <w:rPr>
          <w:rFonts w:cs="Arial"/>
          <w:sz w:val="24"/>
          <w:szCs w:val="24"/>
        </w:rPr>
        <w:t>bioacidulaci</w:t>
      </w:r>
      <w:r w:rsidR="00E4389D" w:rsidRPr="00D247A3">
        <w:rPr>
          <w:rFonts w:cs="Arial"/>
          <w:sz w:val="24"/>
          <w:szCs w:val="24"/>
        </w:rPr>
        <w:t>ó</w:t>
      </w:r>
      <w:r w:rsidRPr="00D247A3">
        <w:rPr>
          <w:rFonts w:cs="Arial"/>
          <w:sz w:val="24"/>
          <w:szCs w:val="24"/>
        </w:rPr>
        <w:t>n</w:t>
      </w:r>
      <w:proofErr w:type="spellEnd"/>
      <w:r w:rsidRPr="00D247A3">
        <w:rPr>
          <w:rFonts w:cs="Arial"/>
          <w:sz w:val="24"/>
          <w:szCs w:val="24"/>
        </w:rPr>
        <w:t xml:space="preserve"> de la RP </w:t>
      </w:r>
      <w:r w:rsidR="00C72833" w:rsidRPr="00D247A3">
        <w:rPr>
          <w:rFonts w:cs="Arial"/>
          <w:sz w:val="24"/>
          <w:szCs w:val="24"/>
        </w:rPr>
        <w:t xml:space="preserve">puede ser mejorada </w:t>
      </w:r>
      <w:r w:rsidR="0090581D" w:rsidRPr="00D247A3">
        <w:rPr>
          <w:rFonts w:cs="Arial"/>
          <w:sz w:val="24"/>
          <w:szCs w:val="24"/>
        </w:rPr>
        <w:t>a través de</w:t>
      </w:r>
      <w:r w:rsidR="00C72833" w:rsidRPr="00D247A3">
        <w:rPr>
          <w:rFonts w:cs="Arial"/>
          <w:sz w:val="24"/>
          <w:szCs w:val="24"/>
        </w:rPr>
        <w:t xml:space="preserve"> factores asociados al tipo de material y </w:t>
      </w:r>
      <w:r w:rsidR="0090581D" w:rsidRPr="00D247A3">
        <w:rPr>
          <w:rFonts w:cs="Arial"/>
          <w:sz w:val="24"/>
          <w:szCs w:val="24"/>
        </w:rPr>
        <w:t xml:space="preserve">a </w:t>
      </w:r>
      <w:r w:rsidR="00C72833" w:rsidRPr="00D247A3">
        <w:rPr>
          <w:rFonts w:cs="Arial"/>
          <w:sz w:val="24"/>
          <w:szCs w:val="24"/>
        </w:rPr>
        <w:t xml:space="preserve">condiciones </w:t>
      </w:r>
      <w:r w:rsidR="0090581D" w:rsidRPr="00D247A3">
        <w:rPr>
          <w:rFonts w:cs="Arial"/>
          <w:sz w:val="24"/>
          <w:szCs w:val="24"/>
        </w:rPr>
        <w:t>propias de</w:t>
      </w:r>
      <w:r w:rsidR="00C72833" w:rsidRPr="00D247A3">
        <w:rPr>
          <w:rFonts w:cs="Arial"/>
          <w:sz w:val="24"/>
          <w:szCs w:val="24"/>
        </w:rPr>
        <w:t xml:space="preserve"> la reacción. </w:t>
      </w:r>
      <w:r w:rsidR="001D3AFB" w:rsidRPr="00D247A3">
        <w:rPr>
          <w:rFonts w:cs="Arial"/>
          <w:sz w:val="24"/>
          <w:szCs w:val="24"/>
        </w:rPr>
        <w:t xml:space="preserve">El objetivo de este trabajo fue evaluar bajo condiciones </w:t>
      </w:r>
      <w:r w:rsidR="001D3AFB" w:rsidRPr="00D247A3">
        <w:rPr>
          <w:rFonts w:cs="Arial"/>
          <w:i/>
          <w:sz w:val="24"/>
          <w:szCs w:val="24"/>
        </w:rPr>
        <w:t xml:space="preserve">in vitro </w:t>
      </w:r>
      <w:r w:rsidR="001D3AFB" w:rsidRPr="00D247A3">
        <w:rPr>
          <w:rFonts w:cs="Arial"/>
          <w:sz w:val="24"/>
          <w:szCs w:val="24"/>
        </w:rPr>
        <w:t xml:space="preserve">el efecto que tienen el tipo de RP, </w:t>
      </w:r>
      <w:r w:rsidR="00C72833" w:rsidRPr="00D247A3">
        <w:rPr>
          <w:rFonts w:cs="Arial"/>
          <w:sz w:val="24"/>
          <w:szCs w:val="24"/>
        </w:rPr>
        <w:t>el tiempo de incubación, la concentración de P</w:t>
      </w:r>
      <w:r w:rsidR="001D3AFB" w:rsidRPr="00D247A3">
        <w:rPr>
          <w:rFonts w:cs="Arial"/>
          <w:sz w:val="24"/>
          <w:szCs w:val="24"/>
        </w:rPr>
        <w:t xml:space="preserve"> soluble inicial y la adición de suplementos nutritivo</w:t>
      </w:r>
      <w:r w:rsidR="00C72833" w:rsidRPr="00D247A3">
        <w:rPr>
          <w:rFonts w:cs="Arial"/>
          <w:sz w:val="24"/>
          <w:szCs w:val="24"/>
        </w:rPr>
        <w:t xml:space="preserve">s (vitaminas y micronutrientes) sobre la capacidad del hongo </w:t>
      </w:r>
      <w:proofErr w:type="spellStart"/>
      <w:r w:rsidR="00C72833" w:rsidRPr="00D247A3">
        <w:rPr>
          <w:rFonts w:cs="Arial"/>
          <w:i/>
          <w:sz w:val="24"/>
          <w:szCs w:val="24"/>
        </w:rPr>
        <w:t>Mortierella</w:t>
      </w:r>
      <w:proofErr w:type="spellEnd"/>
      <w:r w:rsidR="00C72833" w:rsidRPr="00D247A3">
        <w:rPr>
          <w:rFonts w:cs="Arial"/>
          <w:i/>
          <w:sz w:val="24"/>
          <w:szCs w:val="24"/>
        </w:rPr>
        <w:t xml:space="preserve"> </w:t>
      </w:r>
      <w:proofErr w:type="spellStart"/>
      <w:r w:rsidR="00C72833" w:rsidRPr="00D247A3">
        <w:rPr>
          <w:rFonts w:cs="Arial"/>
          <w:sz w:val="24"/>
          <w:szCs w:val="24"/>
        </w:rPr>
        <w:t>sp.</w:t>
      </w:r>
      <w:proofErr w:type="spellEnd"/>
      <w:r w:rsidR="00C72833" w:rsidRPr="00D247A3">
        <w:rPr>
          <w:rFonts w:cs="Arial"/>
          <w:sz w:val="24"/>
          <w:szCs w:val="24"/>
        </w:rPr>
        <w:t xml:space="preserve"> para disolver RP.</w:t>
      </w:r>
    </w:p>
    <w:p w:rsidR="001D3AFB" w:rsidRPr="00D247A3" w:rsidRDefault="00DD4A2D" w:rsidP="005836FE">
      <w:pPr>
        <w:spacing w:line="360" w:lineRule="auto"/>
        <w:jc w:val="both"/>
        <w:rPr>
          <w:rFonts w:cs="Arial"/>
          <w:b/>
          <w:sz w:val="24"/>
          <w:szCs w:val="24"/>
        </w:rPr>
      </w:pPr>
      <w:r w:rsidRPr="00D247A3">
        <w:rPr>
          <w:rFonts w:cs="Arial"/>
          <w:b/>
          <w:sz w:val="24"/>
          <w:szCs w:val="24"/>
        </w:rPr>
        <w:t xml:space="preserve">Materiales y métodos </w:t>
      </w:r>
    </w:p>
    <w:p w:rsidR="0090581D" w:rsidRPr="00D247A3" w:rsidRDefault="0090581D" w:rsidP="005836FE">
      <w:pPr>
        <w:spacing w:line="360" w:lineRule="auto"/>
        <w:jc w:val="both"/>
        <w:rPr>
          <w:rFonts w:cs="Arial"/>
          <w:sz w:val="24"/>
          <w:szCs w:val="24"/>
          <w:lang w:val="es-ES"/>
        </w:rPr>
      </w:pPr>
      <w:r w:rsidRPr="00D247A3">
        <w:rPr>
          <w:rFonts w:cs="Arial"/>
          <w:sz w:val="24"/>
          <w:szCs w:val="24"/>
          <w:lang w:val="es-ES"/>
        </w:rPr>
        <w:t>Estos estudios se realizaron en el Laboratorio de Ecología y Conservación Ambiental de la Facultad de Ciencias de la Universidad Nacional de Colombia, Sede Medellín.</w:t>
      </w:r>
    </w:p>
    <w:p w:rsidR="001D3AFB" w:rsidRPr="00D247A3" w:rsidRDefault="001D3AFB" w:rsidP="005836FE">
      <w:pPr>
        <w:spacing w:line="360" w:lineRule="auto"/>
        <w:jc w:val="both"/>
        <w:rPr>
          <w:rFonts w:cs="Arial"/>
          <w:sz w:val="24"/>
          <w:szCs w:val="24"/>
          <w:lang w:val="es-ES"/>
        </w:rPr>
      </w:pPr>
      <w:r w:rsidRPr="00D247A3">
        <w:rPr>
          <w:rFonts w:cs="Arial"/>
          <w:sz w:val="24"/>
          <w:szCs w:val="24"/>
          <w:lang w:val="es-ES"/>
        </w:rPr>
        <w:t xml:space="preserve">El hongo </w:t>
      </w:r>
      <w:proofErr w:type="spellStart"/>
      <w:r w:rsidRPr="00D247A3">
        <w:rPr>
          <w:rFonts w:cs="Arial"/>
          <w:i/>
          <w:sz w:val="24"/>
          <w:szCs w:val="24"/>
          <w:lang w:val="es-ES"/>
        </w:rPr>
        <w:t>Mortierella</w:t>
      </w:r>
      <w:proofErr w:type="spellEnd"/>
      <w:r w:rsidRPr="00D247A3">
        <w:rPr>
          <w:rFonts w:cs="Arial"/>
          <w:sz w:val="24"/>
          <w:szCs w:val="24"/>
          <w:lang w:val="es-ES"/>
        </w:rPr>
        <w:t xml:space="preserve"> </w:t>
      </w:r>
      <w:proofErr w:type="spellStart"/>
      <w:r w:rsidRPr="00D247A3">
        <w:rPr>
          <w:rFonts w:cs="Arial"/>
          <w:sz w:val="24"/>
          <w:szCs w:val="24"/>
          <w:lang w:val="es-ES"/>
        </w:rPr>
        <w:t>sp.</w:t>
      </w:r>
      <w:proofErr w:type="spellEnd"/>
      <w:r w:rsidRPr="00D247A3">
        <w:rPr>
          <w:rFonts w:cs="Arial"/>
          <w:sz w:val="24"/>
          <w:szCs w:val="24"/>
          <w:lang w:val="es-ES"/>
        </w:rPr>
        <w:t xml:space="preserve"> fue originalmente aislado en la Universidad de </w:t>
      </w:r>
      <w:proofErr w:type="spellStart"/>
      <w:r w:rsidRPr="00D247A3">
        <w:rPr>
          <w:rFonts w:cs="Arial"/>
          <w:sz w:val="24"/>
          <w:szCs w:val="24"/>
          <w:lang w:val="es-ES"/>
        </w:rPr>
        <w:t>Hawaii</w:t>
      </w:r>
      <w:proofErr w:type="spellEnd"/>
      <w:r w:rsidRPr="00D247A3">
        <w:rPr>
          <w:rFonts w:cs="Arial"/>
          <w:sz w:val="24"/>
          <w:szCs w:val="24"/>
          <w:lang w:val="es-ES"/>
        </w:rPr>
        <w:t xml:space="preserve"> a partir de un </w:t>
      </w:r>
      <w:proofErr w:type="spellStart"/>
      <w:r w:rsidRPr="00D247A3">
        <w:rPr>
          <w:rFonts w:cs="Arial"/>
          <w:sz w:val="24"/>
          <w:szCs w:val="24"/>
          <w:lang w:val="es-ES"/>
        </w:rPr>
        <w:t>Andisol</w:t>
      </w:r>
      <w:proofErr w:type="spellEnd"/>
      <w:r w:rsidRPr="00D247A3">
        <w:rPr>
          <w:rFonts w:cs="Arial"/>
          <w:sz w:val="24"/>
          <w:szCs w:val="24"/>
          <w:lang w:val="es-ES"/>
        </w:rPr>
        <w:t xml:space="preserve"> (Osorio </w:t>
      </w:r>
      <w:r w:rsidR="00A23939" w:rsidRPr="00D247A3">
        <w:rPr>
          <w:rFonts w:cs="Arial"/>
          <w:sz w:val="24"/>
          <w:szCs w:val="24"/>
          <w:lang w:val="es-ES"/>
        </w:rPr>
        <w:t xml:space="preserve">&amp; </w:t>
      </w:r>
      <w:proofErr w:type="spellStart"/>
      <w:r w:rsidRPr="00D247A3">
        <w:rPr>
          <w:rFonts w:cs="Arial"/>
          <w:sz w:val="24"/>
          <w:szCs w:val="24"/>
          <w:lang w:val="es-ES"/>
        </w:rPr>
        <w:t>Habte</w:t>
      </w:r>
      <w:proofErr w:type="spellEnd"/>
      <w:r w:rsidRPr="00D247A3">
        <w:rPr>
          <w:rFonts w:cs="Arial"/>
          <w:sz w:val="24"/>
          <w:szCs w:val="24"/>
          <w:lang w:val="es-ES"/>
        </w:rPr>
        <w:t xml:space="preserve">, 2001). Para su uso en los experimentos, </w:t>
      </w:r>
      <w:r w:rsidR="002A5C32" w:rsidRPr="00D247A3">
        <w:rPr>
          <w:rFonts w:cs="Arial"/>
          <w:sz w:val="24"/>
          <w:szCs w:val="24"/>
          <w:lang w:val="es-ES"/>
        </w:rPr>
        <w:t>el hongo</w:t>
      </w:r>
      <w:r w:rsidRPr="00D247A3">
        <w:rPr>
          <w:rFonts w:cs="Arial"/>
          <w:sz w:val="24"/>
          <w:szCs w:val="24"/>
          <w:lang w:val="es-ES"/>
        </w:rPr>
        <w:t xml:space="preserve"> se </w:t>
      </w:r>
      <w:r w:rsidR="00E4389D" w:rsidRPr="00D247A3">
        <w:rPr>
          <w:rFonts w:cs="Arial"/>
          <w:sz w:val="24"/>
          <w:szCs w:val="24"/>
          <w:lang w:val="es-ES"/>
        </w:rPr>
        <w:t>cultivó</w:t>
      </w:r>
      <w:r w:rsidRPr="00D247A3">
        <w:rPr>
          <w:rFonts w:cs="Arial"/>
          <w:sz w:val="24"/>
          <w:szCs w:val="24"/>
          <w:lang w:val="es-ES"/>
        </w:rPr>
        <w:t xml:space="preserve"> en el medio papa-dextrosa-</w:t>
      </w:r>
      <w:proofErr w:type="spellStart"/>
      <w:r w:rsidRPr="00D247A3">
        <w:rPr>
          <w:rFonts w:cs="Arial"/>
          <w:sz w:val="24"/>
          <w:szCs w:val="24"/>
          <w:lang w:val="es-ES"/>
        </w:rPr>
        <w:t>agar</w:t>
      </w:r>
      <w:proofErr w:type="spellEnd"/>
      <w:r w:rsidRPr="00D247A3">
        <w:rPr>
          <w:rFonts w:cs="Arial"/>
          <w:sz w:val="24"/>
          <w:szCs w:val="24"/>
          <w:lang w:val="es-ES"/>
        </w:rPr>
        <w:t xml:space="preserve"> (PDA) durante 5 días y luego se suspendi</w:t>
      </w:r>
      <w:r w:rsidR="00576A55" w:rsidRPr="00D247A3">
        <w:rPr>
          <w:rFonts w:cs="Arial"/>
          <w:sz w:val="24"/>
          <w:szCs w:val="24"/>
          <w:lang w:val="es-ES"/>
        </w:rPr>
        <w:t>ó</w:t>
      </w:r>
      <w:r w:rsidRPr="00D247A3">
        <w:rPr>
          <w:rFonts w:cs="Arial"/>
          <w:sz w:val="24"/>
          <w:szCs w:val="24"/>
          <w:lang w:val="es-ES"/>
        </w:rPr>
        <w:t xml:space="preserve"> en agua destilada estéril </w:t>
      </w:r>
      <w:r w:rsidR="002A274C" w:rsidRPr="00D247A3">
        <w:rPr>
          <w:rFonts w:cs="Arial"/>
          <w:sz w:val="24"/>
          <w:szCs w:val="24"/>
          <w:lang w:val="es-ES"/>
        </w:rPr>
        <w:t xml:space="preserve">sin micelio </w:t>
      </w:r>
      <w:r w:rsidRPr="00D247A3">
        <w:rPr>
          <w:rFonts w:cs="Arial"/>
          <w:sz w:val="24"/>
          <w:szCs w:val="24"/>
          <w:lang w:val="es-ES"/>
        </w:rPr>
        <w:t xml:space="preserve">y </w:t>
      </w:r>
      <w:r w:rsidR="00576A55" w:rsidRPr="00D247A3">
        <w:rPr>
          <w:rFonts w:cs="Arial"/>
          <w:sz w:val="24"/>
          <w:szCs w:val="24"/>
          <w:lang w:val="es-ES"/>
        </w:rPr>
        <w:t xml:space="preserve">se </w:t>
      </w:r>
      <w:r w:rsidRPr="00D247A3">
        <w:rPr>
          <w:rFonts w:cs="Arial"/>
          <w:sz w:val="24"/>
          <w:szCs w:val="24"/>
          <w:lang w:val="es-ES"/>
        </w:rPr>
        <w:t>conserv</w:t>
      </w:r>
      <w:r w:rsidR="00576A55" w:rsidRPr="00D247A3">
        <w:rPr>
          <w:rFonts w:cs="Arial"/>
          <w:sz w:val="24"/>
          <w:szCs w:val="24"/>
          <w:lang w:val="es-ES"/>
        </w:rPr>
        <w:t>ó</w:t>
      </w:r>
      <w:r w:rsidRPr="00D247A3">
        <w:rPr>
          <w:rFonts w:cs="Arial"/>
          <w:sz w:val="24"/>
          <w:szCs w:val="24"/>
          <w:lang w:val="es-ES"/>
        </w:rPr>
        <w:t xml:space="preserve"> en </w:t>
      </w:r>
      <w:r w:rsidR="00713549" w:rsidRPr="00D247A3">
        <w:rPr>
          <w:rFonts w:cs="Arial"/>
          <w:sz w:val="24"/>
          <w:szCs w:val="24"/>
          <w:lang w:val="es-ES"/>
        </w:rPr>
        <w:t>refrigeración</w:t>
      </w:r>
      <w:r w:rsidRPr="00D247A3">
        <w:rPr>
          <w:rFonts w:cs="Arial"/>
          <w:sz w:val="24"/>
          <w:szCs w:val="24"/>
          <w:lang w:val="es-ES"/>
        </w:rPr>
        <w:t xml:space="preserve"> a 4</w:t>
      </w:r>
      <w:r w:rsidR="00A23939" w:rsidRPr="00D247A3">
        <w:rPr>
          <w:rFonts w:cs="Arial"/>
          <w:sz w:val="24"/>
          <w:szCs w:val="24"/>
          <w:lang w:val="es-ES"/>
        </w:rPr>
        <w:t xml:space="preserve"> </w:t>
      </w:r>
      <w:r w:rsidRPr="00D247A3">
        <w:rPr>
          <w:rFonts w:cs="Arial"/>
          <w:sz w:val="24"/>
          <w:szCs w:val="24"/>
          <w:lang w:val="es-ES"/>
        </w:rPr>
        <w:t>°C. Antes de su uso se realizaron conteos en el medio PDA, los cuales arroja</w:t>
      </w:r>
      <w:r w:rsidR="00B0776F" w:rsidRPr="00D247A3">
        <w:rPr>
          <w:rFonts w:cs="Arial"/>
          <w:sz w:val="24"/>
          <w:szCs w:val="24"/>
          <w:lang w:val="es-ES"/>
        </w:rPr>
        <w:t>ron</w:t>
      </w:r>
      <w:r w:rsidRPr="00D247A3">
        <w:rPr>
          <w:rFonts w:cs="Arial"/>
          <w:sz w:val="24"/>
          <w:szCs w:val="24"/>
          <w:lang w:val="es-ES"/>
        </w:rPr>
        <w:t xml:space="preserve"> </w:t>
      </w:r>
      <w:r w:rsidR="00B0776F" w:rsidRPr="00D247A3">
        <w:rPr>
          <w:rFonts w:cs="Arial"/>
          <w:sz w:val="24"/>
          <w:szCs w:val="24"/>
          <w:lang w:val="es-ES"/>
        </w:rPr>
        <w:t xml:space="preserve">valores de </w:t>
      </w:r>
      <w:r w:rsidRPr="00D247A3">
        <w:rPr>
          <w:rFonts w:cs="Arial"/>
          <w:sz w:val="24"/>
          <w:szCs w:val="24"/>
          <w:lang w:val="es-ES"/>
        </w:rPr>
        <w:t>densidad de 10</w:t>
      </w:r>
      <w:r w:rsidRPr="00D247A3">
        <w:rPr>
          <w:rFonts w:cs="Arial"/>
          <w:sz w:val="24"/>
          <w:szCs w:val="24"/>
          <w:vertAlign w:val="superscript"/>
          <w:lang w:val="es-ES"/>
        </w:rPr>
        <w:t>7</w:t>
      </w:r>
      <w:r w:rsidRPr="00D247A3">
        <w:rPr>
          <w:rFonts w:cs="Arial"/>
          <w:sz w:val="24"/>
          <w:szCs w:val="24"/>
          <w:lang w:val="es-ES"/>
        </w:rPr>
        <w:t xml:space="preserve"> </w:t>
      </w:r>
      <w:r w:rsidR="00870D4C" w:rsidRPr="00D247A3">
        <w:rPr>
          <w:rFonts w:cs="Arial"/>
          <w:sz w:val="24"/>
          <w:szCs w:val="24"/>
          <w:lang w:val="es-ES"/>
        </w:rPr>
        <w:t>esporas/</w:t>
      </w:r>
      <w:proofErr w:type="spellStart"/>
      <w:r w:rsidRPr="00D247A3">
        <w:rPr>
          <w:rFonts w:cs="Arial"/>
          <w:sz w:val="24"/>
          <w:szCs w:val="24"/>
          <w:lang w:val="es-ES"/>
        </w:rPr>
        <w:t>mL</w:t>
      </w:r>
      <w:r w:rsidR="00576A55" w:rsidRPr="00D247A3">
        <w:rPr>
          <w:rFonts w:cs="Arial"/>
          <w:sz w:val="24"/>
          <w:szCs w:val="24"/>
          <w:lang w:val="es-ES"/>
        </w:rPr>
        <w:t>.</w:t>
      </w:r>
      <w:proofErr w:type="spellEnd"/>
    </w:p>
    <w:p w:rsidR="00B0776F" w:rsidRPr="00D247A3" w:rsidRDefault="00B0776F" w:rsidP="005836FE">
      <w:pPr>
        <w:spacing w:line="360" w:lineRule="auto"/>
        <w:jc w:val="both"/>
        <w:rPr>
          <w:rFonts w:cs="Arial"/>
          <w:sz w:val="24"/>
          <w:szCs w:val="24"/>
          <w:lang w:val="es-ES"/>
        </w:rPr>
      </w:pPr>
      <w:r w:rsidRPr="00D247A3">
        <w:rPr>
          <w:rFonts w:cs="Arial"/>
          <w:sz w:val="24"/>
          <w:szCs w:val="24"/>
        </w:rPr>
        <w:t>Se utilizaron tres tipos de RP: Huila, Santander y Carolina del Norte; las dos primeras son de origen Colombiano</w:t>
      </w:r>
      <w:r w:rsidR="006C1C04" w:rsidRPr="00D247A3">
        <w:rPr>
          <w:rFonts w:cs="Arial"/>
          <w:sz w:val="24"/>
          <w:szCs w:val="24"/>
        </w:rPr>
        <w:t>, la tercera de Estados Unidos,</w:t>
      </w:r>
      <w:r w:rsidRPr="00D247A3">
        <w:rPr>
          <w:rFonts w:cs="Arial"/>
          <w:sz w:val="24"/>
          <w:szCs w:val="24"/>
        </w:rPr>
        <w:t xml:space="preserve"> se emple</w:t>
      </w:r>
      <w:r w:rsidR="00713549" w:rsidRPr="00D247A3">
        <w:rPr>
          <w:rFonts w:cs="Arial"/>
          <w:sz w:val="24"/>
          <w:szCs w:val="24"/>
        </w:rPr>
        <w:t>ó</w:t>
      </w:r>
      <w:r w:rsidRPr="00D247A3">
        <w:rPr>
          <w:rFonts w:cs="Arial"/>
          <w:sz w:val="24"/>
          <w:szCs w:val="24"/>
        </w:rPr>
        <w:t xml:space="preserve"> como referencia</w:t>
      </w:r>
      <w:r w:rsidR="00576A55" w:rsidRPr="00D247A3">
        <w:rPr>
          <w:rFonts w:cs="Arial"/>
          <w:sz w:val="24"/>
          <w:szCs w:val="24"/>
        </w:rPr>
        <w:t xml:space="preserve"> ya que es </w:t>
      </w:r>
      <w:proofErr w:type="spellStart"/>
      <w:r w:rsidR="00576A55" w:rsidRPr="00D247A3">
        <w:rPr>
          <w:rFonts w:cs="Arial"/>
          <w:sz w:val="24"/>
          <w:szCs w:val="24"/>
        </w:rPr>
        <w:t>ampliamante</w:t>
      </w:r>
      <w:proofErr w:type="spellEnd"/>
      <w:r w:rsidR="00576A55" w:rsidRPr="00D247A3">
        <w:rPr>
          <w:rFonts w:cs="Arial"/>
          <w:sz w:val="24"/>
          <w:szCs w:val="24"/>
        </w:rPr>
        <w:t xml:space="preserve"> estudiada</w:t>
      </w:r>
      <w:r w:rsidRPr="00D247A3">
        <w:rPr>
          <w:rFonts w:cs="Arial"/>
          <w:sz w:val="24"/>
          <w:szCs w:val="24"/>
        </w:rPr>
        <w:t xml:space="preserve"> (</w:t>
      </w:r>
      <w:r w:rsidR="00A23939" w:rsidRPr="00D247A3">
        <w:rPr>
          <w:rFonts w:cs="Arial"/>
          <w:sz w:val="24"/>
          <w:szCs w:val="24"/>
        </w:rPr>
        <w:t xml:space="preserve">tabla </w:t>
      </w:r>
      <w:r w:rsidRPr="00D247A3">
        <w:rPr>
          <w:rFonts w:cs="Arial"/>
          <w:sz w:val="24"/>
          <w:szCs w:val="24"/>
        </w:rPr>
        <w:t xml:space="preserve">1). </w:t>
      </w:r>
      <w:r w:rsidR="00634288" w:rsidRPr="00D247A3">
        <w:rPr>
          <w:rFonts w:cs="Arial"/>
          <w:sz w:val="24"/>
          <w:szCs w:val="24"/>
        </w:rPr>
        <w:t xml:space="preserve">Las </w:t>
      </w:r>
      <w:proofErr w:type="spellStart"/>
      <w:r w:rsidR="00634288" w:rsidRPr="00D247A3">
        <w:rPr>
          <w:rFonts w:cs="Arial"/>
          <w:sz w:val="24"/>
          <w:szCs w:val="24"/>
        </w:rPr>
        <w:t>RPs</w:t>
      </w:r>
      <w:proofErr w:type="spellEnd"/>
      <w:r w:rsidR="00634288" w:rsidRPr="00D247A3">
        <w:rPr>
          <w:rFonts w:cs="Arial"/>
          <w:sz w:val="24"/>
          <w:szCs w:val="24"/>
        </w:rPr>
        <w:t xml:space="preserve"> </w:t>
      </w:r>
      <w:r w:rsidRPr="00D247A3">
        <w:rPr>
          <w:rFonts w:cs="Arial"/>
          <w:sz w:val="24"/>
          <w:szCs w:val="24"/>
        </w:rPr>
        <w:t xml:space="preserve">se caracterizan por ser </w:t>
      </w:r>
      <w:proofErr w:type="spellStart"/>
      <w:r w:rsidRPr="00D247A3">
        <w:rPr>
          <w:rFonts w:cs="Arial"/>
          <w:sz w:val="24"/>
          <w:szCs w:val="24"/>
        </w:rPr>
        <w:t>f</w:t>
      </w:r>
      <w:r w:rsidR="006C1C04" w:rsidRPr="00D247A3">
        <w:rPr>
          <w:rFonts w:cs="Arial"/>
          <w:sz w:val="24"/>
          <w:szCs w:val="24"/>
        </w:rPr>
        <w:t>luoroapatitas</w:t>
      </w:r>
      <w:proofErr w:type="spellEnd"/>
      <w:r w:rsidR="006C1C04" w:rsidRPr="00D247A3">
        <w:rPr>
          <w:rFonts w:cs="Arial"/>
          <w:sz w:val="24"/>
          <w:szCs w:val="24"/>
        </w:rPr>
        <w:t>,</w:t>
      </w:r>
      <w:r w:rsidRPr="00D247A3">
        <w:rPr>
          <w:rFonts w:cs="Arial"/>
          <w:sz w:val="24"/>
          <w:szCs w:val="24"/>
        </w:rPr>
        <w:t xml:space="preserve"> presentan sustituciones variables de fosfato por carbonato y fluoruro y </w:t>
      </w:r>
      <w:r w:rsidRPr="00D247A3">
        <w:rPr>
          <w:rFonts w:cs="Arial"/>
          <w:sz w:val="24"/>
          <w:szCs w:val="24"/>
        </w:rPr>
        <w:lastRenderedPageBreak/>
        <w:t>de calcio por sodio y magnesio (</w:t>
      </w:r>
      <w:proofErr w:type="spellStart"/>
      <w:r w:rsidRPr="00D247A3">
        <w:rPr>
          <w:rFonts w:cs="Arial"/>
          <w:sz w:val="24"/>
          <w:szCs w:val="24"/>
        </w:rPr>
        <w:t>Chien</w:t>
      </w:r>
      <w:proofErr w:type="spellEnd"/>
      <w:r w:rsidRPr="00D247A3">
        <w:rPr>
          <w:rFonts w:cs="Arial"/>
          <w:sz w:val="24"/>
          <w:szCs w:val="24"/>
        </w:rPr>
        <w:t xml:space="preserve"> </w:t>
      </w:r>
      <w:r w:rsidR="00A23939" w:rsidRPr="00D247A3">
        <w:rPr>
          <w:rFonts w:cs="Arial"/>
          <w:sz w:val="24"/>
          <w:szCs w:val="24"/>
        </w:rPr>
        <w:t xml:space="preserve">&amp; </w:t>
      </w:r>
      <w:proofErr w:type="spellStart"/>
      <w:r w:rsidRPr="00D247A3">
        <w:rPr>
          <w:rFonts w:cs="Arial"/>
          <w:sz w:val="24"/>
          <w:szCs w:val="24"/>
        </w:rPr>
        <w:t>Hammond</w:t>
      </w:r>
      <w:proofErr w:type="spellEnd"/>
      <w:r w:rsidRPr="00D247A3">
        <w:rPr>
          <w:rFonts w:cs="Arial"/>
          <w:sz w:val="24"/>
          <w:szCs w:val="24"/>
        </w:rPr>
        <w:t xml:space="preserve">, 1978). Para todos los experimentos las </w:t>
      </w:r>
      <w:proofErr w:type="spellStart"/>
      <w:r w:rsidRPr="00D247A3">
        <w:rPr>
          <w:rFonts w:cs="Arial"/>
          <w:sz w:val="24"/>
          <w:szCs w:val="24"/>
        </w:rPr>
        <w:t>RP</w:t>
      </w:r>
      <w:r w:rsidR="00222233" w:rsidRPr="00D247A3">
        <w:rPr>
          <w:rFonts w:cs="Arial"/>
          <w:sz w:val="24"/>
          <w:szCs w:val="24"/>
        </w:rPr>
        <w:t>s</w:t>
      </w:r>
      <w:proofErr w:type="spellEnd"/>
      <w:r w:rsidRPr="00D247A3">
        <w:rPr>
          <w:rFonts w:cs="Arial"/>
          <w:sz w:val="24"/>
          <w:szCs w:val="24"/>
        </w:rPr>
        <w:t xml:space="preserve"> se pasaron a través de un tamiz de 500 </w:t>
      </w:r>
      <w:r w:rsidRPr="00D247A3">
        <w:rPr>
          <w:rFonts w:cs="Arial"/>
          <w:bCs/>
          <w:sz w:val="24"/>
          <w:szCs w:val="24"/>
        </w:rPr>
        <w:t>µm (malla 30)</w:t>
      </w:r>
      <w:r w:rsidRPr="00D247A3">
        <w:rPr>
          <w:rFonts w:cs="Arial"/>
          <w:sz w:val="24"/>
          <w:szCs w:val="24"/>
        </w:rPr>
        <w:t xml:space="preserve"> y retenidas en </w:t>
      </w:r>
      <w:r w:rsidR="00D77568" w:rsidRPr="00D247A3">
        <w:rPr>
          <w:rFonts w:cs="Arial"/>
          <w:sz w:val="24"/>
          <w:szCs w:val="24"/>
        </w:rPr>
        <w:t>un tamiz</w:t>
      </w:r>
      <w:r w:rsidRPr="00D247A3">
        <w:rPr>
          <w:rFonts w:cs="Arial"/>
          <w:sz w:val="24"/>
          <w:szCs w:val="24"/>
        </w:rPr>
        <w:t xml:space="preserve"> de </w:t>
      </w:r>
      <w:r w:rsidRPr="00D247A3">
        <w:rPr>
          <w:rFonts w:cs="Arial"/>
          <w:sz w:val="24"/>
          <w:szCs w:val="24"/>
          <w:lang w:val="es-ES"/>
        </w:rPr>
        <w:t xml:space="preserve">250 </w:t>
      </w:r>
      <w:r w:rsidRPr="00D247A3">
        <w:rPr>
          <w:rFonts w:cs="Arial"/>
          <w:bCs/>
          <w:sz w:val="24"/>
          <w:szCs w:val="24"/>
        </w:rPr>
        <w:t>µm (malla 60)</w:t>
      </w:r>
      <w:r w:rsidRPr="00D247A3">
        <w:rPr>
          <w:rFonts w:cs="Arial"/>
          <w:sz w:val="24"/>
          <w:szCs w:val="24"/>
          <w:lang w:val="es-ES"/>
        </w:rPr>
        <w:t>.</w:t>
      </w:r>
    </w:p>
    <w:p w:rsidR="00B0776F" w:rsidRPr="00D247A3" w:rsidRDefault="00B0776F" w:rsidP="005836FE">
      <w:pPr>
        <w:spacing w:line="360" w:lineRule="auto"/>
        <w:jc w:val="both"/>
        <w:rPr>
          <w:rFonts w:cs="Arial"/>
          <w:sz w:val="24"/>
          <w:szCs w:val="24"/>
        </w:rPr>
      </w:pPr>
      <w:r w:rsidRPr="00D247A3">
        <w:rPr>
          <w:rFonts w:cs="Arial"/>
          <w:b/>
          <w:sz w:val="24"/>
          <w:szCs w:val="24"/>
        </w:rPr>
        <w:t>Tabla 1.</w:t>
      </w:r>
      <w:r w:rsidRPr="00D247A3">
        <w:rPr>
          <w:rFonts w:cs="Arial"/>
          <w:sz w:val="24"/>
          <w:szCs w:val="24"/>
        </w:rPr>
        <w:t xml:space="preserve"> </w:t>
      </w:r>
      <w:r w:rsidR="007E71D9" w:rsidRPr="00D247A3">
        <w:rPr>
          <w:rFonts w:cs="Arial"/>
          <w:sz w:val="24"/>
          <w:szCs w:val="24"/>
        </w:rPr>
        <w:t xml:space="preserve">Composición química de las </w:t>
      </w:r>
      <w:proofErr w:type="spellStart"/>
      <w:r w:rsidR="007E71D9" w:rsidRPr="00D247A3">
        <w:rPr>
          <w:rFonts w:cs="Arial"/>
          <w:sz w:val="24"/>
          <w:szCs w:val="24"/>
        </w:rPr>
        <w:t>RPs.</w:t>
      </w:r>
      <w:proofErr w:type="spellEnd"/>
    </w:p>
    <w:p w:rsidR="00AF5D91" w:rsidRPr="00D247A3" w:rsidRDefault="001D3AFB" w:rsidP="005836FE">
      <w:pPr>
        <w:spacing w:line="360" w:lineRule="auto"/>
        <w:jc w:val="both"/>
        <w:rPr>
          <w:rFonts w:cs="Arial"/>
          <w:sz w:val="24"/>
          <w:szCs w:val="24"/>
        </w:rPr>
      </w:pPr>
      <w:r w:rsidRPr="00D247A3">
        <w:rPr>
          <w:rFonts w:cs="Arial"/>
          <w:sz w:val="24"/>
          <w:szCs w:val="24"/>
        </w:rPr>
        <w:t>La composición del medio de cultivo fue (g L</w:t>
      </w:r>
      <w:r w:rsidRPr="00D247A3">
        <w:rPr>
          <w:rFonts w:cs="Arial"/>
          <w:sz w:val="24"/>
          <w:szCs w:val="24"/>
          <w:vertAlign w:val="superscript"/>
        </w:rPr>
        <w:t>-1</w:t>
      </w:r>
      <w:r w:rsidRPr="00D247A3">
        <w:rPr>
          <w:rFonts w:cs="Arial"/>
          <w:sz w:val="24"/>
          <w:szCs w:val="24"/>
        </w:rPr>
        <w:t>):</w:t>
      </w:r>
      <w:r w:rsidRPr="00D247A3">
        <w:rPr>
          <w:rFonts w:cs="Arial"/>
          <w:sz w:val="24"/>
          <w:szCs w:val="24"/>
          <w:lang w:val="es-ES"/>
        </w:rPr>
        <w:t xml:space="preserve"> </w:t>
      </w:r>
      <w:r w:rsidR="00576A55" w:rsidRPr="00D247A3">
        <w:rPr>
          <w:rFonts w:cs="Arial"/>
          <w:sz w:val="24"/>
          <w:szCs w:val="24"/>
          <w:lang w:val="es-ES"/>
        </w:rPr>
        <w:t>g</w:t>
      </w:r>
      <w:r w:rsidR="00634288" w:rsidRPr="00D247A3">
        <w:rPr>
          <w:rFonts w:cs="Arial"/>
          <w:sz w:val="24"/>
          <w:szCs w:val="24"/>
          <w:lang w:val="es-ES"/>
        </w:rPr>
        <w:t>lucosa 10, NH</w:t>
      </w:r>
      <w:r w:rsidR="00634288" w:rsidRPr="00D247A3">
        <w:rPr>
          <w:rFonts w:cs="Arial"/>
          <w:sz w:val="24"/>
          <w:szCs w:val="24"/>
          <w:vertAlign w:val="subscript"/>
          <w:lang w:val="es-ES"/>
        </w:rPr>
        <w:t>4</w:t>
      </w:r>
      <w:r w:rsidR="00634288" w:rsidRPr="00D247A3">
        <w:rPr>
          <w:rFonts w:cs="Arial"/>
          <w:sz w:val="24"/>
          <w:szCs w:val="24"/>
          <w:lang w:val="es-ES"/>
        </w:rPr>
        <w:t xml:space="preserve">Cl 0.5, </w:t>
      </w:r>
      <w:proofErr w:type="spellStart"/>
      <w:r w:rsidRPr="00D247A3">
        <w:rPr>
          <w:rFonts w:cs="Arial"/>
          <w:sz w:val="24"/>
          <w:szCs w:val="24"/>
          <w:lang w:val="es-ES"/>
        </w:rPr>
        <w:t>KCl</w:t>
      </w:r>
      <w:proofErr w:type="spellEnd"/>
      <w:r w:rsidRPr="00D247A3">
        <w:rPr>
          <w:rFonts w:cs="Arial"/>
          <w:sz w:val="24"/>
          <w:szCs w:val="24"/>
          <w:lang w:val="es-ES"/>
        </w:rPr>
        <w:t xml:space="preserve"> 1.87, CaCl</w:t>
      </w:r>
      <w:r w:rsidRPr="00D247A3">
        <w:rPr>
          <w:rFonts w:cs="Arial"/>
          <w:sz w:val="24"/>
          <w:szCs w:val="24"/>
          <w:vertAlign w:val="subscript"/>
          <w:lang w:val="es-ES"/>
        </w:rPr>
        <w:t>2</w:t>
      </w:r>
      <w:r w:rsidRPr="00D247A3">
        <w:rPr>
          <w:rFonts w:cs="Arial"/>
          <w:sz w:val="24"/>
          <w:szCs w:val="24"/>
          <w:lang w:val="es-ES"/>
        </w:rPr>
        <w:t>.2H</w:t>
      </w:r>
      <w:r w:rsidRPr="00D247A3">
        <w:rPr>
          <w:rFonts w:cs="Arial"/>
          <w:sz w:val="24"/>
          <w:szCs w:val="24"/>
          <w:vertAlign w:val="subscript"/>
          <w:lang w:val="es-ES"/>
        </w:rPr>
        <w:t>2</w:t>
      </w:r>
      <w:r w:rsidRPr="00D247A3">
        <w:rPr>
          <w:rFonts w:cs="Arial"/>
          <w:sz w:val="24"/>
          <w:szCs w:val="24"/>
          <w:lang w:val="es-ES"/>
        </w:rPr>
        <w:t>O 0.2, MgSO</w:t>
      </w:r>
      <w:r w:rsidRPr="00D247A3">
        <w:rPr>
          <w:rFonts w:cs="Arial"/>
          <w:sz w:val="24"/>
          <w:szCs w:val="24"/>
          <w:vertAlign w:val="subscript"/>
          <w:lang w:val="es-ES"/>
        </w:rPr>
        <w:t>4</w:t>
      </w:r>
      <w:r w:rsidRPr="00D247A3">
        <w:rPr>
          <w:rFonts w:cs="Arial"/>
          <w:sz w:val="24"/>
          <w:szCs w:val="24"/>
          <w:lang w:val="es-ES"/>
        </w:rPr>
        <w:t>.7H</w:t>
      </w:r>
      <w:r w:rsidRPr="00D247A3">
        <w:rPr>
          <w:rFonts w:cs="Arial"/>
          <w:sz w:val="24"/>
          <w:szCs w:val="24"/>
          <w:vertAlign w:val="subscript"/>
          <w:lang w:val="es-ES"/>
        </w:rPr>
        <w:t>2</w:t>
      </w:r>
      <w:r w:rsidRPr="00D247A3">
        <w:rPr>
          <w:rFonts w:cs="Arial"/>
          <w:sz w:val="24"/>
          <w:szCs w:val="24"/>
          <w:lang w:val="es-ES"/>
        </w:rPr>
        <w:t xml:space="preserve">O 0.4 y RP 3.5 (Osorio, 2008). La única fuente de P en el medio fue la RP. </w:t>
      </w:r>
      <w:r w:rsidR="00B0776F" w:rsidRPr="00D247A3">
        <w:rPr>
          <w:rFonts w:cs="Arial"/>
          <w:sz w:val="24"/>
          <w:szCs w:val="24"/>
          <w:lang w:val="es-ES"/>
        </w:rPr>
        <w:t>A</w:t>
      </w:r>
      <w:r w:rsidRPr="00D247A3">
        <w:rPr>
          <w:rFonts w:cs="Arial"/>
          <w:sz w:val="24"/>
          <w:szCs w:val="24"/>
          <w:lang w:val="es-ES"/>
        </w:rPr>
        <w:t xml:space="preserve"> </w:t>
      </w:r>
      <w:proofErr w:type="spellStart"/>
      <w:r w:rsidR="00B0776F" w:rsidRPr="00D247A3">
        <w:rPr>
          <w:rFonts w:cs="Arial"/>
          <w:sz w:val="24"/>
          <w:szCs w:val="24"/>
          <w:lang w:val="es-ES"/>
        </w:rPr>
        <w:t>E</w:t>
      </w:r>
      <w:r w:rsidRPr="00D247A3">
        <w:rPr>
          <w:rFonts w:cs="Arial"/>
          <w:sz w:val="24"/>
          <w:szCs w:val="24"/>
          <w:lang w:val="es-ES"/>
        </w:rPr>
        <w:t>rlenmeyers</w:t>
      </w:r>
      <w:proofErr w:type="spellEnd"/>
      <w:r w:rsidRPr="00D247A3">
        <w:rPr>
          <w:rFonts w:cs="Arial"/>
          <w:sz w:val="24"/>
          <w:szCs w:val="24"/>
          <w:lang w:val="es-ES"/>
        </w:rPr>
        <w:t xml:space="preserve"> de 250 </w:t>
      </w:r>
      <w:proofErr w:type="spellStart"/>
      <w:r w:rsidRPr="00D247A3">
        <w:rPr>
          <w:rFonts w:cs="Arial"/>
          <w:sz w:val="24"/>
          <w:szCs w:val="24"/>
          <w:lang w:val="es-ES"/>
        </w:rPr>
        <w:t>mL</w:t>
      </w:r>
      <w:proofErr w:type="spellEnd"/>
      <w:r w:rsidRPr="00D247A3">
        <w:rPr>
          <w:rFonts w:cs="Arial"/>
          <w:sz w:val="24"/>
          <w:szCs w:val="24"/>
          <w:lang w:val="es-ES"/>
        </w:rPr>
        <w:t xml:space="preserve"> de capacidad se adicionaron 75 </w:t>
      </w:r>
      <w:proofErr w:type="spellStart"/>
      <w:r w:rsidRPr="00D247A3">
        <w:rPr>
          <w:rFonts w:cs="Arial"/>
          <w:sz w:val="24"/>
          <w:szCs w:val="24"/>
          <w:lang w:val="es-ES"/>
        </w:rPr>
        <w:t>mL</w:t>
      </w:r>
      <w:proofErr w:type="spellEnd"/>
      <w:r w:rsidRPr="00D247A3">
        <w:rPr>
          <w:rFonts w:cs="Arial"/>
          <w:sz w:val="24"/>
          <w:szCs w:val="24"/>
          <w:lang w:val="es-ES"/>
        </w:rPr>
        <w:t xml:space="preserve"> del medio y luego se esterilizaron en autoclave (120</w:t>
      </w:r>
      <w:r w:rsidR="00A23939" w:rsidRPr="00D247A3">
        <w:rPr>
          <w:rFonts w:cs="Arial"/>
          <w:sz w:val="24"/>
          <w:szCs w:val="24"/>
          <w:lang w:val="es-ES"/>
        </w:rPr>
        <w:t xml:space="preserve"> </w:t>
      </w:r>
      <w:r w:rsidRPr="00D247A3">
        <w:rPr>
          <w:rFonts w:cs="Arial"/>
          <w:sz w:val="24"/>
          <w:szCs w:val="24"/>
          <w:lang w:val="es-ES"/>
        </w:rPr>
        <w:t xml:space="preserve">ºC, 0.1 </w:t>
      </w:r>
      <w:proofErr w:type="spellStart"/>
      <w:r w:rsidRPr="00D247A3">
        <w:rPr>
          <w:rFonts w:cs="Arial"/>
          <w:sz w:val="24"/>
          <w:szCs w:val="24"/>
          <w:lang w:val="es-ES"/>
        </w:rPr>
        <w:t>MPa</w:t>
      </w:r>
      <w:proofErr w:type="spellEnd"/>
      <w:r w:rsidRPr="00D247A3">
        <w:rPr>
          <w:rFonts w:cs="Arial"/>
          <w:sz w:val="24"/>
          <w:szCs w:val="24"/>
          <w:lang w:val="es-ES"/>
        </w:rPr>
        <w:t>) por 20 min</w:t>
      </w:r>
      <w:r w:rsidRPr="00D247A3">
        <w:rPr>
          <w:rFonts w:cs="Arial"/>
          <w:sz w:val="24"/>
          <w:szCs w:val="24"/>
        </w:rPr>
        <w:t xml:space="preserve">. </w:t>
      </w:r>
      <w:r w:rsidR="00B5434E" w:rsidRPr="00D247A3">
        <w:rPr>
          <w:rFonts w:cs="Arial"/>
          <w:sz w:val="24"/>
          <w:szCs w:val="24"/>
        </w:rPr>
        <w:t>Luego, l</w:t>
      </w:r>
      <w:r w:rsidRPr="00D247A3">
        <w:rPr>
          <w:rFonts w:cs="Arial"/>
          <w:sz w:val="24"/>
          <w:szCs w:val="24"/>
        </w:rPr>
        <w:t xml:space="preserve">os </w:t>
      </w:r>
      <w:proofErr w:type="spellStart"/>
      <w:r w:rsidR="00B5434E" w:rsidRPr="00D247A3">
        <w:rPr>
          <w:rFonts w:cs="Arial"/>
          <w:sz w:val="24"/>
          <w:szCs w:val="24"/>
        </w:rPr>
        <w:t>E</w:t>
      </w:r>
      <w:r w:rsidRPr="00D247A3">
        <w:rPr>
          <w:rFonts w:cs="Arial"/>
          <w:sz w:val="24"/>
          <w:szCs w:val="24"/>
        </w:rPr>
        <w:t>rlenmeyers</w:t>
      </w:r>
      <w:proofErr w:type="spellEnd"/>
      <w:r w:rsidRPr="00D247A3">
        <w:rPr>
          <w:rFonts w:cs="Arial"/>
          <w:sz w:val="24"/>
          <w:szCs w:val="24"/>
        </w:rPr>
        <w:t xml:space="preserve"> se inocularon con </w:t>
      </w:r>
      <w:r w:rsidRPr="00D247A3">
        <w:rPr>
          <w:rFonts w:cs="Arial"/>
          <w:sz w:val="24"/>
          <w:szCs w:val="24"/>
          <w:lang w:val="es-ES"/>
        </w:rPr>
        <w:t xml:space="preserve">1 </w:t>
      </w:r>
      <w:proofErr w:type="spellStart"/>
      <w:r w:rsidRPr="00D247A3">
        <w:rPr>
          <w:rFonts w:cs="Arial"/>
          <w:sz w:val="24"/>
          <w:szCs w:val="24"/>
          <w:lang w:val="es-ES"/>
        </w:rPr>
        <w:t>mL</w:t>
      </w:r>
      <w:proofErr w:type="spellEnd"/>
      <w:r w:rsidRPr="00D247A3">
        <w:rPr>
          <w:rFonts w:cs="Arial"/>
          <w:sz w:val="24"/>
          <w:szCs w:val="24"/>
          <w:lang w:val="es-ES"/>
        </w:rPr>
        <w:t xml:space="preserve"> de </w:t>
      </w:r>
      <w:proofErr w:type="spellStart"/>
      <w:r w:rsidRPr="00D247A3">
        <w:rPr>
          <w:rFonts w:cs="Arial"/>
          <w:i/>
          <w:sz w:val="24"/>
          <w:szCs w:val="24"/>
          <w:lang w:val="es-ES"/>
        </w:rPr>
        <w:t>Mortierella</w:t>
      </w:r>
      <w:proofErr w:type="spellEnd"/>
      <w:r w:rsidRPr="00D247A3">
        <w:rPr>
          <w:rFonts w:cs="Arial"/>
          <w:i/>
          <w:sz w:val="24"/>
          <w:szCs w:val="24"/>
          <w:lang w:val="es-ES"/>
        </w:rPr>
        <w:t xml:space="preserve"> </w:t>
      </w:r>
      <w:proofErr w:type="spellStart"/>
      <w:r w:rsidR="006E4F44" w:rsidRPr="00D247A3">
        <w:rPr>
          <w:rFonts w:cs="Arial"/>
          <w:sz w:val="24"/>
          <w:szCs w:val="24"/>
          <w:lang w:val="es-ES"/>
        </w:rPr>
        <w:t>sp.</w:t>
      </w:r>
      <w:proofErr w:type="spellEnd"/>
      <w:r w:rsidRPr="00D247A3">
        <w:rPr>
          <w:rFonts w:cs="Arial"/>
          <w:sz w:val="24"/>
          <w:szCs w:val="24"/>
          <w:lang w:val="es-ES"/>
        </w:rPr>
        <w:t xml:space="preserve"> </w:t>
      </w:r>
      <w:r w:rsidR="00B5434E" w:rsidRPr="00D247A3">
        <w:rPr>
          <w:rFonts w:cs="Arial"/>
          <w:sz w:val="24"/>
          <w:szCs w:val="24"/>
          <w:lang w:val="es-ES"/>
        </w:rPr>
        <w:t>(1x10</w:t>
      </w:r>
      <w:r w:rsidR="00B5434E" w:rsidRPr="00D247A3">
        <w:rPr>
          <w:rFonts w:cs="Arial"/>
          <w:sz w:val="24"/>
          <w:szCs w:val="24"/>
          <w:vertAlign w:val="superscript"/>
          <w:lang w:val="es-ES"/>
        </w:rPr>
        <w:t>7</w:t>
      </w:r>
      <w:r w:rsidR="00B5434E" w:rsidRPr="00D247A3">
        <w:rPr>
          <w:rFonts w:cs="Arial"/>
          <w:sz w:val="24"/>
          <w:szCs w:val="24"/>
          <w:lang w:val="es-ES"/>
        </w:rPr>
        <w:t xml:space="preserve"> UFC mL</w:t>
      </w:r>
      <w:r w:rsidR="00B5434E" w:rsidRPr="00D247A3">
        <w:rPr>
          <w:rFonts w:cs="Arial"/>
          <w:sz w:val="24"/>
          <w:szCs w:val="24"/>
          <w:vertAlign w:val="superscript"/>
          <w:lang w:val="es-ES"/>
        </w:rPr>
        <w:t>-1</w:t>
      </w:r>
      <w:r w:rsidR="00B5434E" w:rsidRPr="00D247A3">
        <w:rPr>
          <w:rFonts w:cs="Arial"/>
          <w:sz w:val="24"/>
          <w:szCs w:val="24"/>
          <w:lang w:val="es-ES"/>
        </w:rPr>
        <w:t xml:space="preserve">). </w:t>
      </w:r>
      <w:r w:rsidR="00DE7225" w:rsidRPr="00D247A3">
        <w:rPr>
          <w:rFonts w:cs="Arial"/>
          <w:sz w:val="24"/>
          <w:szCs w:val="24"/>
          <w:lang w:val="es-ES"/>
        </w:rPr>
        <w:t>L</w:t>
      </w:r>
      <w:r w:rsidRPr="00D247A3">
        <w:rPr>
          <w:rFonts w:cs="Arial"/>
          <w:sz w:val="24"/>
          <w:szCs w:val="24"/>
        </w:rPr>
        <w:t xml:space="preserve">os </w:t>
      </w:r>
      <w:proofErr w:type="spellStart"/>
      <w:r w:rsidR="00D77568" w:rsidRPr="00D247A3">
        <w:rPr>
          <w:rFonts w:cs="Arial"/>
          <w:sz w:val="24"/>
          <w:szCs w:val="24"/>
        </w:rPr>
        <w:t>E</w:t>
      </w:r>
      <w:r w:rsidRPr="00D247A3">
        <w:rPr>
          <w:rFonts w:cs="Arial"/>
          <w:sz w:val="24"/>
          <w:szCs w:val="24"/>
        </w:rPr>
        <w:t>rlenmeyers</w:t>
      </w:r>
      <w:proofErr w:type="spellEnd"/>
      <w:r w:rsidRPr="00D247A3">
        <w:rPr>
          <w:rFonts w:cs="Arial"/>
          <w:sz w:val="24"/>
          <w:szCs w:val="24"/>
        </w:rPr>
        <w:t xml:space="preserve"> se agitaron </w:t>
      </w:r>
      <w:r w:rsidR="00576A55" w:rsidRPr="00D247A3">
        <w:rPr>
          <w:rFonts w:cs="Arial"/>
          <w:sz w:val="24"/>
          <w:szCs w:val="24"/>
        </w:rPr>
        <w:t xml:space="preserve">continuamente </w:t>
      </w:r>
      <w:r w:rsidR="00335959" w:rsidRPr="00D247A3">
        <w:rPr>
          <w:rFonts w:cs="Arial"/>
          <w:sz w:val="24"/>
          <w:szCs w:val="24"/>
        </w:rPr>
        <w:t xml:space="preserve">a 100 rpm </w:t>
      </w:r>
      <w:r w:rsidRPr="00D247A3">
        <w:rPr>
          <w:rFonts w:cs="Arial"/>
          <w:sz w:val="24"/>
          <w:szCs w:val="24"/>
        </w:rPr>
        <w:t>durante 7 días</w:t>
      </w:r>
      <w:r w:rsidR="00335959" w:rsidRPr="00D247A3">
        <w:rPr>
          <w:rFonts w:cs="Arial"/>
          <w:sz w:val="24"/>
          <w:szCs w:val="24"/>
        </w:rPr>
        <w:t>,</w:t>
      </w:r>
      <w:r w:rsidRPr="00D247A3">
        <w:rPr>
          <w:rFonts w:cs="Arial"/>
          <w:sz w:val="24"/>
          <w:szCs w:val="24"/>
        </w:rPr>
        <w:t xml:space="preserve"> la temperatura fue de alrededor de 28</w:t>
      </w:r>
      <w:r w:rsidR="00A23939" w:rsidRPr="00D247A3">
        <w:rPr>
          <w:rFonts w:cs="Arial"/>
          <w:sz w:val="24"/>
          <w:szCs w:val="24"/>
        </w:rPr>
        <w:t xml:space="preserve"> </w:t>
      </w:r>
      <w:r w:rsidRPr="00D247A3">
        <w:rPr>
          <w:rFonts w:cs="Arial"/>
          <w:sz w:val="24"/>
          <w:szCs w:val="24"/>
        </w:rPr>
        <w:t xml:space="preserve">°C. </w:t>
      </w:r>
    </w:p>
    <w:p w:rsidR="001D3AFB" w:rsidRPr="00D247A3" w:rsidRDefault="001D3AFB" w:rsidP="005836FE">
      <w:pPr>
        <w:spacing w:line="360" w:lineRule="auto"/>
        <w:jc w:val="both"/>
        <w:rPr>
          <w:rFonts w:cs="Arial"/>
          <w:sz w:val="24"/>
          <w:szCs w:val="24"/>
          <w:lang w:val="es-ES"/>
        </w:rPr>
      </w:pPr>
      <w:r w:rsidRPr="00D247A3">
        <w:rPr>
          <w:rFonts w:cs="Arial"/>
          <w:sz w:val="24"/>
          <w:szCs w:val="24"/>
        </w:rPr>
        <w:t>Las condiciones del medio se alteraron en cada experimento en función de los objetivos, tal como se describe a continuación.</w:t>
      </w:r>
      <w:r w:rsidR="00260285" w:rsidRPr="00D247A3">
        <w:rPr>
          <w:rFonts w:cs="Arial"/>
          <w:sz w:val="24"/>
          <w:szCs w:val="24"/>
        </w:rPr>
        <w:t xml:space="preserve"> Los factores que no se mencionan permanecieron como se describió a</w:t>
      </w:r>
      <w:r w:rsidR="00D77568" w:rsidRPr="00D247A3">
        <w:rPr>
          <w:rFonts w:cs="Arial"/>
          <w:sz w:val="24"/>
          <w:szCs w:val="24"/>
        </w:rPr>
        <w:t>nteriormente</w:t>
      </w:r>
      <w:r w:rsidR="00260285" w:rsidRPr="00D247A3">
        <w:rPr>
          <w:rFonts w:cs="Arial"/>
          <w:sz w:val="24"/>
          <w:szCs w:val="24"/>
        </w:rPr>
        <w:t>.</w:t>
      </w:r>
    </w:p>
    <w:p w:rsidR="001D3AFB" w:rsidRPr="00D247A3" w:rsidRDefault="00AF5D91" w:rsidP="005836FE">
      <w:pPr>
        <w:spacing w:line="360" w:lineRule="auto"/>
        <w:jc w:val="both"/>
        <w:rPr>
          <w:rFonts w:cs="Arial"/>
          <w:i/>
          <w:sz w:val="24"/>
          <w:szCs w:val="24"/>
        </w:rPr>
      </w:pPr>
      <w:r w:rsidRPr="00D247A3">
        <w:rPr>
          <w:rFonts w:cs="Arial"/>
          <w:i/>
          <w:sz w:val="24"/>
          <w:szCs w:val="24"/>
        </w:rPr>
        <w:t xml:space="preserve">Experimento No. 1. </w:t>
      </w:r>
      <w:r w:rsidR="00335959" w:rsidRPr="00D247A3">
        <w:rPr>
          <w:rFonts w:cs="Arial"/>
          <w:i/>
          <w:sz w:val="24"/>
          <w:szCs w:val="24"/>
        </w:rPr>
        <w:t>Concentración de P</w:t>
      </w:r>
      <w:r w:rsidR="001D3AFB" w:rsidRPr="00D247A3">
        <w:rPr>
          <w:rFonts w:cs="Arial"/>
          <w:i/>
          <w:sz w:val="24"/>
          <w:szCs w:val="24"/>
        </w:rPr>
        <w:t xml:space="preserve"> inicial</w:t>
      </w:r>
    </w:p>
    <w:p w:rsidR="001D3AFB" w:rsidRPr="00D247A3" w:rsidRDefault="001D3AFB" w:rsidP="005836FE">
      <w:pPr>
        <w:spacing w:line="360" w:lineRule="auto"/>
        <w:jc w:val="both"/>
        <w:rPr>
          <w:rFonts w:cs="Arial"/>
          <w:sz w:val="24"/>
          <w:szCs w:val="24"/>
          <w:lang w:val="es-ES"/>
        </w:rPr>
      </w:pPr>
      <w:r w:rsidRPr="00D247A3">
        <w:rPr>
          <w:rFonts w:cs="Arial"/>
          <w:sz w:val="24"/>
          <w:szCs w:val="24"/>
        </w:rPr>
        <w:t>Se determinó el efecto de la concentración de P inicial sobre la disolución microbia</w:t>
      </w:r>
      <w:r w:rsidR="006C1C04" w:rsidRPr="00D247A3">
        <w:rPr>
          <w:rFonts w:cs="Arial"/>
          <w:sz w:val="24"/>
          <w:szCs w:val="24"/>
        </w:rPr>
        <w:t>na</w:t>
      </w:r>
      <w:r w:rsidRPr="00D247A3">
        <w:rPr>
          <w:rFonts w:cs="Arial"/>
          <w:sz w:val="24"/>
          <w:szCs w:val="24"/>
        </w:rPr>
        <w:t xml:space="preserve"> de la RP del Huila. Para esto, al medio de cultivo se adicionaron </w:t>
      </w:r>
      <w:r w:rsidRPr="00D247A3">
        <w:rPr>
          <w:rFonts w:cs="Arial"/>
          <w:sz w:val="24"/>
          <w:szCs w:val="24"/>
          <w:lang w:val="es-ES"/>
        </w:rPr>
        <w:t>niveles crecientes de K</w:t>
      </w:r>
      <w:r w:rsidRPr="00D247A3">
        <w:rPr>
          <w:rFonts w:cs="Arial"/>
          <w:sz w:val="24"/>
          <w:szCs w:val="24"/>
          <w:vertAlign w:val="subscript"/>
          <w:lang w:val="es-ES"/>
        </w:rPr>
        <w:t>2</w:t>
      </w:r>
      <w:r w:rsidRPr="00D247A3">
        <w:rPr>
          <w:rFonts w:cs="Arial"/>
          <w:sz w:val="24"/>
          <w:szCs w:val="24"/>
          <w:lang w:val="es-ES"/>
        </w:rPr>
        <w:t>HPO</w:t>
      </w:r>
      <w:r w:rsidRPr="00D247A3">
        <w:rPr>
          <w:rFonts w:cs="Arial"/>
          <w:sz w:val="24"/>
          <w:szCs w:val="24"/>
          <w:vertAlign w:val="subscript"/>
          <w:lang w:val="es-ES"/>
        </w:rPr>
        <w:t>4</w:t>
      </w:r>
      <w:r w:rsidRPr="00D247A3">
        <w:rPr>
          <w:rFonts w:cs="Arial"/>
          <w:sz w:val="24"/>
          <w:szCs w:val="24"/>
          <w:lang w:val="es-ES"/>
        </w:rPr>
        <w:t xml:space="preserve"> </w:t>
      </w:r>
      <w:r w:rsidR="00DE7225" w:rsidRPr="00D247A3">
        <w:rPr>
          <w:rFonts w:cs="Arial"/>
          <w:sz w:val="24"/>
          <w:szCs w:val="24"/>
          <w:lang w:val="es-ES"/>
        </w:rPr>
        <w:t>para</w:t>
      </w:r>
      <w:r w:rsidRPr="00D247A3">
        <w:rPr>
          <w:rFonts w:cs="Arial"/>
          <w:sz w:val="24"/>
          <w:szCs w:val="24"/>
          <w:lang w:val="es-ES"/>
        </w:rPr>
        <w:t xml:space="preserve"> obtener concentraciones de P de 0, 1, 5, 10, 50 y 100 mg L</w:t>
      </w:r>
      <w:r w:rsidRPr="00D247A3">
        <w:rPr>
          <w:rFonts w:cs="Arial"/>
          <w:sz w:val="24"/>
          <w:szCs w:val="24"/>
          <w:vertAlign w:val="superscript"/>
          <w:lang w:val="es-ES"/>
        </w:rPr>
        <w:t>-1</w:t>
      </w:r>
      <w:r w:rsidRPr="00D247A3">
        <w:rPr>
          <w:rFonts w:cs="Arial"/>
          <w:sz w:val="24"/>
          <w:szCs w:val="24"/>
          <w:lang w:val="es-ES"/>
        </w:rPr>
        <w:t xml:space="preserve">. </w:t>
      </w:r>
    </w:p>
    <w:p w:rsidR="001D3AFB" w:rsidRPr="00D247A3" w:rsidRDefault="00AF5D91" w:rsidP="005836FE">
      <w:pPr>
        <w:spacing w:line="360" w:lineRule="auto"/>
        <w:jc w:val="both"/>
        <w:rPr>
          <w:rFonts w:cs="Arial"/>
          <w:i/>
          <w:sz w:val="24"/>
          <w:szCs w:val="24"/>
        </w:rPr>
      </w:pPr>
      <w:r w:rsidRPr="00D247A3">
        <w:rPr>
          <w:rFonts w:cs="Arial"/>
          <w:i/>
          <w:sz w:val="24"/>
          <w:szCs w:val="24"/>
        </w:rPr>
        <w:t>Experim</w:t>
      </w:r>
      <w:r w:rsidR="00BE0ADB" w:rsidRPr="00D247A3">
        <w:rPr>
          <w:rFonts w:cs="Arial"/>
          <w:i/>
          <w:sz w:val="24"/>
          <w:szCs w:val="24"/>
        </w:rPr>
        <w:t>e</w:t>
      </w:r>
      <w:r w:rsidRPr="00D247A3">
        <w:rPr>
          <w:rFonts w:cs="Arial"/>
          <w:i/>
          <w:sz w:val="24"/>
          <w:szCs w:val="24"/>
        </w:rPr>
        <w:t xml:space="preserve">nto No. 2. </w:t>
      </w:r>
      <w:r w:rsidR="001D3AFB" w:rsidRPr="00D247A3">
        <w:rPr>
          <w:rFonts w:cs="Arial"/>
          <w:i/>
          <w:sz w:val="24"/>
          <w:szCs w:val="24"/>
        </w:rPr>
        <w:t>Adición de vitaminas y micronutrientes</w:t>
      </w:r>
    </w:p>
    <w:p w:rsidR="001D3AFB" w:rsidRPr="00D247A3" w:rsidRDefault="001D3AFB" w:rsidP="005836FE">
      <w:pPr>
        <w:spacing w:line="360" w:lineRule="auto"/>
        <w:jc w:val="both"/>
        <w:rPr>
          <w:rFonts w:cs="Arial"/>
          <w:sz w:val="24"/>
          <w:szCs w:val="24"/>
        </w:rPr>
      </w:pPr>
      <w:r w:rsidRPr="00D247A3">
        <w:rPr>
          <w:rFonts w:cs="Arial"/>
          <w:sz w:val="24"/>
          <w:szCs w:val="24"/>
        </w:rPr>
        <w:t xml:space="preserve">Se determinó el efecto de la adición de vitaminas y micronutrientes sobre la disolución de la RP del Huila. </w:t>
      </w:r>
      <w:r w:rsidR="00335959" w:rsidRPr="00D247A3">
        <w:rPr>
          <w:rFonts w:cs="Arial"/>
          <w:sz w:val="24"/>
          <w:szCs w:val="24"/>
        </w:rPr>
        <w:t>S</w:t>
      </w:r>
      <w:r w:rsidRPr="00D247A3">
        <w:rPr>
          <w:rFonts w:cs="Arial"/>
          <w:sz w:val="24"/>
          <w:szCs w:val="24"/>
        </w:rPr>
        <w:t xml:space="preserve">e adicionaron </w:t>
      </w:r>
      <w:r w:rsidRPr="00D247A3">
        <w:rPr>
          <w:rFonts w:cs="Arial"/>
          <w:sz w:val="24"/>
          <w:szCs w:val="24"/>
          <w:lang w:val="es-ES"/>
        </w:rPr>
        <w:t>por separado niveles crecientes de estos complementos nutricionales a razón de 0.0, 0.5, 1.0 y 2.0 mg L</w:t>
      </w:r>
      <w:r w:rsidRPr="00D247A3">
        <w:rPr>
          <w:rFonts w:cs="Arial"/>
          <w:sz w:val="24"/>
          <w:szCs w:val="24"/>
          <w:vertAlign w:val="superscript"/>
          <w:lang w:val="es-ES"/>
        </w:rPr>
        <w:t>-1</w:t>
      </w:r>
      <w:r w:rsidRPr="00D247A3">
        <w:rPr>
          <w:rFonts w:cs="Arial"/>
          <w:sz w:val="24"/>
          <w:szCs w:val="24"/>
          <w:lang w:val="es-ES"/>
        </w:rPr>
        <w:t xml:space="preserve">. Como fuente de vitaminas se usó el complejo vitamínico </w:t>
      </w:r>
      <w:proofErr w:type="spellStart"/>
      <w:r w:rsidRPr="00D247A3">
        <w:rPr>
          <w:rFonts w:cs="Arial"/>
          <w:sz w:val="24"/>
          <w:szCs w:val="24"/>
          <w:lang w:val="es-ES"/>
        </w:rPr>
        <w:t>Centrum</w:t>
      </w:r>
      <w:r w:rsidRPr="00D247A3">
        <w:rPr>
          <w:rFonts w:cs="Arial"/>
          <w:sz w:val="24"/>
          <w:szCs w:val="24"/>
          <w:vertAlign w:val="superscript"/>
          <w:lang w:val="es-ES"/>
        </w:rPr>
        <w:t>R</w:t>
      </w:r>
      <w:proofErr w:type="spellEnd"/>
      <w:r w:rsidRPr="00D247A3">
        <w:rPr>
          <w:rFonts w:cs="Arial"/>
          <w:sz w:val="24"/>
          <w:szCs w:val="24"/>
          <w:lang w:val="es-ES"/>
        </w:rPr>
        <w:t xml:space="preserve"> </w:t>
      </w:r>
      <w:r w:rsidR="00AF5D91" w:rsidRPr="00D247A3">
        <w:rPr>
          <w:rFonts w:cs="Arial"/>
          <w:sz w:val="24"/>
          <w:szCs w:val="24"/>
          <w:lang w:val="es-ES"/>
        </w:rPr>
        <w:t>(</w:t>
      </w:r>
      <w:r w:rsidRPr="00D247A3">
        <w:rPr>
          <w:rFonts w:cs="Arial"/>
          <w:sz w:val="24"/>
          <w:szCs w:val="24"/>
          <w:lang w:val="es-ES"/>
        </w:rPr>
        <w:t xml:space="preserve">vitamina A: 2000 unidades internacionales (U.I.), beta caroteno equivalente a 2000 U.I. de vitamina A, vitamina D 200 U.I., vitamina E 15 U.I., vitamina K1 30 µg, vitamina C 60 mg, ácido fólico 200 µg, vitamina B1 1.4 mg, vitamina B2 1.6 mg, </w:t>
      </w:r>
      <w:proofErr w:type="spellStart"/>
      <w:r w:rsidRPr="00D247A3">
        <w:rPr>
          <w:rFonts w:cs="Arial"/>
          <w:sz w:val="24"/>
          <w:szCs w:val="24"/>
          <w:lang w:val="es-ES"/>
        </w:rPr>
        <w:t>niacinamida</w:t>
      </w:r>
      <w:proofErr w:type="spellEnd"/>
      <w:r w:rsidRPr="00D247A3">
        <w:rPr>
          <w:rFonts w:cs="Arial"/>
          <w:sz w:val="24"/>
          <w:szCs w:val="24"/>
          <w:lang w:val="es-ES"/>
        </w:rPr>
        <w:t xml:space="preserve"> 18 mg, vitamina B6 2 mg, vitamina B12 1 µg, ácido </w:t>
      </w:r>
      <w:proofErr w:type="spellStart"/>
      <w:r w:rsidRPr="00D247A3">
        <w:rPr>
          <w:rFonts w:cs="Arial"/>
          <w:sz w:val="24"/>
          <w:szCs w:val="24"/>
          <w:lang w:val="es-ES"/>
        </w:rPr>
        <w:t>pantoténico</w:t>
      </w:r>
      <w:proofErr w:type="spellEnd"/>
      <w:r w:rsidRPr="00D247A3">
        <w:rPr>
          <w:rFonts w:cs="Arial"/>
          <w:sz w:val="24"/>
          <w:szCs w:val="24"/>
          <w:lang w:val="es-ES"/>
        </w:rPr>
        <w:t xml:space="preserve"> 6 mg, </w:t>
      </w:r>
      <w:proofErr w:type="spellStart"/>
      <w:r w:rsidRPr="00D247A3">
        <w:rPr>
          <w:rFonts w:cs="Arial"/>
          <w:sz w:val="24"/>
          <w:szCs w:val="24"/>
          <w:lang w:val="es-ES"/>
        </w:rPr>
        <w:t>biotina</w:t>
      </w:r>
      <w:proofErr w:type="spellEnd"/>
      <w:r w:rsidRPr="00D247A3">
        <w:rPr>
          <w:rFonts w:cs="Arial"/>
          <w:sz w:val="24"/>
          <w:szCs w:val="24"/>
          <w:lang w:val="es-ES"/>
        </w:rPr>
        <w:t xml:space="preserve"> 150 µg, luteína 250 µg y elementos tales como </w:t>
      </w:r>
      <w:r w:rsidR="00DE7225" w:rsidRPr="00D247A3">
        <w:rPr>
          <w:rFonts w:cs="Arial"/>
          <w:sz w:val="24"/>
          <w:szCs w:val="24"/>
          <w:lang w:val="es-ES"/>
        </w:rPr>
        <w:t>Ca</w:t>
      </w:r>
      <w:r w:rsidRPr="00D247A3">
        <w:rPr>
          <w:rFonts w:cs="Arial"/>
          <w:sz w:val="24"/>
          <w:szCs w:val="24"/>
          <w:lang w:val="es-ES"/>
        </w:rPr>
        <w:t xml:space="preserve"> 162 mg, </w:t>
      </w:r>
      <w:r w:rsidR="00DE7225" w:rsidRPr="00D247A3">
        <w:rPr>
          <w:rFonts w:cs="Arial"/>
          <w:sz w:val="24"/>
          <w:szCs w:val="24"/>
          <w:lang w:val="es-ES"/>
        </w:rPr>
        <w:t>P</w:t>
      </w:r>
      <w:r w:rsidRPr="00D247A3">
        <w:rPr>
          <w:rFonts w:cs="Arial"/>
          <w:sz w:val="24"/>
          <w:szCs w:val="24"/>
          <w:lang w:val="es-ES"/>
        </w:rPr>
        <w:t xml:space="preserve"> 125 mg, </w:t>
      </w:r>
      <w:r w:rsidR="00DE7225" w:rsidRPr="00D247A3">
        <w:rPr>
          <w:rFonts w:cs="Arial"/>
          <w:sz w:val="24"/>
          <w:szCs w:val="24"/>
          <w:lang w:val="es-ES"/>
        </w:rPr>
        <w:t>I</w:t>
      </w:r>
      <w:r w:rsidRPr="00D247A3">
        <w:rPr>
          <w:rFonts w:cs="Arial"/>
          <w:sz w:val="24"/>
          <w:szCs w:val="24"/>
          <w:lang w:val="es-ES"/>
        </w:rPr>
        <w:t xml:space="preserve"> 150 µg, </w:t>
      </w:r>
      <w:r w:rsidR="00DE7225" w:rsidRPr="00D247A3">
        <w:rPr>
          <w:rFonts w:cs="Arial"/>
          <w:sz w:val="24"/>
          <w:szCs w:val="24"/>
          <w:lang w:val="es-ES"/>
        </w:rPr>
        <w:t>Fe</w:t>
      </w:r>
      <w:r w:rsidRPr="00D247A3">
        <w:rPr>
          <w:rFonts w:cs="Arial"/>
          <w:sz w:val="24"/>
          <w:szCs w:val="24"/>
          <w:lang w:val="es-ES"/>
        </w:rPr>
        <w:t xml:space="preserve"> 14 mg, </w:t>
      </w:r>
      <w:r w:rsidR="00DE7225" w:rsidRPr="00D247A3">
        <w:rPr>
          <w:rFonts w:cs="Arial"/>
          <w:sz w:val="24"/>
          <w:szCs w:val="24"/>
          <w:lang w:val="es-ES"/>
        </w:rPr>
        <w:t>Mg</w:t>
      </w:r>
      <w:r w:rsidRPr="00D247A3">
        <w:rPr>
          <w:rFonts w:cs="Arial"/>
          <w:sz w:val="24"/>
          <w:szCs w:val="24"/>
          <w:lang w:val="es-ES"/>
        </w:rPr>
        <w:t xml:space="preserve"> 100 mg, </w:t>
      </w:r>
      <w:r w:rsidR="00DE7225" w:rsidRPr="00D247A3">
        <w:rPr>
          <w:rFonts w:cs="Arial"/>
          <w:sz w:val="24"/>
          <w:szCs w:val="24"/>
          <w:lang w:val="es-ES"/>
        </w:rPr>
        <w:t>Cu</w:t>
      </w:r>
      <w:r w:rsidRPr="00D247A3">
        <w:rPr>
          <w:rFonts w:cs="Arial"/>
          <w:sz w:val="24"/>
          <w:szCs w:val="24"/>
          <w:lang w:val="es-ES"/>
        </w:rPr>
        <w:t xml:space="preserve"> 0.7 mg, </w:t>
      </w:r>
      <w:r w:rsidR="00DE7225" w:rsidRPr="00D247A3">
        <w:rPr>
          <w:rFonts w:cs="Arial"/>
          <w:sz w:val="24"/>
          <w:szCs w:val="24"/>
          <w:lang w:val="es-ES"/>
        </w:rPr>
        <w:t>Mn</w:t>
      </w:r>
      <w:r w:rsidRPr="00D247A3">
        <w:rPr>
          <w:rFonts w:cs="Arial"/>
          <w:sz w:val="24"/>
          <w:szCs w:val="24"/>
          <w:lang w:val="es-ES"/>
        </w:rPr>
        <w:t xml:space="preserve"> 2.5 </w:t>
      </w:r>
      <w:r w:rsidRPr="00D247A3">
        <w:rPr>
          <w:rFonts w:cs="Arial"/>
          <w:sz w:val="24"/>
          <w:szCs w:val="24"/>
          <w:lang w:val="es-ES"/>
        </w:rPr>
        <w:lastRenderedPageBreak/>
        <w:t xml:space="preserve">mg, </w:t>
      </w:r>
      <w:r w:rsidR="00DE7225" w:rsidRPr="00D247A3">
        <w:rPr>
          <w:rFonts w:cs="Arial"/>
          <w:sz w:val="24"/>
          <w:szCs w:val="24"/>
          <w:lang w:val="es-ES"/>
        </w:rPr>
        <w:t>K 40 mg, Cl</w:t>
      </w:r>
      <w:r w:rsidRPr="00D247A3">
        <w:rPr>
          <w:rFonts w:cs="Arial"/>
          <w:sz w:val="24"/>
          <w:szCs w:val="24"/>
          <w:lang w:val="es-ES"/>
        </w:rPr>
        <w:t xml:space="preserve"> 36.3 mg, </w:t>
      </w:r>
      <w:r w:rsidR="00DE7225" w:rsidRPr="00D247A3">
        <w:rPr>
          <w:rFonts w:cs="Arial"/>
          <w:sz w:val="24"/>
          <w:szCs w:val="24"/>
          <w:lang w:val="es-ES"/>
        </w:rPr>
        <w:t>Cr</w:t>
      </w:r>
      <w:r w:rsidRPr="00D247A3">
        <w:rPr>
          <w:rFonts w:cs="Arial"/>
          <w:sz w:val="24"/>
          <w:szCs w:val="24"/>
          <w:lang w:val="es-ES"/>
        </w:rPr>
        <w:t xml:space="preserve"> 25 µg,</w:t>
      </w:r>
      <w:r w:rsidR="0050104D" w:rsidRPr="00D247A3">
        <w:rPr>
          <w:rFonts w:cs="Arial"/>
          <w:sz w:val="24"/>
          <w:szCs w:val="24"/>
          <w:lang w:val="es-ES"/>
        </w:rPr>
        <w:t xml:space="preserve"> </w:t>
      </w:r>
      <w:r w:rsidR="00DE7225" w:rsidRPr="00D247A3">
        <w:rPr>
          <w:rFonts w:cs="Arial"/>
          <w:sz w:val="24"/>
          <w:szCs w:val="24"/>
          <w:lang w:val="es-ES"/>
        </w:rPr>
        <w:t>Mo</w:t>
      </w:r>
      <w:r w:rsidRPr="00D247A3">
        <w:rPr>
          <w:rFonts w:cs="Arial"/>
          <w:sz w:val="24"/>
          <w:szCs w:val="24"/>
          <w:lang w:val="es-ES"/>
        </w:rPr>
        <w:t xml:space="preserve"> 25 µg, </w:t>
      </w:r>
      <w:r w:rsidR="00DE7225" w:rsidRPr="00D247A3">
        <w:rPr>
          <w:rFonts w:cs="Arial"/>
          <w:sz w:val="24"/>
          <w:szCs w:val="24"/>
          <w:lang w:val="es-ES"/>
        </w:rPr>
        <w:t>Se</w:t>
      </w:r>
      <w:r w:rsidRPr="00D247A3">
        <w:rPr>
          <w:rFonts w:cs="Arial"/>
          <w:sz w:val="24"/>
          <w:szCs w:val="24"/>
          <w:lang w:val="es-ES"/>
        </w:rPr>
        <w:t xml:space="preserve"> 25 µg, </w:t>
      </w:r>
      <w:r w:rsidR="00DE7225" w:rsidRPr="00D247A3">
        <w:rPr>
          <w:rFonts w:cs="Arial"/>
          <w:sz w:val="24"/>
          <w:szCs w:val="24"/>
          <w:lang w:val="es-ES"/>
        </w:rPr>
        <w:t>Zn</w:t>
      </w:r>
      <w:r w:rsidRPr="00D247A3">
        <w:rPr>
          <w:rFonts w:cs="Arial"/>
          <w:sz w:val="24"/>
          <w:szCs w:val="24"/>
          <w:lang w:val="es-ES"/>
        </w:rPr>
        <w:t xml:space="preserve"> 7.5 mg</w:t>
      </w:r>
      <w:r w:rsidR="00AF5D91" w:rsidRPr="00D247A3">
        <w:rPr>
          <w:rFonts w:cs="Arial"/>
          <w:sz w:val="24"/>
          <w:szCs w:val="24"/>
          <w:lang w:val="es-ES"/>
        </w:rPr>
        <w:t>)</w:t>
      </w:r>
      <w:r w:rsidRPr="00D247A3">
        <w:rPr>
          <w:rFonts w:cs="Arial"/>
          <w:sz w:val="24"/>
          <w:szCs w:val="24"/>
          <w:lang w:val="es-ES"/>
        </w:rPr>
        <w:t xml:space="preserve">. Para el tratamiento con </w:t>
      </w:r>
      <w:r w:rsidR="00AF5D91" w:rsidRPr="00D247A3">
        <w:rPr>
          <w:rFonts w:cs="Arial"/>
          <w:sz w:val="24"/>
          <w:szCs w:val="24"/>
          <w:lang w:val="es-ES"/>
        </w:rPr>
        <w:t xml:space="preserve">adición de </w:t>
      </w:r>
      <w:r w:rsidRPr="00D247A3">
        <w:rPr>
          <w:rFonts w:cs="Arial"/>
          <w:sz w:val="24"/>
          <w:szCs w:val="24"/>
          <w:lang w:val="es-ES"/>
        </w:rPr>
        <w:t xml:space="preserve">micronutrientes se utilizó una mezcla de </w:t>
      </w:r>
      <w:r w:rsidR="00AF5D91" w:rsidRPr="00D247A3">
        <w:rPr>
          <w:rFonts w:cs="Arial"/>
          <w:sz w:val="24"/>
          <w:szCs w:val="24"/>
          <w:lang w:val="es-ES"/>
        </w:rPr>
        <w:t xml:space="preserve">quelatos </w:t>
      </w:r>
      <w:r w:rsidRPr="00D247A3">
        <w:rPr>
          <w:rFonts w:cs="Arial"/>
          <w:sz w:val="24"/>
          <w:szCs w:val="24"/>
          <w:lang w:val="es-ES"/>
        </w:rPr>
        <w:t>EDTA-Mn, -Fe, -Cu y -Zn razón de 24, 24, 24 y 12 mg L</w:t>
      </w:r>
      <w:r w:rsidRPr="00D247A3">
        <w:rPr>
          <w:rFonts w:cs="Arial"/>
          <w:sz w:val="24"/>
          <w:szCs w:val="24"/>
          <w:vertAlign w:val="superscript"/>
          <w:lang w:val="es-ES"/>
        </w:rPr>
        <w:t>-1</w:t>
      </w:r>
      <w:r w:rsidRPr="00D247A3">
        <w:rPr>
          <w:rFonts w:cs="Arial"/>
          <w:sz w:val="24"/>
          <w:szCs w:val="24"/>
          <w:lang w:val="es-ES"/>
        </w:rPr>
        <w:t>, respectivamente.</w:t>
      </w:r>
      <w:r w:rsidR="009F1DED" w:rsidRPr="00D247A3">
        <w:rPr>
          <w:rFonts w:cs="Arial"/>
          <w:sz w:val="24"/>
          <w:szCs w:val="24"/>
          <w:lang w:val="es-ES"/>
        </w:rPr>
        <w:t xml:space="preserve"> Las otras condiciones del cultivo permanecieron constantes.</w:t>
      </w:r>
      <w:r w:rsidR="002A274C" w:rsidRPr="00D247A3">
        <w:rPr>
          <w:rFonts w:cs="Arial"/>
          <w:sz w:val="24"/>
          <w:szCs w:val="24"/>
          <w:lang w:val="es-ES"/>
        </w:rPr>
        <w:t xml:space="preserve"> Las vitaminas y los micronutrientes se esterilizaron en autoclave </w:t>
      </w:r>
      <w:r w:rsidR="003B7455" w:rsidRPr="00D247A3">
        <w:rPr>
          <w:rFonts w:cs="Arial"/>
          <w:sz w:val="24"/>
          <w:szCs w:val="24"/>
          <w:lang w:val="es-ES"/>
        </w:rPr>
        <w:t xml:space="preserve">junto con el medio de cultivo </w:t>
      </w:r>
      <w:r w:rsidR="002A274C" w:rsidRPr="00D247A3">
        <w:rPr>
          <w:rFonts w:cs="Arial"/>
          <w:sz w:val="24"/>
          <w:szCs w:val="24"/>
          <w:lang w:val="es-ES"/>
        </w:rPr>
        <w:t>a 121 ºC</w:t>
      </w:r>
      <w:r w:rsidR="003B7455" w:rsidRPr="00D247A3">
        <w:rPr>
          <w:rFonts w:cs="Arial"/>
          <w:sz w:val="24"/>
          <w:szCs w:val="24"/>
          <w:lang w:val="es-ES"/>
        </w:rPr>
        <w:t xml:space="preserve"> por 15 min a </w:t>
      </w:r>
      <w:r w:rsidR="006C1C04" w:rsidRPr="00D247A3">
        <w:rPr>
          <w:rFonts w:cs="Arial"/>
          <w:sz w:val="24"/>
          <w:szCs w:val="24"/>
          <w:lang w:val="es-ES"/>
        </w:rPr>
        <w:t>0,1Mpa</w:t>
      </w:r>
      <w:r w:rsidR="003B7455" w:rsidRPr="00D247A3">
        <w:rPr>
          <w:rFonts w:cs="Arial"/>
          <w:sz w:val="24"/>
          <w:szCs w:val="24"/>
          <w:lang w:val="es-ES"/>
        </w:rPr>
        <w:t>.</w:t>
      </w:r>
    </w:p>
    <w:p w:rsidR="001D3AFB" w:rsidRPr="00D247A3" w:rsidRDefault="00BE0ADB" w:rsidP="005836FE">
      <w:pPr>
        <w:spacing w:line="360" w:lineRule="auto"/>
        <w:jc w:val="both"/>
        <w:rPr>
          <w:rFonts w:cs="Arial"/>
          <w:sz w:val="24"/>
          <w:szCs w:val="24"/>
        </w:rPr>
      </w:pPr>
      <w:r w:rsidRPr="00D247A3">
        <w:rPr>
          <w:rFonts w:cs="Arial"/>
          <w:i/>
          <w:sz w:val="24"/>
          <w:szCs w:val="24"/>
        </w:rPr>
        <w:t xml:space="preserve">Experimento No. 3. </w:t>
      </w:r>
      <w:r w:rsidR="001D3AFB" w:rsidRPr="00D247A3">
        <w:rPr>
          <w:rFonts w:cs="Arial"/>
          <w:i/>
          <w:sz w:val="24"/>
          <w:szCs w:val="24"/>
        </w:rPr>
        <w:t>Tiempo de incubación</w:t>
      </w:r>
      <w:r w:rsidR="001D3AFB" w:rsidRPr="00D247A3">
        <w:rPr>
          <w:rFonts w:cs="Arial"/>
          <w:sz w:val="24"/>
          <w:szCs w:val="24"/>
        </w:rPr>
        <w:t xml:space="preserve"> </w:t>
      </w:r>
    </w:p>
    <w:p w:rsidR="001D3AFB" w:rsidRPr="00D247A3" w:rsidRDefault="001D3AFB" w:rsidP="005836FE">
      <w:pPr>
        <w:spacing w:line="360" w:lineRule="auto"/>
        <w:jc w:val="both"/>
        <w:rPr>
          <w:rFonts w:cs="Arial"/>
          <w:sz w:val="24"/>
          <w:szCs w:val="24"/>
        </w:rPr>
      </w:pPr>
      <w:r w:rsidRPr="00D247A3">
        <w:rPr>
          <w:rFonts w:cs="Arial"/>
          <w:sz w:val="24"/>
          <w:szCs w:val="24"/>
        </w:rPr>
        <w:t xml:space="preserve">Con el fin de conocer el tiempo al cual se </w:t>
      </w:r>
      <w:r w:rsidR="009F1DED" w:rsidRPr="00D247A3">
        <w:rPr>
          <w:rFonts w:cs="Arial"/>
          <w:sz w:val="24"/>
          <w:szCs w:val="24"/>
        </w:rPr>
        <w:t xml:space="preserve">puede </w:t>
      </w:r>
      <w:r w:rsidRPr="00D247A3">
        <w:rPr>
          <w:rFonts w:cs="Arial"/>
          <w:sz w:val="24"/>
          <w:szCs w:val="24"/>
        </w:rPr>
        <w:t>presenta</w:t>
      </w:r>
      <w:r w:rsidR="009F1DED" w:rsidRPr="00D247A3">
        <w:rPr>
          <w:rFonts w:cs="Arial"/>
          <w:sz w:val="24"/>
          <w:szCs w:val="24"/>
        </w:rPr>
        <w:t>r</w:t>
      </w:r>
      <w:r w:rsidRPr="00D247A3">
        <w:rPr>
          <w:rFonts w:cs="Arial"/>
          <w:sz w:val="24"/>
          <w:szCs w:val="24"/>
        </w:rPr>
        <w:t xml:space="preserve"> la mayor disolución de RP del Huila, se monitoreó el pH y la concentración de P en solución </w:t>
      </w:r>
      <w:r w:rsidR="009F1DED" w:rsidRPr="00D247A3">
        <w:rPr>
          <w:rFonts w:cs="Arial"/>
          <w:sz w:val="24"/>
          <w:szCs w:val="24"/>
        </w:rPr>
        <w:t>a diferentes tiempos de incubación (</w:t>
      </w:r>
      <w:r w:rsidRPr="00D247A3">
        <w:rPr>
          <w:rFonts w:cs="Arial"/>
          <w:sz w:val="24"/>
          <w:szCs w:val="24"/>
        </w:rPr>
        <w:t>0, 1, 3, 5, 7, 10 y 14 días</w:t>
      </w:r>
      <w:r w:rsidR="009F1DED" w:rsidRPr="00D247A3">
        <w:rPr>
          <w:rFonts w:cs="Arial"/>
          <w:sz w:val="24"/>
          <w:szCs w:val="24"/>
        </w:rPr>
        <w:t>)</w:t>
      </w:r>
      <w:r w:rsidRPr="00D247A3">
        <w:rPr>
          <w:rFonts w:cs="Arial"/>
          <w:sz w:val="24"/>
          <w:szCs w:val="24"/>
        </w:rPr>
        <w:t xml:space="preserve">. </w:t>
      </w:r>
      <w:r w:rsidR="009F1DED" w:rsidRPr="00D247A3">
        <w:rPr>
          <w:rFonts w:cs="Arial"/>
          <w:sz w:val="24"/>
          <w:szCs w:val="24"/>
          <w:lang w:val="es-ES"/>
        </w:rPr>
        <w:t>Las otras condiciones del cultivo permanecieron constantes.</w:t>
      </w:r>
    </w:p>
    <w:p w:rsidR="001D3AFB" w:rsidRPr="00D247A3" w:rsidRDefault="00BE0ADB" w:rsidP="005836FE">
      <w:pPr>
        <w:spacing w:line="360" w:lineRule="auto"/>
        <w:jc w:val="both"/>
        <w:rPr>
          <w:rFonts w:cs="Arial"/>
          <w:i/>
          <w:sz w:val="24"/>
          <w:szCs w:val="24"/>
        </w:rPr>
      </w:pPr>
      <w:r w:rsidRPr="00D247A3">
        <w:rPr>
          <w:rFonts w:cs="Arial"/>
          <w:i/>
          <w:sz w:val="24"/>
          <w:szCs w:val="24"/>
        </w:rPr>
        <w:t xml:space="preserve">Experimento No. 4. </w:t>
      </w:r>
      <w:r w:rsidR="001D3AFB" w:rsidRPr="00D247A3">
        <w:rPr>
          <w:rFonts w:cs="Arial"/>
          <w:i/>
          <w:sz w:val="24"/>
          <w:szCs w:val="24"/>
        </w:rPr>
        <w:t>Tipo de RP</w:t>
      </w:r>
    </w:p>
    <w:p w:rsidR="001D3AFB" w:rsidRPr="00D247A3" w:rsidRDefault="001D3AFB" w:rsidP="005836FE">
      <w:pPr>
        <w:spacing w:line="360" w:lineRule="auto"/>
        <w:jc w:val="both"/>
        <w:rPr>
          <w:rFonts w:cs="Arial"/>
          <w:sz w:val="24"/>
          <w:szCs w:val="24"/>
        </w:rPr>
      </w:pPr>
      <w:r w:rsidRPr="00D247A3">
        <w:rPr>
          <w:rFonts w:cs="Arial"/>
          <w:sz w:val="24"/>
          <w:szCs w:val="24"/>
        </w:rPr>
        <w:t xml:space="preserve">Se evaluó la disolución de </w:t>
      </w:r>
      <w:r w:rsidR="009F1DED" w:rsidRPr="00D247A3">
        <w:rPr>
          <w:rFonts w:cs="Arial"/>
          <w:sz w:val="24"/>
          <w:szCs w:val="24"/>
        </w:rPr>
        <w:t xml:space="preserve">las tres </w:t>
      </w:r>
      <w:proofErr w:type="spellStart"/>
      <w:r w:rsidRPr="00D247A3">
        <w:rPr>
          <w:rFonts w:cs="Arial"/>
          <w:sz w:val="24"/>
          <w:szCs w:val="24"/>
        </w:rPr>
        <w:t>RP</w:t>
      </w:r>
      <w:r w:rsidR="009F1DED" w:rsidRPr="00D247A3">
        <w:rPr>
          <w:rFonts w:cs="Arial"/>
          <w:sz w:val="24"/>
          <w:szCs w:val="24"/>
        </w:rPr>
        <w:t>s</w:t>
      </w:r>
      <w:proofErr w:type="spellEnd"/>
      <w:r w:rsidRPr="00D247A3">
        <w:rPr>
          <w:rFonts w:cs="Arial"/>
          <w:sz w:val="24"/>
          <w:szCs w:val="24"/>
        </w:rPr>
        <w:t>: Huila (H), Santander (S) y Carolina del Norte (CN) en función de la inoculación</w:t>
      </w:r>
      <w:r w:rsidR="0050104D" w:rsidRPr="00D247A3">
        <w:rPr>
          <w:rFonts w:cs="Arial"/>
          <w:sz w:val="24"/>
          <w:szCs w:val="24"/>
        </w:rPr>
        <w:t xml:space="preserve"> </w:t>
      </w:r>
      <w:r w:rsidRPr="00D247A3">
        <w:rPr>
          <w:rFonts w:cs="Arial"/>
          <w:sz w:val="24"/>
          <w:szCs w:val="24"/>
        </w:rPr>
        <w:t xml:space="preserve">con </w:t>
      </w:r>
      <w:proofErr w:type="spellStart"/>
      <w:r w:rsidR="00335959" w:rsidRPr="00D247A3">
        <w:rPr>
          <w:rFonts w:cs="Arial"/>
          <w:i/>
          <w:sz w:val="24"/>
          <w:szCs w:val="24"/>
        </w:rPr>
        <w:t>Mortierella</w:t>
      </w:r>
      <w:proofErr w:type="spellEnd"/>
      <w:r w:rsidR="00335959" w:rsidRPr="00D247A3">
        <w:rPr>
          <w:rFonts w:cs="Arial"/>
          <w:sz w:val="24"/>
          <w:szCs w:val="24"/>
        </w:rPr>
        <w:t xml:space="preserve"> </w:t>
      </w:r>
      <w:proofErr w:type="spellStart"/>
      <w:r w:rsidR="00335959" w:rsidRPr="00D247A3">
        <w:rPr>
          <w:rFonts w:cs="Arial"/>
          <w:sz w:val="24"/>
          <w:szCs w:val="24"/>
        </w:rPr>
        <w:t>sp</w:t>
      </w:r>
      <w:proofErr w:type="spellEnd"/>
      <w:r w:rsidRPr="00D247A3">
        <w:rPr>
          <w:rFonts w:cs="Arial"/>
          <w:sz w:val="24"/>
          <w:szCs w:val="24"/>
          <w:lang w:val="es-ES"/>
        </w:rPr>
        <w:t>.</w:t>
      </w:r>
      <w:r w:rsidR="009F1DED" w:rsidRPr="00D247A3">
        <w:rPr>
          <w:rFonts w:cs="Arial"/>
          <w:sz w:val="24"/>
          <w:szCs w:val="24"/>
          <w:lang w:val="es-ES"/>
        </w:rPr>
        <w:t xml:space="preserve"> Las otras condiciones del cultivo permanecieron constantes.</w:t>
      </w:r>
    </w:p>
    <w:p w:rsidR="001D3AFB" w:rsidRPr="00D247A3" w:rsidRDefault="001D3AFB" w:rsidP="005836FE">
      <w:pPr>
        <w:spacing w:line="360" w:lineRule="auto"/>
        <w:jc w:val="both"/>
        <w:rPr>
          <w:rFonts w:cs="Arial"/>
          <w:sz w:val="24"/>
          <w:szCs w:val="24"/>
        </w:rPr>
      </w:pPr>
      <w:r w:rsidRPr="00D247A3">
        <w:rPr>
          <w:rFonts w:cs="Arial"/>
          <w:sz w:val="24"/>
          <w:szCs w:val="24"/>
        </w:rPr>
        <w:t>Variables evaluadas</w:t>
      </w:r>
      <w:r w:rsidR="00242A98" w:rsidRPr="00D247A3">
        <w:rPr>
          <w:rFonts w:cs="Arial"/>
          <w:sz w:val="24"/>
          <w:szCs w:val="24"/>
        </w:rPr>
        <w:t xml:space="preserve">: </w:t>
      </w:r>
      <w:r w:rsidR="00DE7225" w:rsidRPr="00D247A3">
        <w:rPr>
          <w:rFonts w:cs="Arial"/>
          <w:sz w:val="24"/>
          <w:szCs w:val="24"/>
          <w:lang w:val="es-ES"/>
        </w:rPr>
        <w:t>l</w:t>
      </w:r>
      <w:r w:rsidRPr="00D247A3">
        <w:rPr>
          <w:rFonts w:cs="Arial"/>
          <w:sz w:val="24"/>
          <w:szCs w:val="24"/>
          <w:lang w:val="es-ES"/>
        </w:rPr>
        <w:t>uego del periodo de incubación, se determin</w:t>
      </w:r>
      <w:r w:rsidR="00335959" w:rsidRPr="00D247A3">
        <w:rPr>
          <w:rFonts w:cs="Arial"/>
          <w:sz w:val="24"/>
          <w:szCs w:val="24"/>
          <w:lang w:val="es-ES"/>
        </w:rPr>
        <w:t xml:space="preserve">ó </w:t>
      </w:r>
      <w:r w:rsidRPr="00D247A3">
        <w:rPr>
          <w:rFonts w:cs="Arial"/>
          <w:sz w:val="24"/>
          <w:szCs w:val="24"/>
          <w:lang w:val="es-ES"/>
        </w:rPr>
        <w:t xml:space="preserve">pH </w:t>
      </w:r>
      <w:r w:rsidR="00335959" w:rsidRPr="00D247A3">
        <w:rPr>
          <w:rFonts w:cs="Arial"/>
          <w:sz w:val="24"/>
          <w:szCs w:val="24"/>
          <w:lang w:val="es-ES"/>
        </w:rPr>
        <w:t>con</w:t>
      </w:r>
      <w:r w:rsidRPr="00D247A3">
        <w:rPr>
          <w:rFonts w:cs="Arial"/>
          <w:sz w:val="24"/>
          <w:szCs w:val="24"/>
          <w:lang w:val="es-ES"/>
        </w:rPr>
        <w:t xml:space="preserve"> un potenciómetro (WTW electrodo </w:t>
      </w:r>
      <w:proofErr w:type="spellStart"/>
      <w:r w:rsidRPr="00D247A3">
        <w:rPr>
          <w:rFonts w:cs="Arial"/>
          <w:sz w:val="24"/>
          <w:szCs w:val="24"/>
          <w:lang w:val="es-ES"/>
        </w:rPr>
        <w:t>Sen</w:t>
      </w:r>
      <w:r w:rsidR="00335959" w:rsidRPr="00D247A3">
        <w:rPr>
          <w:rFonts w:cs="Arial"/>
          <w:sz w:val="24"/>
          <w:szCs w:val="24"/>
          <w:lang w:val="es-ES"/>
        </w:rPr>
        <w:t>tix</w:t>
      </w:r>
      <w:proofErr w:type="spellEnd"/>
      <w:r w:rsidR="00335959" w:rsidRPr="00D247A3">
        <w:rPr>
          <w:rFonts w:cs="Arial"/>
          <w:sz w:val="24"/>
          <w:szCs w:val="24"/>
          <w:lang w:val="es-ES"/>
        </w:rPr>
        <w:t xml:space="preserve"> 81) y </w:t>
      </w:r>
      <w:r w:rsidR="009F1DED" w:rsidRPr="00D247A3">
        <w:rPr>
          <w:rFonts w:cs="Arial"/>
          <w:sz w:val="24"/>
          <w:szCs w:val="24"/>
          <w:lang w:val="es-ES"/>
        </w:rPr>
        <w:t xml:space="preserve">la </w:t>
      </w:r>
      <w:r w:rsidR="00335959" w:rsidRPr="00D247A3">
        <w:rPr>
          <w:rFonts w:cs="Arial"/>
          <w:sz w:val="24"/>
          <w:szCs w:val="24"/>
          <w:lang w:val="es-ES"/>
        </w:rPr>
        <w:t>concentración de P</w:t>
      </w:r>
      <w:r w:rsidRPr="00D247A3">
        <w:rPr>
          <w:rFonts w:cs="Arial"/>
          <w:sz w:val="24"/>
          <w:szCs w:val="24"/>
          <w:lang w:val="es-ES"/>
        </w:rPr>
        <w:t xml:space="preserve"> (mg L</w:t>
      </w:r>
      <w:r w:rsidRPr="00D247A3">
        <w:rPr>
          <w:rFonts w:cs="Arial"/>
          <w:sz w:val="24"/>
          <w:szCs w:val="24"/>
          <w:vertAlign w:val="superscript"/>
          <w:lang w:val="es-ES"/>
        </w:rPr>
        <w:t>-1</w:t>
      </w:r>
      <w:r w:rsidRPr="00D247A3">
        <w:rPr>
          <w:rFonts w:cs="Arial"/>
          <w:sz w:val="24"/>
          <w:szCs w:val="24"/>
          <w:lang w:val="es-ES"/>
        </w:rPr>
        <w:t xml:space="preserve">) </w:t>
      </w:r>
      <w:r w:rsidR="009F1DED" w:rsidRPr="00D247A3">
        <w:rPr>
          <w:rFonts w:cs="Arial"/>
          <w:sz w:val="24"/>
          <w:szCs w:val="24"/>
          <w:lang w:val="es-ES"/>
        </w:rPr>
        <w:t>con</w:t>
      </w:r>
      <w:r w:rsidRPr="00D247A3">
        <w:rPr>
          <w:rFonts w:cs="Arial"/>
          <w:sz w:val="24"/>
          <w:szCs w:val="24"/>
          <w:lang w:val="es-ES"/>
        </w:rPr>
        <w:t xml:space="preserve"> el método del azul-molibdato (Murphy </w:t>
      </w:r>
      <w:r w:rsidR="00F8149B" w:rsidRPr="00D247A3">
        <w:rPr>
          <w:rFonts w:cs="Arial"/>
          <w:sz w:val="24"/>
          <w:szCs w:val="24"/>
          <w:lang w:val="es-ES"/>
        </w:rPr>
        <w:t xml:space="preserve">&amp; </w:t>
      </w:r>
      <w:proofErr w:type="spellStart"/>
      <w:r w:rsidRPr="00D247A3">
        <w:rPr>
          <w:rFonts w:cs="Arial"/>
          <w:sz w:val="24"/>
          <w:szCs w:val="24"/>
          <w:lang w:val="es-ES"/>
        </w:rPr>
        <w:t>Riley</w:t>
      </w:r>
      <w:proofErr w:type="spellEnd"/>
      <w:r w:rsidRPr="00D247A3">
        <w:rPr>
          <w:rFonts w:cs="Arial"/>
          <w:sz w:val="24"/>
          <w:szCs w:val="24"/>
          <w:lang w:val="es-ES"/>
        </w:rPr>
        <w:t xml:space="preserve"> 1962) (espectrofotómetro </w:t>
      </w:r>
      <w:proofErr w:type="spellStart"/>
      <w:r w:rsidRPr="00D247A3">
        <w:rPr>
          <w:rFonts w:cs="Arial"/>
          <w:sz w:val="24"/>
          <w:szCs w:val="24"/>
          <w:lang w:val="es-ES"/>
        </w:rPr>
        <w:t>Genesys</w:t>
      </w:r>
      <w:proofErr w:type="spellEnd"/>
      <w:r w:rsidRPr="00D247A3">
        <w:rPr>
          <w:rFonts w:cs="Arial"/>
          <w:sz w:val="24"/>
          <w:szCs w:val="24"/>
          <w:lang w:val="es-ES"/>
        </w:rPr>
        <w:t xml:space="preserve"> 20, </w:t>
      </w:r>
      <w:proofErr w:type="spellStart"/>
      <w:r w:rsidRPr="00D247A3">
        <w:rPr>
          <w:rFonts w:cs="Arial"/>
          <w:sz w:val="24"/>
          <w:szCs w:val="24"/>
          <w:lang w:val="es-ES"/>
        </w:rPr>
        <w:t>Thermo</w:t>
      </w:r>
      <w:proofErr w:type="spellEnd"/>
      <w:r w:rsidRPr="00D247A3">
        <w:rPr>
          <w:rFonts w:cs="Arial"/>
          <w:sz w:val="24"/>
          <w:szCs w:val="24"/>
          <w:lang w:val="es-ES"/>
        </w:rPr>
        <w:t xml:space="preserve"> </w:t>
      </w:r>
      <w:proofErr w:type="spellStart"/>
      <w:r w:rsidRPr="00D247A3">
        <w:rPr>
          <w:rFonts w:cs="Arial"/>
          <w:sz w:val="24"/>
          <w:szCs w:val="24"/>
          <w:lang w:val="es-ES"/>
        </w:rPr>
        <w:t>Spectronic</w:t>
      </w:r>
      <w:proofErr w:type="spellEnd"/>
      <w:r w:rsidRPr="00D247A3">
        <w:rPr>
          <w:rFonts w:cs="Arial"/>
          <w:sz w:val="24"/>
          <w:szCs w:val="24"/>
          <w:lang w:val="es-ES"/>
        </w:rPr>
        <w:t xml:space="preserve">, 890 </w:t>
      </w:r>
      <w:proofErr w:type="spellStart"/>
      <w:r w:rsidRPr="00D247A3">
        <w:rPr>
          <w:rFonts w:cs="Arial"/>
          <w:sz w:val="24"/>
          <w:szCs w:val="24"/>
          <w:lang w:val="es-ES"/>
        </w:rPr>
        <w:t>nm</w:t>
      </w:r>
      <w:proofErr w:type="spellEnd"/>
      <w:r w:rsidRPr="00D247A3">
        <w:rPr>
          <w:rFonts w:cs="Arial"/>
          <w:sz w:val="24"/>
          <w:szCs w:val="24"/>
          <w:lang w:val="es-ES"/>
        </w:rPr>
        <w:t xml:space="preserve">), previa centrifugación (centrifuga </w:t>
      </w:r>
      <w:proofErr w:type="spellStart"/>
      <w:r w:rsidRPr="00D247A3">
        <w:rPr>
          <w:rFonts w:cs="Arial"/>
          <w:sz w:val="24"/>
          <w:szCs w:val="24"/>
          <w:lang w:val="es-ES"/>
        </w:rPr>
        <w:t>Jouan</w:t>
      </w:r>
      <w:proofErr w:type="spellEnd"/>
      <w:r w:rsidRPr="00D247A3">
        <w:rPr>
          <w:rFonts w:cs="Arial"/>
          <w:sz w:val="24"/>
          <w:szCs w:val="24"/>
          <w:lang w:val="es-ES"/>
        </w:rPr>
        <w:t xml:space="preserve"> MR 1812, 1520x</w:t>
      </w:r>
      <w:r w:rsidRPr="00D247A3">
        <w:rPr>
          <w:rFonts w:cs="Arial"/>
          <w:i/>
          <w:sz w:val="24"/>
          <w:szCs w:val="24"/>
          <w:lang w:val="es-ES"/>
        </w:rPr>
        <w:t>g</w:t>
      </w:r>
      <w:r w:rsidRPr="00D247A3">
        <w:rPr>
          <w:rFonts w:cs="Arial"/>
          <w:sz w:val="24"/>
          <w:szCs w:val="24"/>
          <w:lang w:val="es-ES"/>
        </w:rPr>
        <w:t xml:space="preserve"> (4000 rpm),</w:t>
      </w:r>
      <w:r w:rsidRPr="00D247A3">
        <w:rPr>
          <w:rFonts w:cs="Arial"/>
          <w:i/>
          <w:sz w:val="24"/>
          <w:szCs w:val="24"/>
          <w:lang w:val="es-ES"/>
        </w:rPr>
        <w:t xml:space="preserve"> </w:t>
      </w:r>
      <w:r w:rsidRPr="00D247A3">
        <w:rPr>
          <w:rFonts w:cs="Arial"/>
          <w:sz w:val="24"/>
          <w:szCs w:val="24"/>
          <w:lang w:val="es-ES"/>
        </w:rPr>
        <w:t>10 minutos) y filtración con papel filtro (</w:t>
      </w:r>
      <w:proofErr w:type="spellStart"/>
      <w:r w:rsidRPr="00D247A3">
        <w:rPr>
          <w:rFonts w:cs="Arial"/>
          <w:sz w:val="24"/>
          <w:szCs w:val="24"/>
          <w:lang w:val="es-ES"/>
        </w:rPr>
        <w:t>Whatman</w:t>
      </w:r>
      <w:proofErr w:type="spellEnd"/>
      <w:r w:rsidRPr="00D247A3">
        <w:rPr>
          <w:rFonts w:cs="Arial"/>
          <w:sz w:val="24"/>
          <w:szCs w:val="24"/>
          <w:lang w:val="es-ES"/>
        </w:rPr>
        <w:t xml:space="preserve"> No. 42).</w:t>
      </w:r>
    </w:p>
    <w:p w:rsidR="00501268" w:rsidRPr="00D247A3" w:rsidRDefault="00501268" w:rsidP="005836FE">
      <w:pPr>
        <w:spacing w:line="360" w:lineRule="auto"/>
        <w:jc w:val="both"/>
        <w:rPr>
          <w:rFonts w:cs="Arial"/>
          <w:sz w:val="24"/>
          <w:szCs w:val="24"/>
          <w:lang w:val="es-ES"/>
        </w:rPr>
      </w:pPr>
      <w:r w:rsidRPr="00D247A3">
        <w:rPr>
          <w:rFonts w:cs="Arial"/>
          <w:sz w:val="24"/>
          <w:szCs w:val="24"/>
          <w:lang w:val="es-ES"/>
        </w:rPr>
        <w:t>Para el experimento No. 1, se calculó la concentración de P solubilizado a partir de la RP, sustrayendo del valor final la cantidad de P adicionado (P neto solubilizado).</w:t>
      </w:r>
    </w:p>
    <w:p w:rsidR="001D3AFB" w:rsidRPr="00D247A3" w:rsidRDefault="001D3AFB" w:rsidP="005836FE">
      <w:pPr>
        <w:spacing w:line="360" w:lineRule="auto"/>
        <w:jc w:val="both"/>
        <w:rPr>
          <w:rFonts w:cs="Arial"/>
          <w:sz w:val="24"/>
          <w:szCs w:val="24"/>
        </w:rPr>
      </w:pPr>
      <w:r w:rsidRPr="00D247A3">
        <w:rPr>
          <w:rFonts w:cs="Arial"/>
          <w:sz w:val="24"/>
          <w:szCs w:val="24"/>
        </w:rPr>
        <w:t>En los experimentos se empleó un diseño e</w:t>
      </w:r>
      <w:r w:rsidR="009F1DED" w:rsidRPr="00D247A3">
        <w:rPr>
          <w:rFonts w:cs="Arial"/>
          <w:sz w:val="24"/>
          <w:szCs w:val="24"/>
        </w:rPr>
        <w:t xml:space="preserve">xperimental </w:t>
      </w:r>
      <w:r w:rsidRPr="00D247A3">
        <w:rPr>
          <w:rFonts w:cs="Arial"/>
          <w:sz w:val="24"/>
          <w:szCs w:val="24"/>
        </w:rPr>
        <w:t xml:space="preserve">completamente al azar. Cada tratamiento tuvo 4 repeticiones, incluyendo el control no inoculado. El efecto de los tratamientos se evaluó mediante análisis de varianza (prueba F) y cuando estos fueron significativos se utilizó la prueba de </w:t>
      </w:r>
      <w:r w:rsidR="009F1DED" w:rsidRPr="00D247A3">
        <w:rPr>
          <w:rFonts w:cs="Arial"/>
          <w:sz w:val="24"/>
          <w:szCs w:val="24"/>
        </w:rPr>
        <w:t>rangos múlt</w:t>
      </w:r>
      <w:r w:rsidR="002761E4" w:rsidRPr="00D247A3">
        <w:rPr>
          <w:rFonts w:cs="Arial"/>
          <w:sz w:val="24"/>
          <w:szCs w:val="24"/>
        </w:rPr>
        <w:t>i</w:t>
      </w:r>
      <w:r w:rsidR="009F1DED" w:rsidRPr="00D247A3">
        <w:rPr>
          <w:rFonts w:cs="Arial"/>
          <w:sz w:val="24"/>
          <w:szCs w:val="24"/>
        </w:rPr>
        <w:t xml:space="preserve">ples de Duncan para la </w:t>
      </w:r>
      <w:r w:rsidRPr="00D247A3">
        <w:rPr>
          <w:rFonts w:cs="Arial"/>
          <w:sz w:val="24"/>
          <w:szCs w:val="24"/>
        </w:rPr>
        <w:t xml:space="preserve">separación de medias (prueba t). </w:t>
      </w:r>
      <w:r w:rsidR="009F1DED" w:rsidRPr="00D247A3">
        <w:rPr>
          <w:rFonts w:cs="Arial"/>
          <w:sz w:val="24"/>
          <w:szCs w:val="24"/>
        </w:rPr>
        <w:t>En a</w:t>
      </w:r>
      <w:r w:rsidRPr="00D247A3">
        <w:rPr>
          <w:rFonts w:cs="Arial"/>
          <w:sz w:val="24"/>
          <w:szCs w:val="24"/>
        </w:rPr>
        <w:t xml:space="preserve">mbas pruebas se </w:t>
      </w:r>
      <w:r w:rsidR="009F1DED" w:rsidRPr="00D247A3">
        <w:rPr>
          <w:rFonts w:cs="Arial"/>
          <w:sz w:val="24"/>
          <w:szCs w:val="24"/>
        </w:rPr>
        <w:t>empleó</w:t>
      </w:r>
      <w:r w:rsidRPr="00D247A3">
        <w:rPr>
          <w:rFonts w:cs="Arial"/>
          <w:sz w:val="24"/>
          <w:szCs w:val="24"/>
        </w:rPr>
        <w:t xml:space="preserve"> un nivel de significancia (</w:t>
      </w:r>
      <w:r w:rsidRPr="00D247A3">
        <w:rPr>
          <w:rFonts w:cs="Arial"/>
          <w:i/>
          <w:sz w:val="24"/>
          <w:szCs w:val="24"/>
        </w:rPr>
        <w:t>P</w:t>
      </w:r>
      <w:r w:rsidRPr="00D247A3">
        <w:rPr>
          <w:rFonts w:cs="Arial"/>
          <w:sz w:val="24"/>
          <w:szCs w:val="24"/>
        </w:rPr>
        <w:t xml:space="preserve">) ≤0.05 </w:t>
      </w:r>
      <w:r w:rsidR="009F1DED" w:rsidRPr="00D247A3">
        <w:rPr>
          <w:rFonts w:cs="Arial"/>
          <w:sz w:val="24"/>
          <w:szCs w:val="24"/>
        </w:rPr>
        <w:t xml:space="preserve">y se hicieron </w:t>
      </w:r>
      <w:r w:rsidRPr="00D247A3">
        <w:rPr>
          <w:rFonts w:cs="Arial"/>
          <w:sz w:val="24"/>
          <w:szCs w:val="24"/>
        </w:rPr>
        <w:t xml:space="preserve">en el software STATGRAPHICS versión </w:t>
      </w:r>
      <w:r w:rsidR="00DC7978" w:rsidRPr="00D247A3">
        <w:rPr>
          <w:rFonts w:cs="Arial"/>
          <w:sz w:val="24"/>
          <w:szCs w:val="24"/>
        </w:rPr>
        <w:t>C</w:t>
      </w:r>
      <w:r w:rsidRPr="00D247A3">
        <w:rPr>
          <w:rFonts w:cs="Arial"/>
          <w:sz w:val="24"/>
          <w:szCs w:val="24"/>
        </w:rPr>
        <w:t>enturión XVI.</w:t>
      </w:r>
    </w:p>
    <w:p w:rsidR="007B1CE9" w:rsidRPr="00D247A3" w:rsidRDefault="007B1CE9" w:rsidP="005836FE">
      <w:pPr>
        <w:spacing w:line="360" w:lineRule="auto"/>
        <w:jc w:val="both"/>
        <w:rPr>
          <w:rFonts w:cs="Arial"/>
          <w:sz w:val="24"/>
          <w:szCs w:val="24"/>
        </w:rPr>
      </w:pPr>
    </w:p>
    <w:p w:rsidR="001D3AFB" w:rsidRPr="00D247A3" w:rsidRDefault="00DD4A2D" w:rsidP="005836FE">
      <w:pPr>
        <w:spacing w:line="360" w:lineRule="auto"/>
        <w:rPr>
          <w:rFonts w:cs="Arial"/>
          <w:b/>
          <w:sz w:val="24"/>
          <w:szCs w:val="24"/>
          <w:vertAlign w:val="subscript"/>
        </w:rPr>
      </w:pPr>
      <w:r w:rsidRPr="00D247A3">
        <w:rPr>
          <w:rFonts w:cs="Arial"/>
          <w:b/>
          <w:sz w:val="24"/>
          <w:szCs w:val="24"/>
        </w:rPr>
        <w:t>Resultados</w:t>
      </w:r>
    </w:p>
    <w:p w:rsidR="00501268" w:rsidRPr="00D247A3" w:rsidRDefault="008247B2" w:rsidP="005836FE">
      <w:pPr>
        <w:spacing w:line="360" w:lineRule="auto"/>
        <w:jc w:val="both"/>
        <w:rPr>
          <w:rFonts w:cs="Arial"/>
          <w:sz w:val="24"/>
          <w:szCs w:val="24"/>
        </w:rPr>
      </w:pPr>
      <w:r w:rsidRPr="00D247A3">
        <w:rPr>
          <w:rFonts w:cs="Arial"/>
          <w:sz w:val="24"/>
          <w:szCs w:val="24"/>
        </w:rPr>
        <w:t xml:space="preserve">Los </w:t>
      </w:r>
      <w:proofErr w:type="spellStart"/>
      <w:r w:rsidR="00DC7978" w:rsidRPr="00D247A3">
        <w:rPr>
          <w:rFonts w:cs="Arial"/>
          <w:sz w:val="24"/>
          <w:szCs w:val="24"/>
        </w:rPr>
        <w:t>E</w:t>
      </w:r>
      <w:r w:rsidRPr="00D247A3">
        <w:rPr>
          <w:rFonts w:cs="Arial"/>
          <w:sz w:val="24"/>
          <w:szCs w:val="24"/>
        </w:rPr>
        <w:t>rlenmeyers</w:t>
      </w:r>
      <w:proofErr w:type="spellEnd"/>
      <w:r w:rsidRPr="00D247A3">
        <w:rPr>
          <w:rFonts w:cs="Arial"/>
          <w:sz w:val="24"/>
          <w:szCs w:val="24"/>
        </w:rPr>
        <w:t xml:space="preserve"> no-inoculados presentaron un pH de 7.8, que no fue afectado por la presencia inicial de P soluble. Al inocular con el hongo el pH disminuyó significativame</w:t>
      </w:r>
      <w:r w:rsidR="0026446B" w:rsidRPr="00D247A3">
        <w:rPr>
          <w:rFonts w:cs="Arial"/>
          <w:sz w:val="24"/>
          <w:szCs w:val="24"/>
        </w:rPr>
        <w:t>n</w:t>
      </w:r>
      <w:r w:rsidRPr="00D247A3">
        <w:rPr>
          <w:rFonts w:cs="Arial"/>
          <w:sz w:val="24"/>
          <w:szCs w:val="24"/>
        </w:rPr>
        <w:t>te, pero en este caso</w:t>
      </w:r>
      <w:r w:rsidR="008F4597" w:rsidRPr="00D247A3">
        <w:rPr>
          <w:rFonts w:cs="Arial"/>
          <w:sz w:val="24"/>
          <w:szCs w:val="24"/>
        </w:rPr>
        <w:t xml:space="preserve"> </w:t>
      </w:r>
      <w:r w:rsidRPr="00D247A3">
        <w:rPr>
          <w:rFonts w:cs="Arial"/>
          <w:sz w:val="24"/>
          <w:szCs w:val="24"/>
        </w:rPr>
        <w:t>la concentración</w:t>
      </w:r>
      <w:r w:rsidR="008F4597" w:rsidRPr="00D247A3">
        <w:rPr>
          <w:rFonts w:cs="Arial"/>
          <w:sz w:val="24"/>
          <w:szCs w:val="24"/>
        </w:rPr>
        <w:t xml:space="preserve"> </w:t>
      </w:r>
      <w:r w:rsidRPr="00D247A3">
        <w:rPr>
          <w:rFonts w:cs="Arial"/>
          <w:sz w:val="24"/>
          <w:szCs w:val="24"/>
        </w:rPr>
        <w:t xml:space="preserve">inicial </w:t>
      </w:r>
      <w:r w:rsidR="008F4597" w:rsidRPr="00D247A3">
        <w:rPr>
          <w:rFonts w:cs="Arial"/>
          <w:sz w:val="24"/>
          <w:szCs w:val="24"/>
        </w:rPr>
        <w:t>de</w:t>
      </w:r>
      <w:r w:rsidR="00335959" w:rsidRPr="00D247A3">
        <w:rPr>
          <w:rFonts w:cs="Arial"/>
          <w:sz w:val="24"/>
          <w:szCs w:val="24"/>
        </w:rPr>
        <w:t xml:space="preserve"> P</w:t>
      </w:r>
      <w:r w:rsidR="001D3AFB" w:rsidRPr="00D247A3">
        <w:rPr>
          <w:rFonts w:cs="Arial"/>
          <w:sz w:val="24"/>
          <w:szCs w:val="24"/>
        </w:rPr>
        <w:t xml:space="preserve"> soluble </w:t>
      </w:r>
      <w:r w:rsidR="008F4597" w:rsidRPr="00D247A3">
        <w:rPr>
          <w:rFonts w:cs="Arial"/>
          <w:sz w:val="24"/>
          <w:szCs w:val="24"/>
        </w:rPr>
        <w:t>afectó (</w:t>
      </w:r>
      <w:r w:rsidR="008F4597" w:rsidRPr="00D247A3">
        <w:rPr>
          <w:rFonts w:cs="Arial"/>
          <w:i/>
          <w:sz w:val="24"/>
          <w:szCs w:val="24"/>
        </w:rPr>
        <w:t>P</w:t>
      </w:r>
      <w:r w:rsidR="008F4597" w:rsidRPr="00D247A3">
        <w:rPr>
          <w:rFonts w:cs="Arial"/>
          <w:sz w:val="24"/>
          <w:szCs w:val="24"/>
        </w:rPr>
        <w:t xml:space="preserve"> ≤ 0.05) </w:t>
      </w:r>
      <w:r w:rsidR="001D3AFB" w:rsidRPr="00D247A3">
        <w:rPr>
          <w:rFonts w:cs="Arial"/>
          <w:sz w:val="24"/>
          <w:szCs w:val="24"/>
        </w:rPr>
        <w:t>la disolución de la RP (</w:t>
      </w:r>
      <w:r w:rsidR="00F8149B" w:rsidRPr="00D247A3">
        <w:rPr>
          <w:rFonts w:cs="Arial"/>
          <w:sz w:val="24"/>
          <w:szCs w:val="24"/>
        </w:rPr>
        <w:t xml:space="preserve">figura </w:t>
      </w:r>
      <w:r w:rsidR="00335959" w:rsidRPr="00D247A3">
        <w:rPr>
          <w:rFonts w:cs="Arial"/>
          <w:sz w:val="24"/>
          <w:szCs w:val="24"/>
        </w:rPr>
        <w:t>1</w:t>
      </w:r>
      <w:r w:rsidR="00CC37A5" w:rsidRPr="00D247A3">
        <w:rPr>
          <w:rFonts w:cs="Arial"/>
          <w:sz w:val="24"/>
          <w:szCs w:val="24"/>
        </w:rPr>
        <w:t>.</w:t>
      </w:r>
      <w:r w:rsidR="008F4597" w:rsidRPr="00D247A3">
        <w:rPr>
          <w:rFonts w:cs="Arial"/>
          <w:sz w:val="24"/>
          <w:szCs w:val="24"/>
        </w:rPr>
        <w:t>). Así,</w:t>
      </w:r>
      <w:r w:rsidR="001D3AFB" w:rsidRPr="00D247A3">
        <w:rPr>
          <w:rFonts w:cs="Arial"/>
          <w:sz w:val="24"/>
          <w:szCs w:val="24"/>
        </w:rPr>
        <w:t xml:space="preserve"> </w:t>
      </w:r>
      <w:r w:rsidRPr="00D247A3">
        <w:rPr>
          <w:rFonts w:cs="Arial"/>
          <w:sz w:val="24"/>
          <w:szCs w:val="24"/>
        </w:rPr>
        <w:t>cuando el P soluble inicial estuvo entre 0</w:t>
      </w:r>
      <w:r w:rsidR="00DC7978" w:rsidRPr="00D247A3">
        <w:rPr>
          <w:rFonts w:cs="Arial"/>
          <w:sz w:val="24"/>
          <w:szCs w:val="24"/>
        </w:rPr>
        <w:t xml:space="preserve"> y </w:t>
      </w:r>
      <w:r w:rsidRPr="00D247A3">
        <w:rPr>
          <w:rFonts w:cs="Arial"/>
          <w:sz w:val="24"/>
          <w:szCs w:val="24"/>
        </w:rPr>
        <w:t xml:space="preserve">1 </w:t>
      </w:r>
      <w:r w:rsidR="008F4597" w:rsidRPr="00D247A3">
        <w:rPr>
          <w:rFonts w:cs="Arial"/>
          <w:sz w:val="24"/>
          <w:szCs w:val="24"/>
        </w:rPr>
        <w:t>mg P</w:t>
      </w:r>
      <w:r w:rsidR="001D3AFB" w:rsidRPr="00D247A3">
        <w:rPr>
          <w:rFonts w:cs="Arial"/>
          <w:sz w:val="24"/>
          <w:szCs w:val="24"/>
        </w:rPr>
        <w:t xml:space="preserve"> L</w:t>
      </w:r>
      <w:r w:rsidR="001D3AFB" w:rsidRPr="00D247A3">
        <w:rPr>
          <w:rFonts w:cs="Arial"/>
          <w:sz w:val="24"/>
          <w:szCs w:val="24"/>
          <w:vertAlign w:val="superscript"/>
        </w:rPr>
        <w:t>-1</w:t>
      </w:r>
      <w:r w:rsidR="00BE0ADB" w:rsidRPr="00D247A3">
        <w:rPr>
          <w:rFonts w:cs="Arial"/>
          <w:sz w:val="24"/>
          <w:szCs w:val="24"/>
        </w:rPr>
        <w:t xml:space="preserve"> </w:t>
      </w:r>
      <w:r w:rsidRPr="00D247A3">
        <w:rPr>
          <w:rFonts w:cs="Arial"/>
          <w:sz w:val="24"/>
          <w:szCs w:val="24"/>
        </w:rPr>
        <w:t xml:space="preserve">el </w:t>
      </w:r>
      <w:r w:rsidR="001D3AFB" w:rsidRPr="00D247A3">
        <w:rPr>
          <w:rFonts w:cs="Arial"/>
          <w:sz w:val="24"/>
          <w:szCs w:val="24"/>
        </w:rPr>
        <w:t xml:space="preserve">pH del medio </w:t>
      </w:r>
      <w:r w:rsidRPr="00D247A3">
        <w:rPr>
          <w:rFonts w:cs="Arial"/>
          <w:sz w:val="24"/>
          <w:szCs w:val="24"/>
        </w:rPr>
        <w:t xml:space="preserve">fue de </w:t>
      </w:r>
      <w:r w:rsidR="00D76124" w:rsidRPr="00D247A3">
        <w:rPr>
          <w:rFonts w:cs="Arial"/>
          <w:sz w:val="24"/>
          <w:szCs w:val="24"/>
        </w:rPr>
        <w:t>3.2</w:t>
      </w:r>
      <w:r w:rsidRPr="00D247A3">
        <w:rPr>
          <w:rFonts w:cs="Arial"/>
          <w:sz w:val="24"/>
          <w:szCs w:val="24"/>
        </w:rPr>
        <w:t xml:space="preserve">, a 5 mg </w:t>
      </w:r>
      <w:r w:rsidR="00AD1BB8" w:rsidRPr="00D247A3">
        <w:rPr>
          <w:rFonts w:cs="Arial"/>
          <w:sz w:val="24"/>
          <w:szCs w:val="24"/>
        </w:rPr>
        <w:t xml:space="preserve">P </w:t>
      </w:r>
      <w:r w:rsidRPr="00D247A3">
        <w:rPr>
          <w:rFonts w:cs="Arial"/>
          <w:sz w:val="24"/>
          <w:szCs w:val="24"/>
        </w:rPr>
        <w:t>L</w:t>
      </w:r>
      <w:r w:rsidRPr="00D247A3">
        <w:rPr>
          <w:rFonts w:cs="Arial"/>
          <w:sz w:val="24"/>
          <w:szCs w:val="24"/>
          <w:vertAlign w:val="superscript"/>
        </w:rPr>
        <w:t>-1</w:t>
      </w:r>
      <w:r w:rsidRPr="00D247A3">
        <w:rPr>
          <w:rFonts w:cs="Arial"/>
          <w:sz w:val="24"/>
          <w:szCs w:val="24"/>
        </w:rPr>
        <w:t xml:space="preserve"> el pH fue significativamente más bajo </w:t>
      </w:r>
      <w:r w:rsidR="001D3AFB" w:rsidRPr="00D247A3">
        <w:rPr>
          <w:rFonts w:cs="Arial"/>
          <w:sz w:val="24"/>
          <w:szCs w:val="24"/>
        </w:rPr>
        <w:t>(</w:t>
      </w:r>
      <w:r w:rsidR="00D76124" w:rsidRPr="00D247A3">
        <w:rPr>
          <w:rFonts w:cs="Arial"/>
          <w:sz w:val="24"/>
          <w:szCs w:val="24"/>
        </w:rPr>
        <w:t>3.05</w:t>
      </w:r>
      <w:r w:rsidR="001D3AFB" w:rsidRPr="00D247A3">
        <w:rPr>
          <w:rFonts w:cs="Arial"/>
          <w:sz w:val="24"/>
          <w:szCs w:val="24"/>
        </w:rPr>
        <w:t>)</w:t>
      </w:r>
      <w:r w:rsidRPr="00D247A3">
        <w:rPr>
          <w:rFonts w:cs="Arial"/>
          <w:sz w:val="24"/>
          <w:szCs w:val="24"/>
        </w:rPr>
        <w:t>. En contraste, con los niveles de P más altos (</w:t>
      </w:r>
      <w:r w:rsidR="008F4597" w:rsidRPr="00D247A3">
        <w:rPr>
          <w:rFonts w:cs="Arial"/>
          <w:sz w:val="24"/>
          <w:szCs w:val="24"/>
        </w:rPr>
        <w:t xml:space="preserve">10, 50 y 100 mg </w:t>
      </w:r>
      <w:r w:rsidR="00AD1BB8" w:rsidRPr="00D247A3">
        <w:rPr>
          <w:rFonts w:cs="Arial"/>
          <w:sz w:val="24"/>
          <w:szCs w:val="24"/>
        </w:rPr>
        <w:t xml:space="preserve">P </w:t>
      </w:r>
      <w:r w:rsidR="001D3AFB" w:rsidRPr="00D247A3">
        <w:rPr>
          <w:rFonts w:cs="Arial"/>
          <w:sz w:val="24"/>
          <w:szCs w:val="24"/>
        </w:rPr>
        <w:t>L</w:t>
      </w:r>
      <w:r w:rsidR="001D3AFB" w:rsidRPr="00D247A3">
        <w:rPr>
          <w:rFonts w:cs="Arial"/>
          <w:sz w:val="24"/>
          <w:szCs w:val="24"/>
          <w:vertAlign w:val="superscript"/>
        </w:rPr>
        <w:t>-1</w:t>
      </w:r>
      <w:r w:rsidR="001D3AFB" w:rsidRPr="00D247A3">
        <w:rPr>
          <w:rFonts w:cs="Arial"/>
          <w:sz w:val="24"/>
          <w:szCs w:val="24"/>
        </w:rPr>
        <w:t>)</w:t>
      </w:r>
      <w:r w:rsidRPr="00D247A3">
        <w:rPr>
          <w:rFonts w:cs="Arial"/>
          <w:sz w:val="24"/>
          <w:szCs w:val="24"/>
        </w:rPr>
        <w:t xml:space="preserve"> el pH fue</w:t>
      </w:r>
      <w:r w:rsidR="001D3AFB" w:rsidRPr="00D247A3">
        <w:rPr>
          <w:rFonts w:cs="Arial"/>
          <w:sz w:val="24"/>
          <w:szCs w:val="24"/>
        </w:rPr>
        <w:t xml:space="preserve"> </w:t>
      </w:r>
      <w:r w:rsidRPr="00D247A3">
        <w:rPr>
          <w:rFonts w:cs="Arial"/>
          <w:sz w:val="24"/>
          <w:szCs w:val="24"/>
        </w:rPr>
        <w:t>significativamente mayor (</w:t>
      </w:r>
      <w:r w:rsidR="001D3AFB" w:rsidRPr="00D247A3">
        <w:rPr>
          <w:rFonts w:cs="Arial"/>
          <w:sz w:val="24"/>
          <w:szCs w:val="24"/>
        </w:rPr>
        <w:t>5.8, 5.5 y 5.6, respectivamente</w:t>
      </w:r>
      <w:r w:rsidRPr="00D247A3">
        <w:rPr>
          <w:rFonts w:cs="Arial"/>
          <w:sz w:val="24"/>
          <w:szCs w:val="24"/>
        </w:rPr>
        <w:t>)</w:t>
      </w:r>
      <w:r w:rsidR="001D3AFB" w:rsidRPr="00D247A3">
        <w:rPr>
          <w:rFonts w:cs="Arial"/>
          <w:sz w:val="24"/>
          <w:szCs w:val="24"/>
        </w:rPr>
        <w:t xml:space="preserve"> (</w:t>
      </w:r>
      <w:r w:rsidR="00F8149B" w:rsidRPr="00D247A3">
        <w:rPr>
          <w:rFonts w:cs="Arial"/>
          <w:sz w:val="24"/>
          <w:szCs w:val="24"/>
        </w:rPr>
        <w:t xml:space="preserve">figura </w:t>
      </w:r>
      <w:r w:rsidR="001D3AFB" w:rsidRPr="00D247A3">
        <w:rPr>
          <w:rFonts w:cs="Arial"/>
          <w:sz w:val="24"/>
          <w:szCs w:val="24"/>
        </w:rPr>
        <w:t>1</w:t>
      </w:r>
      <w:r w:rsidR="00CC37A5" w:rsidRPr="00D247A3">
        <w:rPr>
          <w:rFonts w:cs="Arial"/>
          <w:sz w:val="24"/>
          <w:szCs w:val="24"/>
        </w:rPr>
        <w:t>.(</w:t>
      </w:r>
      <w:r w:rsidRPr="00D247A3">
        <w:rPr>
          <w:rFonts w:cs="Arial"/>
          <w:sz w:val="24"/>
          <w:szCs w:val="24"/>
        </w:rPr>
        <w:t>A</w:t>
      </w:r>
      <w:r w:rsidR="001D3AFB" w:rsidRPr="00D247A3">
        <w:rPr>
          <w:rFonts w:cs="Arial"/>
          <w:sz w:val="24"/>
          <w:szCs w:val="24"/>
        </w:rPr>
        <w:t>)</w:t>
      </w:r>
      <w:r w:rsidR="0026446B" w:rsidRPr="00D247A3">
        <w:rPr>
          <w:rFonts w:cs="Arial"/>
          <w:sz w:val="24"/>
          <w:szCs w:val="24"/>
        </w:rPr>
        <w:t>)</w:t>
      </w:r>
      <w:r w:rsidR="001D3AFB" w:rsidRPr="00D247A3">
        <w:rPr>
          <w:rFonts w:cs="Arial"/>
          <w:sz w:val="24"/>
          <w:szCs w:val="24"/>
        </w:rPr>
        <w:t xml:space="preserve">. </w:t>
      </w:r>
    </w:p>
    <w:p w:rsidR="007E43F8" w:rsidRPr="00D247A3" w:rsidRDefault="00501268" w:rsidP="005836FE">
      <w:pPr>
        <w:spacing w:line="360" w:lineRule="auto"/>
        <w:jc w:val="both"/>
        <w:rPr>
          <w:rFonts w:cs="Arial"/>
          <w:sz w:val="24"/>
          <w:szCs w:val="24"/>
        </w:rPr>
      </w:pPr>
      <w:r w:rsidRPr="00D247A3">
        <w:rPr>
          <w:rFonts w:cs="Arial"/>
          <w:sz w:val="24"/>
          <w:szCs w:val="24"/>
        </w:rPr>
        <w:t xml:space="preserve">En los </w:t>
      </w:r>
      <w:r w:rsidR="00FD4A12" w:rsidRPr="00D247A3">
        <w:rPr>
          <w:rFonts w:cs="Arial"/>
          <w:sz w:val="24"/>
          <w:szCs w:val="24"/>
        </w:rPr>
        <w:t>controles</w:t>
      </w:r>
      <w:r w:rsidRPr="00D247A3">
        <w:rPr>
          <w:rFonts w:cs="Arial"/>
          <w:sz w:val="24"/>
          <w:szCs w:val="24"/>
        </w:rPr>
        <w:t>, si bien hubo P inicial soluble, no hubo P neto solubilizado (</w:t>
      </w:r>
      <w:r w:rsidR="00FD4A12" w:rsidRPr="00D247A3">
        <w:rPr>
          <w:rFonts w:cs="Arial"/>
          <w:sz w:val="24"/>
          <w:szCs w:val="24"/>
        </w:rPr>
        <w:t>:</w:t>
      </w:r>
      <w:r w:rsidRPr="00D247A3">
        <w:rPr>
          <w:rFonts w:cs="Arial"/>
          <w:sz w:val="24"/>
          <w:szCs w:val="24"/>
        </w:rPr>
        <w:t>0 mg L</w:t>
      </w:r>
      <w:r w:rsidRPr="00D247A3">
        <w:rPr>
          <w:rFonts w:cs="Arial"/>
          <w:sz w:val="24"/>
          <w:szCs w:val="24"/>
          <w:vertAlign w:val="superscript"/>
        </w:rPr>
        <w:t>-1</w:t>
      </w:r>
      <w:r w:rsidR="00FD4A12" w:rsidRPr="00D247A3">
        <w:rPr>
          <w:rFonts w:cs="Arial"/>
          <w:sz w:val="24"/>
          <w:szCs w:val="24"/>
        </w:rPr>
        <w:t xml:space="preserve">). </w:t>
      </w:r>
      <w:r w:rsidRPr="00D247A3">
        <w:rPr>
          <w:rFonts w:cs="Arial"/>
          <w:sz w:val="24"/>
          <w:szCs w:val="24"/>
        </w:rPr>
        <w:t>L</w:t>
      </w:r>
      <w:r w:rsidR="001D3AFB" w:rsidRPr="00D247A3">
        <w:rPr>
          <w:rFonts w:cs="Arial"/>
          <w:sz w:val="24"/>
          <w:szCs w:val="24"/>
        </w:rPr>
        <w:t xml:space="preserve">a </w:t>
      </w:r>
      <w:r w:rsidR="00FD4A12" w:rsidRPr="00D247A3">
        <w:rPr>
          <w:rFonts w:cs="Arial"/>
          <w:sz w:val="24"/>
          <w:szCs w:val="24"/>
        </w:rPr>
        <w:t>concentració</w:t>
      </w:r>
      <w:r w:rsidRPr="00D247A3">
        <w:rPr>
          <w:rFonts w:cs="Arial"/>
          <w:sz w:val="24"/>
          <w:szCs w:val="24"/>
        </w:rPr>
        <w:t>n de P soluble inicial afectó significativamente la concentración</w:t>
      </w:r>
      <w:r w:rsidR="00D76124" w:rsidRPr="00D247A3">
        <w:rPr>
          <w:rFonts w:cs="Arial"/>
          <w:sz w:val="24"/>
          <w:szCs w:val="24"/>
        </w:rPr>
        <w:t xml:space="preserve"> de P neto solubilizado (</w:t>
      </w:r>
      <w:r w:rsidR="00F8149B" w:rsidRPr="00D247A3">
        <w:rPr>
          <w:rFonts w:cs="Arial"/>
          <w:sz w:val="24"/>
          <w:szCs w:val="24"/>
        </w:rPr>
        <w:t xml:space="preserve">figura </w:t>
      </w:r>
      <w:r w:rsidR="00D76124" w:rsidRPr="00D247A3">
        <w:rPr>
          <w:rFonts w:cs="Arial"/>
          <w:sz w:val="24"/>
          <w:szCs w:val="24"/>
        </w:rPr>
        <w:t>1</w:t>
      </w:r>
      <w:r w:rsidR="00CC37A5" w:rsidRPr="00D247A3">
        <w:rPr>
          <w:rFonts w:cs="Arial"/>
          <w:sz w:val="24"/>
          <w:szCs w:val="24"/>
        </w:rPr>
        <w:t>.</w:t>
      </w:r>
      <w:r w:rsidRPr="00D247A3">
        <w:rPr>
          <w:rFonts w:cs="Arial"/>
          <w:sz w:val="24"/>
          <w:szCs w:val="24"/>
        </w:rPr>
        <w:t xml:space="preserve">). Por ejemplo, cuando no se adicionó </w:t>
      </w:r>
      <w:r w:rsidR="001D3AFB" w:rsidRPr="00D247A3">
        <w:rPr>
          <w:rFonts w:cs="Arial"/>
          <w:sz w:val="24"/>
          <w:szCs w:val="24"/>
        </w:rPr>
        <w:t>KH</w:t>
      </w:r>
      <w:r w:rsidR="001D3AFB" w:rsidRPr="00D247A3">
        <w:rPr>
          <w:rFonts w:cs="Arial"/>
          <w:sz w:val="24"/>
          <w:szCs w:val="24"/>
          <w:vertAlign w:val="subscript"/>
        </w:rPr>
        <w:t>2</w:t>
      </w:r>
      <w:r w:rsidR="001D3AFB" w:rsidRPr="00D247A3">
        <w:rPr>
          <w:rFonts w:cs="Arial"/>
          <w:sz w:val="24"/>
          <w:szCs w:val="24"/>
        </w:rPr>
        <w:t>PO</w:t>
      </w:r>
      <w:r w:rsidR="001D3AFB" w:rsidRPr="00D247A3">
        <w:rPr>
          <w:rFonts w:cs="Arial"/>
          <w:sz w:val="24"/>
          <w:szCs w:val="24"/>
          <w:vertAlign w:val="subscript"/>
        </w:rPr>
        <w:t>4</w:t>
      </w:r>
      <w:r w:rsidR="001D3AFB" w:rsidRPr="00D247A3">
        <w:rPr>
          <w:rFonts w:cs="Arial"/>
          <w:sz w:val="24"/>
          <w:szCs w:val="24"/>
        </w:rPr>
        <w:t xml:space="preserve"> </w:t>
      </w:r>
      <w:r w:rsidRPr="00D247A3">
        <w:rPr>
          <w:rFonts w:cs="Arial"/>
          <w:sz w:val="24"/>
          <w:szCs w:val="24"/>
        </w:rPr>
        <w:t>o se adicionó en bajas concentraciones (P soluble inicial</w:t>
      </w:r>
      <w:r w:rsidR="00FD4A12" w:rsidRPr="00D247A3">
        <w:rPr>
          <w:rFonts w:cs="Arial"/>
          <w:sz w:val="24"/>
          <w:szCs w:val="24"/>
        </w:rPr>
        <w:t>:</w:t>
      </w:r>
      <w:r w:rsidRPr="00D247A3">
        <w:rPr>
          <w:rFonts w:cs="Arial"/>
          <w:sz w:val="24"/>
          <w:szCs w:val="24"/>
        </w:rPr>
        <w:t xml:space="preserve"> 0</w:t>
      </w:r>
      <w:r w:rsidR="00CC37A5" w:rsidRPr="00D247A3">
        <w:rPr>
          <w:rFonts w:cs="Arial"/>
          <w:sz w:val="24"/>
          <w:szCs w:val="24"/>
        </w:rPr>
        <w:t xml:space="preserve"> a </w:t>
      </w:r>
      <w:r w:rsidRPr="00D247A3">
        <w:rPr>
          <w:rFonts w:cs="Arial"/>
          <w:sz w:val="24"/>
          <w:szCs w:val="24"/>
        </w:rPr>
        <w:t>5 mg</w:t>
      </w:r>
      <w:r w:rsidR="00AD1BB8" w:rsidRPr="00D247A3">
        <w:rPr>
          <w:rFonts w:cs="Arial"/>
          <w:sz w:val="24"/>
          <w:szCs w:val="24"/>
        </w:rPr>
        <w:t xml:space="preserve"> P </w:t>
      </w:r>
      <w:r w:rsidRPr="00D247A3">
        <w:rPr>
          <w:rFonts w:cs="Arial"/>
          <w:sz w:val="24"/>
          <w:szCs w:val="24"/>
        </w:rPr>
        <w:t>L</w:t>
      </w:r>
      <w:r w:rsidRPr="00D247A3">
        <w:rPr>
          <w:rFonts w:cs="Arial"/>
          <w:sz w:val="24"/>
          <w:szCs w:val="24"/>
          <w:vertAlign w:val="superscript"/>
        </w:rPr>
        <w:t>-1</w:t>
      </w:r>
      <w:r w:rsidRPr="00D247A3">
        <w:rPr>
          <w:rFonts w:cs="Arial"/>
          <w:sz w:val="24"/>
          <w:szCs w:val="24"/>
        </w:rPr>
        <w:t xml:space="preserve">), la concentración de P neto solubilizado por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proofErr w:type="spellEnd"/>
      <w:r w:rsidRPr="00D247A3">
        <w:rPr>
          <w:rFonts w:cs="Arial"/>
          <w:sz w:val="24"/>
          <w:szCs w:val="24"/>
        </w:rPr>
        <w:t xml:space="preserve"> fue en promedio de </w:t>
      </w:r>
      <w:r w:rsidR="001D3AFB" w:rsidRPr="00D247A3">
        <w:rPr>
          <w:rFonts w:cs="Arial"/>
          <w:sz w:val="24"/>
          <w:szCs w:val="24"/>
        </w:rPr>
        <w:t xml:space="preserve">54.9 mg </w:t>
      </w:r>
      <w:r w:rsidR="00AD1BB8" w:rsidRPr="00D247A3">
        <w:rPr>
          <w:rFonts w:cs="Arial"/>
          <w:sz w:val="24"/>
          <w:szCs w:val="24"/>
        </w:rPr>
        <w:t xml:space="preserve">P </w:t>
      </w:r>
      <w:r w:rsidR="001D3AFB" w:rsidRPr="00D247A3">
        <w:rPr>
          <w:rFonts w:cs="Arial"/>
          <w:sz w:val="24"/>
          <w:szCs w:val="24"/>
        </w:rPr>
        <w:t>L</w:t>
      </w:r>
      <w:r w:rsidR="001D3AFB" w:rsidRPr="00D247A3">
        <w:rPr>
          <w:rFonts w:cs="Arial"/>
          <w:sz w:val="24"/>
          <w:szCs w:val="24"/>
          <w:vertAlign w:val="superscript"/>
        </w:rPr>
        <w:t>-1</w:t>
      </w:r>
      <w:r w:rsidRPr="00D247A3">
        <w:rPr>
          <w:rFonts w:cs="Arial"/>
          <w:sz w:val="24"/>
          <w:szCs w:val="24"/>
        </w:rPr>
        <w:t xml:space="preserve"> (no hubo diferencias significativas).</w:t>
      </w:r>
      <w:r w:rsidR="001D3AFB" w:rsidRPr="00D247A3">
        <w:rPr>
          <w:rFonts w:cs="Arial"/>
          <w:sz w:val="24"/>
          <w:szCs w:val="24"/>
        </w:rPr>
        <w:t xml:space="preserve"> </w:t>
      </w:r>
      <w:r w:rsidR="00335959" w:rsidRPr="00D247A3">
        <w:rPr>
          <w:rFonts w:cs="Arial"/>
          <w:sz w:val="24"/>
          <w:szCs w:val="24"/>
        </w:rPr>
        <w:t xml:space="preserve">Con </w:t>
      </w:r>
      <w:r w:rsidRPr="00D247A3">
        <w:rPr>
          <w:rFonts w:cs="Arial"/>
          <w:sz w:val="24"/>
          <w:szCs w:val="24"/>
        </w:rPr>
        <w:t xml:space="preserve">concentraciones </w:t>
      </w:r>
      <w:r w:rsidR="00335959" w:rsidRPr="00D247A3">
        <w:rPr>
          <w:rFonts w:cs="Arial"/>
          <w:sz w:val="24"/>
          <w:szCs w:val="24"/>
        </w:rPr>
        <w:t>de P</w:t>
      </w:r>
      <w:r w:rsidR="008F4597" w:rsidRPr="00D247A3">
        <w:rPr>
          <w:rFonts w:cs="Arial"/>
          <w:sz w:val="24"/>
          <w:szCs w:val="24"/>
        </w:rPr>
        <w:t xml:space="preserve"> </w:t>
      </w:r>
      <w:r w:rsidR="001D3AFB" w:rsidRPr="00D247A3">
        <w:rPr>
          <w:rFonts w:cs="Arial"/>
          <w:sz w:val="24"/>
          <w:szCs w:val="24"/>
        </w:rPr>
        <w:t xml:space="preserve">inicial de 10, 50 y 100 mg </w:t>
      </w:r>
      <w:r w:rsidR="00AD1BB8" w:rsidRPr="00D247A3">
        <w:rPr>
          <w:rFonts w:cs="Arial"/>
          <w:sz w:val="24"/>
          <w:szCs w:val="24"/>
        </w:rPr>
        <w:t xml:space="preserve">P </w:t>
      </w:r>
      <w:r w:rsidR="001D3AFB" w:rsidRPr="00D247A3">
        <w:rPr>
          <w:rFonts w:cs="Arial"/>
          <w:sz w:val="24"/>
          <w:szCs w:val="24"/>
        </w:rPr>
        <w:t>L</w:t>
      </w:r>
      <w:r w:rsidR="001D3AFB" w:rsidRPr="00D247A3">
        <w:rPr>
          <w:rFonts w:cs="Arial"/>
          <w:sz w:val="24"/>
          <w:szCs w:val="24"/>
          <w:vertAlign w:val="superscript"/>
        </w:rPr>
        <w:t>-1</w:t>
      </w:r>
      <w:r w:rsidR="00335959" w:rsidRPr="00D247A3">
        <w:rPr>
          <w:rFonts w:cs="Arial"/>
          <w:sz w:val="24"/>
          <w:szCs w:val="24"/>
        </w:rPr>
        <w:t xml:space="preserve"> el nivel de P</w:t>
      </w:r>
      <w:r w:rsidR="001D3AFB" w:rsidRPr="00D247A3">
        <w:rPr>
          <w:rFonts w:cs="Arial"/>
          <w:sz w:val="24"/>
          <w:szCs w:val="24"/>
        </w:rPr>
        <w:t xml:space="preserve"> </w:t>
      </w:r>
      <w:r w:rsidRPr="00D247A3">
        <w:rPr>
          <w:rFonts w:cs="Arial"/>
          <w:sz w:val="24"/>
          <w:szCs w:val="24"/>
        </w:rPr>
        <w:t xml:space="preserve">neto solubilizado </w:t>
      </w:r>
      <w:r w:rsidR="001D3AFB" w:rsidRPr="00D247A3">
        <w:rPr>
          <w:rFonts w:cs="Arial"/>
          <w:sz w:val="24"/>
          <w:szCs w:val="24"/>
        </w:rPr>
        <w:t>al final de la incubación fue de 29.0, 1.1 y 0</w:t>
      </w:r>
      <w:r w:rsidR="007E43F8" w:rsidRPr="00D247A3">
        <w:rPr>
          <w:rFonts w:cs="Arial"/>
          <w:sz w:val="24"/>
          <w:szCs w:val="24"/>
        </w:rPr>
        <w:t>.0</w:t>
      </w:r>
      <w:r w:rsidR="001D3AFB" w:rsidRPr="00D247A3">
        <w:rPr>
          <w:rFonts w:cs="Arial"/>
          <w:sz w:val="24"/>
          <w:szCs w:val="24"/>
        </w:rPr>
        <w:t xml:space="preserve"> mg </w:t>
      </w:r>
      <w:r w:rsidR="00AD1BB8" w:rsidRPr="00D247A3">
        <w:rPr>
          <w:rFonts w:cs="Arial"/>
          <w:sz w:val="24"/>
          <w:szCs w:val="24"/>
        </w:rPr>
        <w:t xml:space="preserve">P </w:t>
      </w:r>
      <w:r w:rsidR="001D3AFB" w:rsidRPr="00D247A3">
        <w:rPr>
          <w:rFonts w:cs="Arial"/>
          <w:sz w:val="24"/>
          <w:szCs w:val="24"/>
        </w:rPr>
        <w:t>L</w:t>
      </w:r>
      <w:r w:rsidR="001D3AFB" w:rsidRPr="00D247A3">
        <w:rPr>
          <w:rFonts w:cs="Arial"/>
          <w:sz w:val="24"/>
          <w:szCs w:val="24"/>
          <w:vertAlign w:val="superscript"/>
        </w:rPr>
        <w:t>-1</w:t>
      </w:r>
      <w:r w:rsidR="001D3AFB" w:rsidRPr="00D247A3">
        <w:rPr>
          <w:rFonts w:cs="Arial"/>
          <w:sz w:val="24"/>
          <w:szCs w:val="24"/>
        </w:rPr>
        <w:t>,</w:t>
      </w:r>
      <w:r w:rsidR="001D3AFB" w:rsidRPr="00D247A3">
        <w:rPr>
          <w:rFonts w:cs="Arial"/>
          <w:sz w:val="24"/>
          <w:szCs w:val="24"/>
          <w:vertAlign w:val="superscript"/>
        </w:rPr>
        <w:t xml:space="preserve"> </w:t>
      </w:r>
      <w:r w:rsidR="001D3AFB" w:rsidRPr="00D247A3">
        <w:rPr>
          <w:rFonts w:cs="Arial"/>
          <w:sz w:val="24"/>
          <w:szCs w:val="24"/>
        </w:rPr>
        <w:t xml:space="preserve">respectivamente, </w:t>
      </w:r>
      <w:r w:rsidR="007E43F8" w:rsidRPr="00D247A3">
        <w:rPr>
          <w:rFonts w:cs="Arial"/>
          <w:sz w:val="24"/>
          <w:szCs w:val="24"/>
        </w:rPr>
        <w:t>entre ellos se presentaron dif</w:t>
      </w:r>
      <w:r w:rsidR="00D76124" w:rsidRPr="00D247A3">
        <w:rPr>
          <w:rFonts w:cs="Arial"/>
          <w:sz w:val="24"/>
          <w:szCs w:val="24"/>
        </w:rPr>
        <w:t>erencias significativas (</w:t>
      </w:r>
      <w:r w:rsidR="00C85987" w:rsidRPr="00D247A3">
        <w:rPr>
          <w:rFonts w:cs="Arial"/>
          <w:sz w:val="24"/>
          <w:szCs w:val="24"/>
        </w:rPr>
        <w:t xml:space="preserve">figura </w:t>
      </w:r>
      <w:r w:rsidR="00D76124" w:rsidRPr="00D247A3">
        <w:rPr>
          <w:rFonts w:cs="Arial"/>
          <w:sz w:val="24"/>
          <w:szCs w:val="24"/>
        </w:rPr>
        <w:t>1</w:t>
      </w:r>
      <w:r w:rsidR="00CC37A5" w:rsidRPr="00D247A3">
        <w:rPr>
          <w:rFonts w:cs="Arial"/>
          <w:sz w:val="24"/>
          <w:szCs w:val="24"/>
        </w:rPr>
        <w:t>.</w:t>
      </w:r>
      <w:r w:rsidR="007E43F8" w:rsidRPr="00D247A3">
        <w:rPr>
          <w:rFonts w:cs="Arial"/>
          <w:sz w:val="24"/>
          <w:szCs w:val="24"/>
        </w:rPr>
        <w:t>).</w:t>
      </w:r>
    </w:p>
    <w:p w:rsidR="001D3AFB" w:rsidRPr="00D247A3" w:rsidRDefault="005E4DF2" w:rsidP="005836FE">
      <w:pPr>
        <w:spacing w:line="360" w:lineRule="auto"/>
        <w:jc w:val="both"/>
        <w:rPr>
          <w:rFonts w:cs="Arial"/>
          <w:sz w:val="24"/>
          <w:szCs w:val="24"/>
        </w:rPr>
      </w:pPr>
      <w:r w:rsidRPr="00D247A3">
        <w:rPr>
          <w:rFonts w:cs="Arial"/>
          <w:b/>
          <w:sz w:val="24"/>
          <w:szCs w:val="24"/>
        </w:rPr>
        <w:t>Fig</w:t>
      </w:r>
      <w:r w:rsidR="00242A98" w:rsidRPr="00D247A3">
        <w:rPr>
          <w:rFonts w:cs="Arial"/>
          <w:b/>
          <w:sz w:val="24"/>
          <w:szCs w:val="24"/>
        </w:rPr>
        <w:t>ura</w:t>
      </w:r>
      <w:r w:rsidR="001D3AFB" w:rsidRPr="00D247A3">
        <w:rPr>
          <w:rFonts w:cs="Arial"/>
          <w:b/>
          <w:sz w:val="24"/>
          <w:szCs w:val="24"/>
        </w:rPr>
        <w:t xml:space="preserve"> 1.</w:t>
      </w:r>
      <w:r w:rsidR="001D3AFB" w:rsidRPr="00D247A3">
        <w:rPr>
          <w:rFonts w:cs="Arial"/>
          <w:sz w:val="24"/>
          <w:szCs w:val="24"/>
        </w:rPr>
        <w:t xml:space="preserve"> (</w:t>
      </w:r>
      <w:r w:rsidR="008247B2" w:rsidRPr="00D247A3">
        <w:rPr>
          <w:rFonts w:cs="Arial"/>
          <w:sz w:val="24"/>
          <w:szCs w:val="24"/>
        </w:rPr>
        <w:t>A</w:t>
      </w:r>
      <w:r w:rsidR="001D3AFB" w:rsidRPr="00D247A3">
        <w:rPr>
          <w:rFonts w:cs="Arial"/>
          <w:sz w:val="24"/>
          <w:szCs w:val="24"/>
        </w:rPr>
        <w:t>) pH de la solució</w:t>
      </w:r>
      <w:r w:rsidR="00335959" w:rsidRPr="00D247A3">
        <w:rPr>
          <w:rFonts w:cs="Arial"/>
          <w:sz w:val="24"/>
          <w:szCs w:val="24"/>
        </w:rPr>
        <w:t xml:space="preserve">n en función de la </w:t>
      </w:r>
      <w:r w:rsidR="00D76124" w:rsidRPr="00D247A3">
        <w:rPr>
          <w:rFonts w:cs="Arial"/>
          <w:sz w:val="24"/>
          <w:szCs w:val="24"/>
        </w:rPr>
        <w:t>c</w:t>
      </w:r>
      <w:r w:rsidR="002761E4" w:rsidRPr="00D247A3">
        <w:rPr>
          <w:rFonts w:cs="Arial"/>
          <w:sz w:val="24"/>
          <w:szCs w:val="24"/>
        </w:rPr>
        <w:t>o</w:t>
      </w:r>
      <w:r w:rsidR="00D76124" w:rsidRPr="00D247A3">
        <w:rPr>
          <w:rFonts w:cs="Arial"/>
          <w:sz w:val="24"/>
          <w:szCs w:val="24"/>
        </w:rPr>
        <w:t>nce</w:t>
      </w:r>
      <w:r w:rsidR="002761E4" w:rsidRPr="00D247A3">
        <w:rPr>
          <w:rFonts w:cs="Arial"/>
          <w:sz w:val="24"/>
          <w:szCs w:val="24"/>
        </w:rPr>
        <w:t>n</w:t>
      </w:r>
      <w:r w:rsidR="00D76124" w:rsidRPr="00D247A3">
        <w:rPr>
          <w:rFonts w:cs="Arial"/>
          <w:sz w:val="24"/>
          <w:szCs w:val="24"/>
        </w:rPr>
        <w:t xml:space="preserve">tración de </w:t>
      </w:r>
      <w:r w:rsidR="00335959" w:rsidRPr="00D247A3">
        <w:rPr>
          <w:rFonts w:cs="Arial"/>
          <w:sz w:val="24"/>
          <w:szCs w:val="24"/>
        </w:rPr>
        <w:t>P inicial en el medio y (</w:t>
      </w:r>
      <w:r w:rsidR="0003783B" w:rsidRPr="00D247A3">
        <w:rPr>
          <w:rFonts w:cs="Arial"/>
          <w:sz w:val="24"/>
          <w:szCs w:val="24"/>
        </w:rPr>
        <w:t>B</w:t>
      </w:r>
      <w:r w:rsidR="00335959" w:rsidRPr="00D247A3">
        <w:rPr>
          <w:rFonts w:cs="Arial"/>
          <w:sz w:val="24"/>
          <w:szCs w:val="24"/>
        </w:rPr>
        <w:t>) P</w:t>
      </w:r>
      <w:r w:rsidR="001D3AFB" w:rsidRPr="00D247A3">
        <w:rPr>
          <w:rFonts w:cs="Arial"/>
          <w:sz w:val="24"/>
          <w:szCs w:val="24"/>
        </w:rPr>
        <w:t xml:space="preserve"> neto en la solución (mg L</w:t>
      </w:r>
      <w:r w:rsidR="001D3AFB" w:rsidRPr="00D247A3">
        <w:rPr>
          <w:rFonts w:cs="Arial"/>
          <w:sz w:val="24"/>
          <w:szCs w:val="24"/>
          <w:vertAlign w:val="superscript"/>
        </w:rPr>
        <w:t>-1</w:t>
      </w:r>
      <w:r w:rsidR="001D3AFB" w:rsidRPr="00D247A3">
        <w:rPr>
          <w:rFonts w:cs="Arial"/>
          <w:sz w:val="24"/>
          <w:szCs w:val="24"/>
        </w:rPr>
        <w:t xml:space="preserve">), inoculados con </w:t>
      </w:r>
      <w:proofErr w:type="spellStart"/>
      <w:r w:rsidR="001D3AFB" w:rsidRPr="00D247A3">
        <w:rPr>
          <w:rFonts w:cs="Arial"/>
          <w:i/>
          <w:sz w:val="24"/>
          <w:szCs w:val="24"/>
        </w:rPr>
        <w:t>Mortierella</w:t>
      </w:r>
      <w:proofErr w:type="spellEnd"/>
      <w:r w:rsidR="001D3AFB" w:rsidRPr="00D247A3">
        <w:rPr>
          <w:rFonts w:cs="Arial"/>
          <w:sz w:val="24"/>
          <w:szCs w:val="24"/>
        </w:rPr>
        <w:t xml:space="preserve"> </w:t>
      </w:r>
      <w:proofErr w:type="spellStart"/>
      <w:r w:rsidR="001D3AFB" w:rsidRPr="00D247A3">
        <w:rPr>
          <w:rFonts w:cs="Arial"/>
          <w:sz w:val="24"/>
          <w:szCs w:val="24"/>
        </w:rPr>
        <w:t>sp</w:t>
      </w:r>
      <w:r w:rsidR="00335959" w:rsidRPr="00D247A3">
        <w:rPr>
          <w:rFonts w:cs="Arial"/>
          <w:sz w:val="24"/>
          <w:szCs w:val="24"/>
        </w:rPr>
        <w:t>.</w:t>
      </w:r>
      <w:proofErr w:type="spellEnd"/>
      <w:r w:rsidR="00335959" w:rsidRPr="00D247A3">
        <w:rPr>
          <w:rFonts w:cs="Arial"/>
          <w:sz w:val="24"/>
          <w:szCs w:val="24"/>
        </w:rPr>
        <w:t xml:space="preserve"> (P neto: P solubilizado de la RP-P</w:t>
      </w:r>
      <w:r w:rsidR="001D3AFB" w:rsidRPr="00D247A3">
        <w:rPr>
          <w:rFonts w:cs="Arial"/>
          <w:sz w:val="24"/>
          <w:szCs w:val="24"/>
        </w:rPr>
        <w:t xml:space="preserve"> adicionado como KH</w:t>
      </w:r>
      <w:r w:rsidR="001D3AFB" w:rsidRPr="00D247A3">
        <w:rPr>
          <w:rFonts w:cs="Arial"/>
          <w:sz w:val="24"/>
          <w:szCs w:val="24"/>
          <w:vertAlign w:val="subscript"/>
        </w:rPr>
        <w:t>2</w:t>
      </w:r>
      <w:r w:rsidR="001D3AFB" w:rsidRPr="00D247A3">
        <w:rPr>
          <w:rFonts w:cs="Arial"/>
          <w:sz w:val="24"/>
          <w:szCs w:val="24"/>
        </w:rPr>
        <w:t>PO</w:t>
      </w:r>
      <w:r w:rsidR="001D3AFB" w:rsidRPr="00D247A3">
        <w:rPr>
          <w:rFonts w:cs="Arial"/>
          <w:sz w:val="24"/>
          <w:szCs w:val="24"/>
          <w:vertAlign w:val="subscript"/>
        </w:rPr>
        <w:t>4</w:t>
      </w:r>
      <w:r w:rsidR="001D3AFB" w:rsidRPr="00D247A3">
        <w:rPr>
          <w:rFonts w:cs="Arial"/>
          <w:sz w:val="24"/>
          <w:szCs w:val="24"/>
        </w:rPr>
        <w:t>). Cada columna representa el promedio de cuatro repeticiones. Las barras indican la desviación estándar. Columnas con las letras minúsculas diferentes indican diferencia</w:t>
      </w:r>
      <w:r w:rsidR="0026446B" w:rsidRPr="00D247A3">
        <w:rPr>
          <w:rFonts w:cs="Arial"/>
          <w:sz w:val="24"/>
          <w:szCs w:val="24"/>
        </w:rPr>
        <w:t>s</w:t>
      </w:r>
      <w:r w:rsidR="001D3AFB" w:rsidRPr="00D247A3">
        <w:rPr>
          <w:rFonts w:cs="Arial"/>
          <w:sz w:val="24"/>
          <w:szCs w:val="24"/>
        </w:rPr>
        <w:t xml:space="preserve"> significativa</w:t>
      </w:r>
      <w:r w:rsidR="0026446B" w:rsidRPr="00D247A3">
        <w:rPr>
          <w:rFonts w:cs="Arial"/>
          <w:sz w:val="24"/>
          <w:szCs w:val="24"/>
        </w:rPr>
        <w:t>s</w:t>
      </w:r>
      <w:r w:rsidR="001D3AFB" w:rsidRPr="00D247A3">
        <w:rPr>
          <w:rFonts w:cs="Arial"/>
          <w:sz w:val="24"/>
          <w:szCs w:val="24"/>
        </w:rPr>
        <w:t xml:space="preserve"> de los tratamientos según la prueba de Duncan (</w:t>
      </w:r>
      <w:r w:rsidR="001D3AFB" w:rsidRPr="00D247A3">
        <w:rPr>
          <w:rFonts w:cs="Arial"/>
          <w:i/>
          <w:sz w:val="24"/>
          <w:szCs w:val="24"/>
        </w:rPr>
        <w:t>P</w:t>
      </w:r>
      <w:r w:rsidR="001D3AFB" w:rsidRPr="00D247A3">
        <w:rPr>
          <w:rFonts w:cs="Arial"/>
          <w:sz w:val="24"/>
          <w:szCs w:val="24"/>
        </w:rPr>
        <w:t xml:space="preserve">≤0.05). </w:t>
      </w:r>
    </w:p>
    <w:p w:rsidR="007E71D9" w:rsidRPr="00D247A3" w:rsidRDefault="008F4597" w:rsidP="005836FE">
      <w:pPr>
        <w:spacing w:line="360" w:lineRule="auto"/>
        <w:jc w:val="both"/>
        <w:rPr>
          <w:rFonts w:cs="Arial"/>
          <w:sz w:val="24"/>
          <w:szCs w:val="24"/>
        </w:rPr>
      </w:pPr>
      <w:r w:rsidRPr="00D247A3">
        <w:rPr>
          <w:rFonts w:cs="Arial"/>
          <w:sz w:val="24"/>
          <w:szCs w:val="24"/>
        </w:rPr>
        <w:t>L</w:t>
      </w:r>
      <w:r w:rsidR="001D3AFB" w:rsidRPr="00D247A3">
        <w:rPr>
          <w:rFonts w:cs="Arial"/>
          <w:sz w:val="24"/>
          <w:szCs w:val="24"/>
        </w:rPr>
        <w:t xml:space="preserve">a adición de vitaminas y micronutrientes no presentó </w:t>
      </w:r>
      <w:r w:rsidRPr="00D247A3">
        <w:rPr>
          <w:rFonts w:cs="Arial"/>
          <w:sz w:val="24"/>
          <w:szCs w:val="24"/>
        </w:rPr>
        <w:t xml:space="preserve">un </w:t>
      </w:r>
      <w:r w:rsidR="001D3AFB" w:rsidRPr="00D247A3">
        <w:rPr>
          <w:rFonts w:cs="Arial"/>
          <w:sz w:val="24"/>
          <w:szCs w:val="24"/>
        </w:rPr>
        <w:t>efecto significativo en el pH (3.1) del medio (</w:t>
      </w:r>
      <w:r w:rsidR="00C85987" w:rsidRPr="00D247A3">
        <w:rPr>
          <w:rFonts w:cs="Arial"/>
          <w:sz w:val="24"/>
          <w:szCs w:val="24"/>
        </w:rPr>
        <w:t xml:space="preserve">figura </w:t>
      </w:r>
      <w:r w:rsidR="00335959" w:rsidRPr="00D247A3">
        <w:rPr>
          <w:rFonts w:cs="Arial"/>
          <w:sz w:val="24"/>
          <w:szCs w:val="24"/>
        </w:rPr>
        <w:t>2</w:t>
      </w:r>
      <w:r w:rsidR="00CC37A5" w:rsidRPr="00D247A3">
        <w:rPr>
          <w:rFonts w:cs="Arial"/>
          <w:sz w:val="24"/>
          <w:szCs w:val="24"/>
        </w:rPr>
        <w:t>.(</w:t>
      </w:r>
      <w:r w:rsidR="004D7AE6" w:rsidRPr="00D247A3">
        <w:rPr>
          <w:rFonts w:cs="Arial"/>
          <w:sz w:val="24"/>
          <w:szCs w:val="24"/>
        </w:rPr>
        <w:t>A</w:t>
      </w:r>
      <w:r w:rsidR="00CC37A5" w:rsidRPr="00D247A3">
        <w:rPr>
          <w:rFonts w:cs="Arial"/>
          <w:sz w:val="24"/>
          <w:szCs w:val="24"/>
        </w:rPr>
        <w:t>)</w:t>
      </w:r>
      <w:r w:rsidR="001D3AFB" w:rsidRPr="00D247A3">
        <w:rPr>
          <w:rFonts w:cs="Arial"/>
          <w:sz w:val="24"/>
          <w:szCs w:val="24"/>
        </w:rPr>
        <w:t>); sin embargo, el aumento de e</w:t>
      </w:r>
      <w:r w:rsidR="00335959" w:rsidRPr="00D247A3">
        <w:rPr>
          <w:rFonts w:cs="Arial"/>
          <w:sz w:val="24"/>
          <w:szCs w:val="24"/>
        </w:rPr>
        <w:t>stos disminuyó la cantidad de P</w:t>
      </w:r>
      <w:r w:rsidR="001D3AFB" w:rsidRPr="00D247A3">
        <w:rPr>
          <w:rFonts w:cs="Arial"/>
          <w:sz w:val="24"/>
          <w:szCs w:val="24"/>
        </w:rPr>
        <w:t xml:space="preserve"> en solución (</w:t>
      </w:r>
      <w:r w:rsidR="00C85987" w:rsidRPr="00D247A3">
        <w:rPr>
          <w:rFonts w:cs="Arial"/>
          <w:sz w:val="24"/>
          <w:szCs w:val="24"/>
        </w:rPr>
        <w:t xml:space="preserve">figura </w:t>
      </w:r>
      <w:r w:rsidR="00335959" w:rsidRPr="00D247A3">
        <w:rPr>
          <w:rFonts w:cs="Arial"/>
          <w:sz w:val="24"/>
          <w:szCs w:val="24"/>
        </w:rPr>
        <w:t>2</w:t>
      </w:r>
      <w:r w:rsidR="00CC37A5" w:rsidRPr="00D247A3">
        <w:rPr>
          <w:rFonts w:cs="Arial"/>
          <w:sz w:val="24"/>
          <w:szCs w:val="24"/>
        </w:rPr>
        <w:t>.(</w:t>
      </w:r>
      <w:r w:rsidR="004D7AE6" w:rsidRPr="00D247A3">
        <w:rPr>
          <w:rFonts w:cs="Arial"/>
          <w:sz w:val="24"/>
          <w:szCs w:val="24"/>
        </w:rPr>
        <w:t>B</w:t>
      </w:r>
      <w:r w:rsidR="001D3AFB" w:rsidRPr="00D247A3">
        <w:rPr>
          <w:rFonts w:cs="Arial"/>
          <w:sz w:val="24"/>
          <w:szCs w:val="24"/>
        </w:rPr>
        <w:t>)</w:t>
      </w:r>
      <w:r w:rsidR="00CC37A5" w:rsidRPr="00D247A3">
        <w:rPr>
          <w:rFonts w:cs="Arial"/>
          <w:sz w:val="24"/>
          <w:szCs w:val="24"/>
        </w:rPr>
        <w:t>)</w:t>
      </w:r>
      <w:r w:rsidR="0026446B" w:rsidRPr="00D247A3">
        <w:rPr>
          <w:rFonts w:cs="Arial"/>
          <w:sz w:val="24"/>
          <w:szCs w:val="24"/>
        </w:rPr>
        <w:t xml:space="preserve"> el cual fue significativo </w:t>
      </w:r>
      <w:proofErr w:type="spellStart"/>
      <w:r w:rsidR="0026446B" w:rsidRPr="00D247A3">
        <w:rPr>
          <w:rFonts w:cs="Arial"/>
          <w:sz w:val="24"/>
          <w:szCs w:val="24"/>
        </w:rPr>
        <w:t>estadisticamente</w:t>
      </w:r>
      <w:proofErr w:type="spellEnd"/>
      <w:r w:rsidR="0026446B" w:rsidRPr="00D247A3">
        <w:rPr>
          <w:rFonts w:cs="Arial"/>
          <w:sz w:val="24"/>
          <w:szCs w:val="24"/>
        </w:rPr>
        <w:t xml:space="preserve"> para </w:t>
      </w:r>
      <w:proofErr w:type="spellStart"/>
      <w:r w:rsidR="0026446B" w:rsidRPr="00D247A3">
        <w:rPr>
          <w:rFonts w:cs="Arial"/>
          <w:sz w:val="24"/>
          <w:szCs w:val="24"/>
        </w:rPr>
        <w:t>micronutreintes</w:t>
      </w:r>
      <w:proofErr w:type="spellEnd"/>
      <w:r w:rsidR="0026446B" w:rsidRPr="00D247A3">
        <w:rPr>
          <w:rFonts w:cs="Arial"/>
          <w:sz w:val="24"/>
          <w:szCs w:val="24"/>
        </w:rPr>
        <w:t xml:space="preserve"> y </w:t>
      </w:r>
      <w:r w:rsidR="0026446B" w:rsidRPr="00D247A3">
        <w:rPr>
          <w:rFonts w:cs="Arial"/>
          <w:strike/>
          <w:sz w:val="24"/>
          <w:szCs w:val="24"/>
        </w:rPr>
        <w:t xml:space="preserve">pero </w:t>
      </w:r>
      <w:r w:rsidR="0026446B" w:rsidRPr="00D247A3">
        <w:rPr>
          <w:rFonts w:cs="Arial"/>
          <w:sz w:val="24"/>
          <w:szCs w:val="24"/>
        </w:rPr>
        <w:t>no lo fue para la adición de vitaminas</w:t>
      </w:r>
      <w:r w:rsidR="001D3AFB" w:rsidRPr="00D247A3">
        <w:rPr>
          <w:rFonts w:cs="Arial"/>
          <w:sz w:val="24"/>
          <w:szCs w:val="24"/>
        </w:rPr>
        <w:t>. Se puede observar una di</w:t>
      </w:r>
      <w:r w:rsidR="0026446B" w:rsidRPr="00D247A3">
        <w:rPr>
          <w:rFonts w:cs="Arial"/>
          <w:sz w:val="24"/>
          <w:szCs w:val="24"/>
        </w:rPr>
        <w:t>s</w:t>
      </w:r>
      <w:r w:rsidR="001D3AFB" w:rsidRPr="00D247A3">
        <w:rPr>
          <w:rFonts w:cs="Arial"/>
          <w:sz w:val="24"/>
          <w:szCs w:val="24"/>
        </w:rPr>
        <w:t>mi</w:t>
      </w:r>
      <w:r w:rsidR="00335959" w:rsidRPr="00D247A3">
        <w:rPr>
          <w:rFonts w:cs="Arial"/>
          <w:sz w:val="24"/>
          <w:szCs w:val="24"/>
        </w:rPr>
        <w:t>nución en la concentración de P</w:t>
      </w:r>
      <w:r w:rsidR="001D3AFB" w:rsidRPr="00D247A3">
        <w:rPr>
          <w:rFonts w:cs="Arial"/>
          <w:sz w:val="24"/>
          <w:szCs w:val="24"/>
        </w:rPr>
        <w:t xml:space="preserve"> en solución de 88.3 mg L</w:t>
      </w:r>
      <w:r w:rsidR="001D3AFB" w:rsidRPr="00D247A3">
        <w:rPr>
          <w:rFonts w:cs="Arial"/>
          <w:sz w:val="24"/>
          <w:szCs w:val="24"/>
          <w:vertAlign w:val="superscript"/>
        </w:rPr>
        <w:t>-1</w:t>
      </w:r>
      <w:r w:rsidR="001D3AFB" w:rsidRPr="00D247A3">
        <w:rPr>
          <w:rFonts w:cs="Arial"/>
          <w:sz w:val="24"/>
          <w:szCs w:val="24"/>
        </w:rPr>
        <w:t xml:space="preserve"> sin vitaminas ni </w:t>
      </w:r>
      <w:r w:rsidR="001D3AFB" w:rsidRPr="00D247A3">
        <w:rPr>
          <w:rFonts w:cs="Arial"/>
          <w:sz w:val="24"/>
          <w:szCs w:val="24"/>
        </w:rPr>
        <w:lastRenderedPageBreak/>
        <w:t>micronutrientes a 74.</w:t>
      </w:r>
      <w:r w:rsidR="00AD1BB8" w:rsidRPr="00D247A3">
        <w:rPr>
          <w:rFonts w:cs="Arial"/>
          <w:sz w:val="24"/>
          <w:szCs w:val="24"/>
        </w:rPr>
        <w:t>1</w:t>
      </w:r>
      <w:r w:rsidR="001D3AFB" w:rsidRPr="00D247A3">
        <w:rPr>
          <w:rFonts w:cs="Arial"/>
          <w:sz w:val="24"/>
          <w:szCs w:val="24"/>
        </w:rPr>
        <w:t xml:space="preserve"> mg L</w:t>
      </w:r>
      <w:r w:rsidR="001D3AFB" w:rsidRPr="00D247A3">
        <w:rPr>
          <w:rFonts w:cs="Arial"/>
          <w:sz w:val="24"/>
          <w:szCs w:val="24"/>
          <w:vertAlign w:val="superscript"/>
        </w:rPr>
        <w:t>-1</w:t>
      </w:r>
      <w:r w:rsidR="001D3AFB" w:rsidRPr="00D247A3">
        <w:rPr>
          <w:rFonts w:cs="Arial"/>
          <w:sz w:val="24"/>
          <w:szCs w:val="24"/>
        </w:rPr>
        <w:t xml:space="preserve"> con la adición de vitaminas y 69.</w:t>
      </w:r>
      <w:r w:rsidR="00AD1BB8" w:rsidRPr="00D247A3">
        <w:rPr>
          <w:rFonts w:cs="Arial"/>
          <w:sz w:val="24"/>
          <w:szCs w:val="24"/>
        </w:rPr>
        <w:t>5</w:t>
      </w:r>
      <w:r w:rsidR="001D3AFB" w:rsidRPr="00D247A3">
        <w:rPr>
          <w:rFonts w:cs="Arial"/>
          <w:sz w:val="24"/>
          <w:szCs w:val="24"/>
        </w:rPr>
        <w:t xml:space="preserve"> mg L</w:t>
      </w:r>
      <w:r w:rsidR="001D3AFB" w:rsidRPr="00D247A3">
        <w:rPr>
          <w:rFonts w:cs="Arial"/>
          <w:sz w:val="24"/>
          <w:szCs w:val="24"/>
          <w:vertAlign w:val="superscript"/>
        </w:rPr>
        <w:t>-1</w:t>
      </w:r>
      <w:r w:rsidR="001D3AFB" w:rsidRPr="00D247A3">
        <w:rPr>
          <w:rFonts w:cs="Arial"/>
          <w:sz w:val="24"/>
          <w:szCs w:val="24"/>
        </w:rPr>
        <w:t xml:space="preserve"> con la adición de micronutrientes.</w:t>
      </w:r>
    </w:p>
    <w:p w:rsidR="001D3AFB" w:rsidRPr="00D247A3" w:rsidRDefault="005E4DF2" w:rsidP="005836FE">
      <w:pPr>
        <w:spacing w:line="360" w:lineRule="auto"/>
        <w:jc w:val="both"/>
        <w:rPr>
          <w:rFonts w:cs="Arial"/>
          <w:sz w:val="24"/>
          <w:szCs w:val="24"/>
        </w:rPr>
      </w:pPr>
      <w:r w:rsidRPr="00D247A3">
        <w:rPr>
          <w:rFonts w:cs="Arial"/>
          <w:b/>
          <w:sz w:val="24"/>
          <w:szCs w:val="24"/>
        </w:rPr>
        <w:t>Fig</w:t>
      </w:r>
      <w:r w:rsidR="00B2466D" w:rsidRPr="00D247A3">
        <w:rPr>
          <w:rFonts w:cs="Arial"/>
          <w:b/>
          <w:sz w:val="24"/>
          <w:szCs w:val="24"/>
        </w:rPr>
        <w:t xml:space="preserve">ura </w:t>
      </w:r>
      <w:r w:rsidR="00335959" w:rsidRPr="00D247A3">
        <w:rPr>
          <w:rFonts w:cs="Arial"/>
          <w:b/>
          <w:sz w:val="24"/>
          <w:szCs w:val="24"/>
        </w:rPr>
        <w:t>2</w:t>
      </w:r>
      <w:r w:rsidR="001D3AFB" w:rsidRPr="00D247A3">
        <w:rPr>
          <w:rFonts w:cs="Arial"/>
          <w:b/>
          <w:sz w:val="24"/>
          <w:szCs w:val="24"/>
        </w:rPr>
        <w:t>.</w:t>
      </w:r>
      <w:r w:rsidR="001D3AFB" w:rsidRPr="00D247A3">
        <w:rPr>
          <w:rFonts w:cs="Arial"/>
          <w:sz w:val="24"/>
          <w:szCs w:val="24"/>
        </w:rPr>
        <w:t xml:space="preserve"> (</w:t>
      </w:r>
      <w:r w:rsidR="004D7AE6" w:rsidRPr="00D247A3">
        <w:rPr>
          <w:rFonts w:cs="Arial"/>
          <w:sz w:val="24"/>
          <w:szCs w:val="24"/>
        </w:rPr>
        <w:t>A</w:t>
      </w:r>
      <w:r w:rsidR="001D3AFB" w:rsidRPr="00D247A3">
        <w:rPr>
          <w:rFonts w:cs="Arial"/>
          <w:sz w:val="24"/>
          <w:szCs w:val="24"/>
        </w:rPr>
        <w:t>) pH de la solución en función de</w:t>
      </w:r>
      <w:r w:rsidR="00335959" w:rsidRPr="00D247A3">
        <w:rPr>
          <w:rFonts w:cs="Arial"/>
          <w:sz w:val="24"/>
          <w:szCs w:val="24"/>
        </w:rPr>
        <w:t xml:space="preserve"> </w:t>
      </w:r>
      <w:r w:rsidR="001D3AFB" w:rsidRPr="00D247A3">
        <w:rPr>
          <w:rFonts w:cs="Arial"/>
          <w:sz w:val="24"/>
          <w:szCs w:val="24"/>
        </w:rPr>
        <w:t>la adición de vitaminas y micronutr</w:t>
      </w:r>
      <w:r w:rsidR="00335959" w:rsidRPr="00D247A3">
        <w:rPr>
          <w:rFonts w:cs="Arial"/>
          <w:sz w:val="24"/>
          <w:szCs w:val="24"/>
        </w:rPr>
        <w:t>ientes y (</w:t>
      </w:r>
      <w:r w:rsidR="004D7AE6" w:rsidRPr="00D247A3">
        <w:rPr>
          <w:rFonts w:cs="Arial"/>
          <w:sz w:val="24"/>
          <w:szCs w:val="24"/>
        </w:rPr>
        <w:t>B</w:t>
      </w:r>
      <w:r w:rsidR="00335959" w:rsidRPr="00D247A3">
        <w:rPr>
          <w:rFonts w:cs="Arial"/>
          <w:sz w:val="24"/>
          <w:szCs w:val="24"/>
        </w:rPr>
        <w:t>) Concentración de P</w:t>
      </w:r>
      <w:r w:rsidR="001D3AFB" w:rsidRPr="00D247A3">
        <w:rPr>
          <w:rFonts w:cs="Arial"/>
          <w:sz w:val="24"/>
          <w:szCs w:val="24"/>
        </w:rPr>
        <w:t xml:space="preserve"> en la solución (mg L</w:t>
      </w:r>
      <w:r w:rsidR="001D3AFB" w:rsidRPr="00D247A3">
        <w:rPr>
          <w:rFonts w:cs="Arial"/>
          <w:sz w:val="24"/>
          <w:szCs w:val="24"/>
          <w:vertAlign w:val="superscript"/>
        </w:rPr>
        <w:t>-1</w:t>
      </w:r>
      <w:r w:rsidR="001D3AFB" w:rsidRPr="00D247A3">
        <w:rPr>
          <w:rFonts w:cs="Arial"/>
          <w:sz w:val="24"/>
          <w:szCs w:val="24"/>
        </w:rPr>
        <w:t xml:space="preserve">), </w:t>
      </w:r>
      <w:r w:rsidR="009970DA" w:rsidRPr="00D247A3">
        <w:rPr>
          <w:rFonts w:cs="Arial"/>
          <w:sz w:val="24"/>
          <w:szCs w:val="24"/>
        </w:rPr>
        <w:t xml:space="preserve">en las muestras </w:t>
      </w:r>
      <w:r w:rsidR="001D3AFB" w:rsidRPr="00D247A3">
        <w:rPr>
          <w:rFonts w:cs="Arial"/>
          <w:sz w:val="24"/>
          <w:szCs w:val="24"/>
        </w:rPr>
        <w:t>inocula</w:t>
      </w:r>
      <w:r w:rsidR="009970DA" w:rsidRPr="00D247A3">
        <w:rPr>
          <w:rFonts w:cs="Arial"/>
          <w:sz w:val="24"/>
          <w:szCs w:val="24"/>
        </w:rPr>
        <w:t>da</w:t>
      </w:r>
      <w:r w:rsidR="001D3AFB" w:rsidRPr="00D247A3">
        <w:rPr>
          <w:rFonts w:cs="Arial"/>
          <w:sz w:val="24"/>
          <w:szCs w:val="24"/>
        </w:rPr>
        <w:t xml:space="preserve">s con </w:t>
      </w:r>
      <w:proofErr w:type="spellStart"/>
      <w:r w:rsidR="001D3AFB" w:rsidRPr="00D247A3">
        <w:rPr>
          <w:rFonts w:cs="Arial"/>
          <w:i/>
          <w:sz w:val="24"/>
          <w:szCs w:val="24"/>
        </w:rPr>
        <w:t>Mortierella</w:t>
      </w:r>
      <w:proofErr w:type="spellEnd"/>
      <w:r w:rsidR="001D3AFB" w:rsidRPr="00D247A3">
        <w:rPr>
          <w:rFonts w:cs="Arial"/>
          <w:sz w:val="24"/>
          <w:szCs w:val="24"/>
        </w:rPr>
        <w:t xml:space="preserve"> </w:t>
      </w:r>
      <w:proofErr w:type="spellStart"/>
      <w:r w:rsidR="001D3AFB" w:rsidRPr="00D247A3">
        <w:rPr>
          <w:rFonts w:cs="Arial"/>
          <w:sz w:val="24"/>
          <w:szCs w:val="24"/>
        </w:rPr>
        <w:t>sp.</w:t>
      </w:r>
      <w:proofErr w:type="spellEnd"/>
      <w:r w:rsidR="001D3AFB" w:rsidRPr="00D247A3">
        <w:rPr>
          <w:rFonts w:cs="Arial"/>
          <w:sz w:val="24"/>
          <w:szCs w:val="24"/>
        </w:rPr>
        <w:t xml:space="preserve"> </w:t>
      </w:r>
      <w:r w:rsidRPr="00D247A3">
        <w:rPr>
          <w:rFonts w:cs="Arial"/>
          <w:sz w:val="24"/>
          <w:szCs w:val="24"/>
        </w:rPr>
        <w:t>c</w:t>
      </w:r>
      <w:r w:rsidR="001D3AFB" w:rsidRPr="00D247A3">
        <w:rPr>
          <w:rFonts w:cs="Arial"/>
          <w:sz w:val="24"/>
          <w:szCs w:val="24"/>
        </w:rPr>
        <w:t>ada columna representa el promedio de cuatro repeticiones. Las barras indican la desviación estándar. Columnas con las letras minúsculas diferentes indican diferencia</w:t>
      </w:r>
      <w:r w:rsidR="0026446B" w:rsidRPr="00D247A3">
        <w:rPr>
          <w:rFonts w:cs="Arial"/>
          <w:sz w:val="24"/>
          <w:szCs w:val="24"/>
        </w:rPr>
        <w:t>s</w:t>
      </w:r>
      <w:r w:rsidR="001D3AFB" w:rsidRPr="00D247A3">
        <w:rPr>
          <w:rFonts w:cs="Arial"/>
          <w:sz w:val="24"/>
          <w:szCs w:val="24"/>
        </w:rPr>
        <w:t xml:space="preserve"> significativa</w:t>
      </w:r>
      <w:r w:rsidR="0026446B" w:rsidRPr="00D247A3">
        <w:rPr>
          <w:rFonts w:cs="Arial"/>
          <w:sz w:val="24"/>
          <w:szCs w:val="24"/>
        </w:rPr>
        <w:t>s</w:t>
      </w:r>
      <w:r w:rsidR="001D3AFB" w:rsidRPr="00D247A3">
        <w:rPr>
          <w:rFonts w:cs="Arial"/>
          <w:sz w:val="24"/>
          <w:szCs w:val="24"/>
        </w:rPr>
        <w:t xml:space="preserve"> de los tratamientos según la prueba de Duncan (</w:t>
      </w:r>
      <w:r w:rsidR="001D3AFB" w:rsidRPr="00D247A3">
        <w:rPr>
          <w:rFonts w:cs="Arial"/>
          <w:i/>
          <w:sz w:val="24"/>
          <w:szCs w:val="24"/>
        </w:rPr>
        <w:t>P</w:t>
      </w:r>
      <w:r w:rsidR="001D3AFB" w:rsidRPr="00D247A3">
        <w:rPr>
          <w:rFonts w:cs="Arial"/>
          <w:sz w:val="24"/>
          <w:szCs w:val="24"/>
        </w:rPr>
        <w:t xml:space="preserve">≤0.05). NS: no hay diferencia significativa. </w:t>
      </w:r>
    </w:p>
    <w:p w:rsidR="001D3AFB" w:rsidRPr="00D247A3" w:rsidRDefault="001D3AFB" w:rsidP="005836FE">
      <w:pPr>
        <w:spacing w:after="0" w:line="360" w:lineRule="auto"/>
        <w:jc w:val="both"/>
        <w:rPr>
          <w:rFonts w:cs="Arial"/>
          <w:sz w:val="24"/>
          <w:szCs w:val="24"/>
        </w:rPr>
      </w:pPr>
    </w:p>
    <w:p w:rsidR="007B1CE9" w:rsidRPr="00D247A3" w:rsidRDefault="001D3AFB" w:rsidP="005836FE">
      <w:pPr>
        <w:spacing w:line="360" w:lineRule="auto"/>
        <w:jc w:val="both"/>
        <w:rPr>
          <w:rFonts w:cs="Arial"/>
          <w:sz w:val="24"/>
          <w:szCs w:val="24"/>
        </w:rPr>
      </w:pPr>
      <w:r w:rsidRPr="00D247A3">
        <w:rPr>
          <w:rFonts w:cs="Arial"/>
          <w:sz w:val="24"/>
          <w:szCs w:val="24"/>
        </w:rPr>
        <w:t>El tiempo tuvo u</w:t>
      </w:r>
      <w:r w:rsidR="008F4597" w:rsidRPr="00D247A3">
        <w:rPr>
          <w:rFonts w:cs="Arial"/>
          <w:sz w:val="24"/>
          <w:szCs w:val="24"/>
        </w:rPr>
        <w:t>n efecto significativo en el pH p</w:t>
      </w:r>
      <w:r w:rsidRPr="00D247A3">
        <w:rPr>
          <w:rFonts w:cs="Arial"/>
          <w:sz w:val="24"/>
          <w:szCs w:val="24"/>
        </w:rPr>
        <w:t xml:space="preserve">ara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proofErr w:type="spellEnd"/>
      <w:r w:rsidRPr="00D247A3">
        <w:rPr>
          <w:rFonts w:cs="Arial"/>
          <w:sz w:val="24"/>
          <w:szCs w:val="24"/>
        </w:rPr>
        <w:t xml:space="preserve"> (</w:t>
      </w:r>
      <w:r w:rsidR="00DB7BC1" w:rsidRPr="00D247A3">
        <w:rPr>
          <w:rFonts w:cs="Arial"/>
          <w:sz w:val="24"/>
          <w:szCs w:val="24"/>
        </w:rPr>
        <w:t xml:space="preserve">figura </w:t>
      </w:r>
      <w:r w:rsidR="00EA5EA8" w:rsidRPr="00D247A3">
        <w:rPr>
          <w:rFonts w:cs="Arial"/>
          <w:sz w:val="24"/>
          <w:szCs w:val="24"/>
        </w:rPr>
        <w:t>3</w:t>
      </w:r>
      <w:r w:rsidR="00CC37A5" w:rsidRPr="00D247A3">
        <w:rPr>
          <w:rFonts w:cs="Arial"/>
          <w:sz w:val="24"/>
          <w:szCs w:val="24"/>
        </w:rPr>
        <w:t>.(</w:t>
      </w:r>
      <w:r w:rsidR="0020013D" w:rsidRPr="00D247A3">
        <w:rPr>
          <w:rFonts w:cs="Arial"/>
          <w:sz w:val="24"/>
          <w:szCs w:val="24"/>
        </w:rPr>
        <w:t>A</w:t>
      </w:r>
      <w:r w:rsidR="00CC37A5" w:rsidRPr="00D247A3">
        <w:rPr>
          <w:rFonts w:cs="Arial"/>
          <w:sz w:val="24"/>
          <w:szCs w:val="24"/>
        </w:rPr>
        <w:t>)</w:t>
      </w:r>
      <w:r w:rsidRPr="00D247A3">
        <w:rPr>
          <w:rFonts w:cs="Arial"/>
          <w:sz w:val="24"/>
          <w:szCs w:val="24"/>
        </w:rPr>
        <w:t>) el pH cambió a partir del primer día (4.2) con respecto al control (7.6) y presentó una disminución hasta los días 5 y 7 (3.1), posteriormente presentó un aum</w:t>
      </w:r>
      <w:r w:rsidR="00FD4A12" w:rsidRPr="00D247A3">
        <w:rPr>
          <w:rFonts w:cs="Arial"/>
          <w:sz w:val="24"/>
          <w:szCs w:val="24"/>
        </w:rPr>
        <w:t>ento para los días 10 y 14 (</w:t>
      </w:r>
      <w:r w:rsidRPr="00D247A3">
        <w:rPr>
          <w:rFonts w:cs="Arial"/>
          <w:sz w:val="24"/>
          <w:szCs w:val="24"/>
        </w:rPr>
        <w:t>3.3). De acuerdo a est</w:t>
      </w:r>
      <w:r w:rsidR="00EA5EA8" w:rsidRPr="00D247A3">
        <w:rPr>
          <w:rFonts w:cs="Arial"/>
          <w:sz w:val="24"/>
          <w:szCs w:val="24"/>
        </w:rPr>
        <w:t>os resultados, la cantidad de P</w:t>
      </w:r>
      <w:r w:rsidRPr="00D247A3">
        <w:rPr>
          <w:rFonts w:cs="Arial"/>
          <w:sz w:val="24"/>
          <w:szCs w:val="24"/>
        </w:rPr>
        <w:t xml:space="preserve"> en la solución presenta un comportamiento parabólico (</w:t>
      </w:r>
      <w:r w:rsidR="00DB7BC1" w:rsidRPr="00D247A3">
        <w:rPr>
          <w:rFonts w:cs="Arial"/>
          <w:sz w:val="24"/>
          <w:szCs w:val="24"/>
        </w:rPr>
        <w:t xml:space="preserve">figura </w:t>
      </w:r>
      <w:r w:rsidR="00EA5EA8" w:rsidRPr="00D247A3">
        <w:rPr>
          <w:rFonts w:cs="Arial"/>
          <w:sz w:val="24"/>
          <w:szCs w:val="24"/>
        </w:rPr>
        <w:t>3</w:t>
      </w:r>
      <w:r w:rsidR="00CC37A5" w:rsidRPr="00D247A3">
        <w:rPr>
          <w:rFonts w:cs="Arial"/>
          <w:sz w:val="24"/>
          <w:szCs w:val="24"/>
        </w:rPr>
        <w:t>.(</w:t>
      </w:r>
      <w:r w:rsidR="0020013D" w:rsidRPr="00D247A3">
        <w:rPr>
          <w:rFonts w:cs="Arial"/>
          <w:sz w:val="24"/>
          <w:szCs w:val="24"/>
        </w:rPr>
        <w:t>B</w:t>
      </w:r>
      <w:r w:rsidR="00CC37A5" w:rsidRPr="00D247A3">
        <w:rPr>
          <w:rFonts w:cs="Arial"/>
          <w:sz w:val="24"/>
          <w:szCs w:val="24"/>
        </w:rPr>
        <w:t>)</w:t>
      </w:r>
      <w:r w:rsidRPr="00D247A3">
        <w:rPr>
          <w:rFonts w:cs="Arial"/>
          <w:sz w:val="24"/>
          <w:szCs w:val="24"/>
        </w:rPr>
        <w:t xml:space="preserve">), </w:t>
      </w:r>
      <w:r w:rsidR="00B867E7" w:rsidRPr="00D247A3">
        <w:rPr>
          <w:rFonts w:cs="Arial"/>
          <w:sz w:val="24"/>
          <w:szCs w:val="24"/>
        </w:rPr>
        <w:t xml:space="preserve">en las muestras inoculadas, </w:t>
      </w:r>
      <w:r w:rsidRPr="00D247A3">
        <w:rPr>
          <w:rFonts w:cs="Arial"/>
          <w:sz w:val="24"/>
          <w:szCs w:val="24"/>
        </w:rPr>
        <w:t>aumentando desde el día 3 (40.</w:t>
      </w:r>
      <w:r w:rsidR="00AD1BB8" w:rsidRPr="00D247A3">
        <w:rPr>
          <w:rFonts w:cs="Arial"/>
          <w:sz w:val="24"/>
          <w:szCs w:val="24"/>
        </w:rPr>
        <w:t>1</w:t>
      </w:r>
      <w:r w:rsidRPr="00D247A3">
        <w:rPr>
          <w:rFonts w:cs="Arial"/>
          <w:sz w:val="24"/>
          <w:szCs w:val="24"/>
        </w:rPr>
        <w:t xml:space="preserve"> mg L</w:t>
      </w:r>
      <w:r w:rsidRPr="00D247A3">
        <w:rPr>
          <w:rFonts w:cs="Arial"/>
          <w:sz w:val="24"/>
          <w:szCs w:val="24"/>
          <w:vertAlign w:val="superscript"/>
        </w:rPr>
        <w:t>-1</w:t>
      </w:r>
      <w:r w:rsidRPr="00D247A3">
        <w:rPr>
          <w:rFonts w:cs="Arial"/>
          <w:sz w:val="24"/>
          <w:szCs w:val="24"/>
        </w:rPr>
        <w:t>), presentando un máximo el día 5 (88.</w:t>
      </w:r>
      <w:r w:rsidR="00AD1BB8" w:rsidRPr="00D247A3">
        <w:rPr>
          <w:rFonts w:cs="Arial"/>
          <w:sz w:val="24"/>
          <w:szCs w:val="24"/>
        </w:rPr>
        <w:t>3</w:t>
      </w:r>
      <w:r w:rsidRPr="00D247A3">
        <w:rPr>
          <w:rFonts w:cs="Arial"/>
          <w:sz w:val="24"/>
          <w:szCs w:val="24"/>
        </w:rPr>
        <w:t xml:space="preserve"> mg L</w:t>
      </w:r>
      <w:r w:rsidRPr="00D247A3">
        <w:rPr>
          <w:rFonts w:cs="Arial"/>
          <w:sz w:val="24"/>
          <w:szCs w:val="24"/>
          <w:vertAlign w:val="superscript"/>
        </w:rPr>
        <w:t>-1</w:t>
      </w:r>
      <w:r w:rsidRPr="00D247A3">
        <w:rPr>
          <w:rFonts w:cs="Arial"/>
          <w:sz w:val="24"/>
          <w:szCs w:val="24"/>
        </w:rPr>
        <w:t>) y a partir de este</w:t>
      </w:r>
      <w:r w:rsidR="00EA5EA8" w:rsidRPr="00D247A3">
        <w:rPr>
          <w:rFonts w:cs="Arial"/>
          <w:sz w:val="24"/>
          <w:szCs w:val="24"/>
        </w:rPr>
        <w:t xml:space="preserve"> día disminuyó la cantidad de P</w:t>
      </w:r>
      <w:r w:rsidRPr="00D247A3">
        <w:rPr>
          <w:rFonts w:cs="Arial"/>
          <w:sz w:val="24"/>
          <w:szCs w:val="24"/>
        </w:rPr>
        <w:t xml:space="preserve"> llegando a valores de 68.8 mg L</w:t>
      </w:r>
      <w:r w:rsidRPr="00D247A3">
        <w:rPr>
          <w:rFonts w:cs="Arial"/>
          <w:sz w:val="24"/>
          <w:szCs w:val="24"/>
          <w:vertAlign w:val="superscript"/>
        </w:rPr>
        <w:t>-1</w:t>
      </w:r>
      <w:r w:rsidRPr="00D247A3">
        <w:rPr>
          <w:rFonts w:cs="Arial"/>
          <w:sz w:val="24"/>
          <w:szCs w:val="24"/>
        </w:rPr>
        <w:t xml:space="preserve"> para el día 14.</w:t>
      </w:r>
    </w:p>
    <w:p w:rsidR="001D3AFB" w:rsidRPr="00D247A3" w:rsidRDefault="005E4DF2" w:rsidP="005836FE">
      <w:pPr>
        <w:spacing w:line="360" w:lineRule="auto"/>
        <w:jc w:val="both"/>
        <w:rPr>
          <w:rFonts w:cs="Arial"/>
          <w:sz w:val="24"/>
          <w:szCs w:val="24"/>
        </w:rPr>
      </w:pPr>
      <w:r w:rsidRPr="00D247A3">
        <w:rPr>
          <w:rFonts w:cs="Arial"/>
          <w:b/>
          <w:sz w:val="24"/>
          <w:szCs w:val="24"/>
        </w:rPr>
        <w:t>Fig</w:t>
      </w:r>
      <w:r w:rsidR="00B2466D" w:rsidRPr="00D247A3">
        <w:rPr>
          <w:rFonts w:cs="Arial"/>
          <w:b/>
          <w:sz w:val="24"/>
          <w:szCs w:val="24"/>
        </w:rPr>
        <w:t>ura</w:t>
      </w:r>
      <w:r w:rsidR="001D3AFB" w:rsidRPr="00D247A3">
        <w:rPr>
          <w:rFonts w:cs="Arial"/>
          <w:b/>
          <w:sz w:val="24"/>
          <w:szCs w:val="24"/>
        </w:rPr>
        <w:t xml:space="preserve"> </w:t>
      </w:r>
      <w:r w:rsidR="00EA5EA8" w:rsidRPr="00D247A3">
        <w:rPr>
          <w:rFonts w:cs="Arial"/>
          <w:b/>
          <w:sz w:val="24"/>
          <w:szCs w:val="24"/>
        </w:rPr>
        <w:t>3</w:t>
      </w:r>
      <w:r w:rsidR="001D3AFB" w:rsidRPr="00D247A3">
        <w:rPr>
          <w:rFonts w:cs="Arial"/>
          <w:b/>
          <w:sz w:val="24"/>
          <w:szCs w:val="24"/>
        </w:rPr>
        <w:t>.</w:t>
      </w:r>
      <w:r w:rsidR="001D3AFB" w:rsidRPr="00D247A3">
        <w:rPr>
          <w:rFonts w:cs="Arial"/>
          <w:sz w:val="24"/>
          <w:szCs w:val="24"/>
        </w:rPr>
        <w:t xml:space="preserve"> (</w:t>
      </w:r>
      <w:r w:rsidR="0020013D" w:rsidRPr="00D247A3">
        <w:rPr>
          <w:rFonts w:cs="Arial"/>
          <w:sz w:val="24"/>
          <w:szCs w:val="24"/>
        </w:rPr>
        <w:t>A</w:t>
      </w:r>
      <w:r w:rsidR="001D3AFB" w:rsidRPr="00D247A3">
        <w:rPr>
          <w:rFonts w:cs="Arial"/>
          <w:sz w:val="24"/>
          <w:szCs w:val="24"/>
        </w:rPr>
        <w:t xml:space="preserve">) pH de la solución en </w:t>
      </w:r>
      <w:r w:rsidR="00382C38" w:rsidRPr="00D247A3">
        <w:rPr>
          <w:rFonts w:cs="Arial"/>
          <w:sz w:val="24"/>
          <w:szCs w:val="24"/>
        </w:rPr>
        <w:t xml:space="preserve">función </w:t>
      </w:r>
      <w:r w:rsidR="001D3AFB" w:rsidRPr="00D247A3">
        <w:rPr>
          <w:rFonts w:cs="Arial"/>
          <w:sz w:val="24"/>
          <w:szCs w:val="24"/>
        </w:rPr>
        <w:t>del tiempo y (</w:t>
      </w:r>
      <w:r w:rsidR="0020013D" w:rsidRPr="00D247A3">
        <w:rPr>
          <w:rFonts w:cs="Arial"/>
          <w:sz w:val="24"/>
          <w:szCs w:val="24"/>
        </w:rPr>
        <w:t>B</w:t>
      </w:r>
      <w:r w:rsidR="001D3AFB" w:rsidRPr="00D247A3">
        <w:rPr>
          <w:rFonts w:cs="Arial"/>
          <w:sz w:val="24"/>
          <w:szCs w:val="24"/>
        </w:rPr>
        <w:t xml:space="preserve">) Concentración de </w:t>
      </w:r>
      <w:r w:rsidR="00382C38" w:rsidRPr="00D247A3">
        <w:rPr>
          <w:rFonts w:cs="Arial"/>
          <w:sz w:val="24"/>
          <w:szCs w:val="24"/>
        </w:rPr>
        <w:t>Fósforo (</w:t>
      </w:r>
      <w:r w:rsidR="0062397C">
        <w:rPr>
          <w:rFonts w:cs="Arial"/>
          <w:sz w:val="24"/>
          <w:szCs w:val="24"/>
        </w:rPr>
        <w:t>P</w:t>
      </w:r>
      <w:r w:rsidR="00382C38" w:rsidRPr="00D247A3">
        <w:rPr>
          <w:rFonts w:cs="Arial"/>
          <w:sz w:val="24"/>
          <w:szCs w:val="24"/>
        </w:rPr>
        <w:t>)</w:t>
      </w:r>
      <w:r w:rsidR="001D3AFB" w:rsidRPr="00D247A3">
        <w:rPr>
          <w:rFonts w:cs="Arial"/>
          <w:sz w:val="24"/>
          <w:szCs w:val="24"/>
        </w:rPr>
        <w:t xml:space="preserve"> en la solución (mg L</w:t>
      </w:r>
      <w:r w:rsidR="001D3AFB" w:rsidRPr="00D247A3">
        <w:rPr>
          <w:rFonts w:cs="Arial"/>
          <w:sz w:val="24"/>
          <w:szCs w:val="24"/>
          <w:vertAlign w:val="superscript"/>
        </w:rPr>
        <w:t>-1</w:t>
      </w:r>
      <w:r w:rsidR="00382C38" w:rsidRPr="00D247A3">
        <w:rPr>
          <w:rFonts w:cs="Arial"/>
          <w:sz w:val="24"/>
          <w:szCs w:val="24"/>
        </w:rPr>
        <w:t>) en las muestras inoculadas</w:t>
      </w:r>
      <w:r w:rsidR="001D3AFB" w:rsidRPr="00D247A3">
        <w:rPr>
          <w:rFonts w:cs="Arial"/>
          <w:sz w:val="24"/>
          <w:szCs w:val="24"/>
        </w:rPr>
        <w:t xml:space="preserve"> con </w:t>
      </w:r>
      <w:proofErr w:type="spellStart"/>
      <w:r w:rsidR="001D3AFB" w:rsidRPr="00D247A3">
        <w:rPr>
          <w:rFonts w:cs="Arial"/>
          <w:i/>
          <w:sz w:val="24"/>
          <w:szCs w:val="24"/>
        </w:rPr>
        <w:t>Mortierella</w:t>
      </w:r>
      <w:proofErr w:type="spellEnd"/>
      <w:r w:rsidR="001D3AFB" w:rsidRPr="00D247A3">
        <w:rPr>
          <w:rFonts w:cs="Arial"/>
          <w:sz w:val="24"/>
          <w:szCs w:val="24"/>
        </w:rPr>
        <w:t xml:space="preserve"> </w:t>
      </w:r>
      <w:proofErr w:type="spellStart"/>
      <w:r w:rsidR="001D3AFB" w:rsidRPr="00D247A3">
        <w:rPr>
          <w:rFonts w:cs="Arial"/>
          <w:sz w:val="24"/>
          <w:szCs w:val="24"/>
        </w:rPr>
        <w:t>sp.</w:t>
      </w:r>
      <w:proofErr w:type="spellEnd"/>
      <w:r w:rsidR="001D3AFB" w:rsidRPr="00D247A3">
        <w:rPr>
          <w:rFonts w:cs="Arial"/>
          <w:sz w:val="24"/>
          <w:szCs w:val="24"/>
        </w:rPr>
        <w:t xml:space="preserve"> Cada columna representa el promedio de cuatro repeticiones. Las barras indican la desviación estándar. Columnas con las letras minúsculas diferentes indican diferencia</w:t>
      </w:r>
      <w:r w:rsidR="0065171E" w:rsidRPr="00D247A3">
        <w:rPr>
          <w:rFonts w:cs="Arial"/>
          <w:sz w:val="24"/>
          <w:szCs w:val="24"/>
        </w:rPr>
        <w:t>s</w:t>
      </w:r>
      <w:r w:rsidR="001D3AFB" w:rsidRPr="00D247A3">
        <w:rPr>
          <w:rFonts w:cs="Arial"/>
          <w:sz w:val="24"/>
          <w:szCs w:val="24"/>
        </w:rPr>
        <w:t xml:space="preserve"> significativa</w:t>
      </w:r>
      <w:r w:rsidR="0065171E" w:rsidRPr="00D247A3">
        <w:rPr>
          <w:rFonts w:cs="Arial"/>
          <w:sz w:val="24"/>
          <w:szCs w:val="24"/>
        </w:rPr>
        <w:t>s</w:t>
      </w:r>
      <w:r w:rsidR="001D3AFB" w:rsidRPr="00D247A3">
        <w:rPr>
          <w:rFonts w:cs="Arial"/>
          <w:sz w:val="24"/>
          <w:szCs w:val="24"/>
        </w:rPr>
        <w:t xml:space="preserve"> de los tratamientos según la prueba de Duncan (</w:t>
      </w:r>
      <w:r w:rsidR="001D3AFB" w:rsidRPr="00D247A3">
        <w:rPr>
          <w:rFonts w:cs="Arial"/>
          <w:i/>
          <w:sz w:val="24"/>
          <w:szCs w:val="24"/>
        </w:rPr>
        <w:t>P</w:t>
      </w:r>
      <w:r w:rsidR="001D3AFB" w:rsidRPr="00D247A3">
        <w:rPr>
          <w:rFonts w:cs="Arial"/>
          <w:sz w:val="24"/>
          <w:szCs w:val="24"/>
        </w:rPr>
        <w:t xml:space="preserve">≤0.05). </w:t>
      </w:r>
    </w:p>
    <w:p w:rsidR="007B1CE9" w:rsidRPr="00D247A3" w:rsidRDefault="001D3AFB" w:rsidP="005836FE">
      <w:pPr>
        <w:spacing w:line="360" w:lineRule="auto"/>
        <w:jc w:val="both"/>
        <w:rPr>
          <w:rFonts w:cs="Arial"/>
          <w:sz w:val="24"/>
          <w:szCs w:val="24"/>
        </w:rPr>
      </w:pPr>
      <w:r w:rsidRPr="00D247A3">
        <w:rPr>
          <w:rFonts w:cs="Arial"/>
          <w:noProof/>
          <w:sz w:val="24"/>
          <w:szCs w:val="24"/>
          <w:lang w:eastAsia="es-CO"/>
        </w:rPr>
        <w:t xml:space="preserve">La inoculación con </w:t>
      </w:r>
      <w:r w:rsidR="00EA5EA8" w:rsidRPr="00D247A3">
        <w:rPr>
          <w:rFonts w:cs="Arial"/>
          <w:i/>
          <w:noProof/>
          <w:sz w:val="24"/>
          <w:szCs w:val="24"/>
          <w:lang w:eastAsia="es-CO"/>
        </w:rPr>
        <w:t>Mortierella</w:t>
      </w:r>
      <w:r w:rsidR="00EA5EA8" w:rsidRPr="00D247A3">
        <w:rPr>
          <w:rFonts w:cs="Arial"/>
          <w:noProof/>
          <w:sz w:val="24"/>
          <w:szCs w:val="24"/>
          <w:lang w:eastAsia="es-CO"/>
        </w:rPr>
        <w:t xml:space="preserve"> sp.</w:t>
      </w:r>
      <w:r w:rsidRPr="00D247A3">
        <w:rPr>
          <w:rFonts w:cs="Arial"/>
          <w:noProof/>
          <w:sz w:val="24"/>
          <w:szCs w:val="24"/>
          <w:lang w:eastAsia="es-CO"/>
        </w:rPr>
        <w:t xml:space="preserve"> disminuyó significativamente (</w:t>
      </w:r>
      <w:r w:rsidRPr="00D247A3">
        <w:rPr>
          <w:rFonts w:cs="Arial"/>
          <w:i/>
          <w:noProof/>
          <w:sz w:val="24"/>
          <w:szCs w:val="24"/>
          <w:lang w:eastAsia="es-CO"/>
        </w:rPr>
        <w:t>P</w:t>
      </w:r>
      <w:r w:rsidRPr="00D247A3">
        <w:rPr>
          <w:rFonts w:cs="Arial"/>
          <w:noProof/>
          <w:sz w:val="24"/>
          <w:szCs w:val="24"/>
          <w:lang w:eastAsia="es-CO"/>
        </w:rPr>
        <w:t>≤0.05) el pH del medio con respect</w:t>
      </w:r>
      <w:r w:rsidR="00FD4A12" w:rsidRPr="00D247A3">
        <w:rPr>
          <w:rFonts w:cs="Arial"/>
          <w:noProof/>
          <w:sz w:val="24"/>
          <w:szCs w:val="24"/>
          <w:lang w:eastAsia="es-CO"/>
        </w:rPr>
        <w:t>o a los controles no inoculados</w:t>
      </w:r>
      <w:r w:rsidR="00AA19F4" w:rsidRPr="00D247A3">
        <w:rPr>
          <w:rFonts w:cs="Arial"/>
          <w:noProof/>
          <w:sz w:val="24"/>
          <w:szCs w:val="24"/>
          <w:lang w:eastAsia="es-CO"/>
        </w:rPr>
        <w:t xml:space="preserve"> para los tres tipos de </w:t>
      </w:r>
      <w:r w:rsidR="00FD4A12" w:rsidRPr="00D247A3">
        <w:rPr>
          <w:rFonts w:cs="Arial"/>
          <w:noProof/>
          <w:sz w:val="24"/>
          <w:szCs w:val="24"/>
          <w:lang w:eastAsia="es-CO"/>
        </w:rPr>
        <w:t>RP</w:t>
      </w:r>
      <w:r w:rsidR="006F7237" w:rsidRPr="00D247A3">
        <w:rPr>
          <w:rFonts w:cs="Arial"/>
          <w:noProof/>
          <w:sz w:val="24"/>
          <w:szCs w:val="24"/>
          <w:lang w:eastAsia="es-CO"/>
        </w:rPr>
        <w:t xml:space="preserve"> </w:t>
      </w:r>
      <w:r w:rsidRPr="00D247A3">
        <w:rPr>
          <w:rFonts w:cs="Arial"/>
          <w:noProof/>
          <w:sz w:val="24"/>
          <w:szCs w:val="24"/>
          <w:lang w:eastAsia="es-CO"/>
        </w:rPr>
        <w:t>(</w:t>
      </w:r>
      <w:r w:rsidR="00DB7BC1" w:rsidRPr="00D247A3">
        <w:rPr>
          <w:rFonts w:cs="Arial"/>
          <w:noProof/>
          <w:sz w:val="24"/>
          <w:szCs w:val="24"/>
          <w:lang w:eastAsia="es-CO"/>
        </w:rPr>
        <w:t>figura</w:t>
      </w:r>
      <w:r w:rsidR="005E4DF2" w:rsidRPr="00D247A3">
        <w:rPr>
          <w:rFonts w:cs="Arial"/>
          <w:noProof/>
          <w:sz w:val="24"/>
          <w:szCs w:val="24"/>
          <w:lang w:eastAsia="es-CO"/>
        </w:rPr>
        <w:t>.</w:t>
      </w:r>
      <w:r w:rsidRPr="00D247A3">
        <w:rPr>
          <w:rFonts w:cs="Arial"/>
          <w:noProof/>
          <w:sz w:val="24"/>
          <w:szCs w:val="24"/>
          <w:lang w:eastAsia="es-CO"/>
        </w:rPr>
        <w:t xml:space="preserve"> </w:t>
      </w:r>
      <w:r w:rsidR="00EA5EA8" w:rsidRPr="00D247A3">
        <w:rPr>
          <w:rFonts w:cs="Arial"/>
          <w:sz w:val="24"/>
          <w:szCs w:val="24"/>
        </w:rPr>
        <w:t>4</w:t>
      </w:r>
      <w:r w:rsidR="00EA5EA8" w:rsidRPr="00D247A3">
        <w:rPr>
          <w:rFonts w:cs="Arial"/>
          <w:noProof/>
          <w:sz w:val="24"/>
          <w:szCs w:val="24"/>
          <w:lang w:eastAsia="es-CO"/>
        </w:rPr>
        <w:t>),</w:t>
      </w:r>
      <w:r w:rsidRPr="00D247A3">
        <w:rPr>
          <w:rFonts w:cs="Arial"/>
          <w:noProof/>
          <w:sz w:val="24"/>
          <w:szCs w:val="24"/>
          <w:lang w:eastAsia="es-CO"/>
        </w:rPr>
        <w:t xml:space="preserve"> el pH alcanzó valores de 3.4, 2.9 y 2.</w:t>
      </w:r>
      <w:r w:rsidR="00AD1BB8" w:rsidRPr="00D247A3">
        <w:rPr>
          <w:rFonts w:cs="Arial"/>
          <w:noProof/>
          <w:sz w:val="24"/>
          <w:szCs w:val="24"/>
          <w:lang w:eastAsia="es-CO"/>
        </w:rPr>
        <w:t>9</w:t>
      </w:r>
      <w:r w:rsidRPr="00D247A3">
        <w:rPr>
          <w:rFonts w:cs="Arial"/>
          <w:noProof/>
          <w:sz w:val="24"/>
          <w:szCs w:val="24"/>
          <w:lang w:eastAsia="es-CO"/>
        </w:rPr>
        <w:t xml:space="preserve"> para las RP de CN, H y S re</w:t>
      </w:r>
      <w:r w:rsidR="0065171E" w:rsidRPr="00D247A3">
        <w:rPr>
          <w:rFonts w:cs="Arial"/>
          <w:noProof/>
          <w:sz w:val="24"/>
          <w:szCs w:val="24"/>
          <w:lang w:eastAsia="es-CO"/>
        </w:rPr>
        <w:t>s</w:t>
      </w:r>
      <w:r w:rsidRPr="00D247A3">
        <w:rPr>
          <w:rFonts w:cs="Arial"/>
          <w:noProof/>
          <w:sz w:val="24"/>
          <w:szCs w:val="24"/>
          <w:lang w:eastAsia="es-CO"/>
        </w:rPr>
        <w:t>pectivamente</w:t>
      </w:r>
      <w:r w:rsidR="00EA5EA8" w:rsidRPr="00D247A3">
        <w:rPr>
          <w:rFonts w:cs="Arial"/>
          <w:noProof/>
          <w:sz w:val="24"/>
          <w:szCs w:val="24"/>
          <w:lang w:eastAsia="es-CO"/>
        </w:rPr>
        <w:t xml:space="preserve"> (</w:t>
      </w:r>
      <w:r w:rsidR="00DB7BC1" w:rsidRPr="00D247A3">
        <w:rPr>
          <w:rFonts w:cs="Arial"/>
          <w:noProof/>
          <w:sz w:val="24"/>
          <w:szCs w:val="24"/>
          <w:lang w:eastAsia="es-CO"/>
        </w:rPr>
        <w:t xml:space="preserve">figura </w:t>
      </w:r>
      <w:r w:rsidR="00EA5EA8" w:rsidRPr="00D247A3">
        <w:rPr>
          <w:rFonts w:cs="Arial"/>
          <w:noProof/>
          <w:sz w:val="24"/>
          <w:szCs w:val="24"/>
          <w:lang w:eastAsia="es-CO"/>
        </w:rPr>
        <w:t>4</w:t>
      </w:r>
      <w:r w:rsidR="00CC37A5" w:rsidRPr="00D247A3">
        <w:rPr>
          <w:rFonts w:cs="Arial"/>
          <w:noProof/>
          <w:sz w:val="24"/>
          <w:szCs w:val="24"/>
          <w:lang w:eastAsia="es-CO"/>
        </w:rPr>
        <w:t>.(</w:t>
      </w:r>
      <w:r w:rsidR="0020013D" w:rsidRPr="00D247A3">
        <w:rPr>
          <w:rFonts w:cs="Arial"/>
          <w:noProof/>
          <w:sz w:val="24"/>
          <w:szCs w:val="24"/>
          <w:lang w:eastAsia="es-CO"/>
        </w:rPr>
        <w:t>A</w:t>
      </w:r>
      <w:r w:rsidR="00CC37A5" w:rsidRPr="00D247A3">
        <w:rPr>
          <w:rFonts w:cs="Arial"/>
          <w:noProof/>
          <w:sz w:val="24"/>
          <w:szCs w:val="24"/>
          <w:lang w:eastAsia="es-CO"/>
        </w:rPr>
        <w:t>)</w:t>
      </w:r>
      <w:r w:rsidR="00EA5EA8" w:rsidRPr="00D247A3">
        <w:rPr>
          <w:rFonts w:cs="Arial"/>
          <w:noProof/>
          <w:sz w:val="24"/>
          <w:szCs w:val="24"/>
          <w:lang w:eastAsia="es-CO"/>
        </w:rPr>
        <w:t>)</w:t>
      </w:r>
      <w:r w:rsidRPr="00D247A3">
        <w:rPr>
          <w:rFonts w:cs="Arial"/>
          <w:noProof/>
          <w:sz w:val="24"/>
          <w:szCs w:val="24"/>
          <w:lang w:eastAsia="es-CO"/>
        </w:rPr>
        <w:t xml:space="preserve">. </w:t>
      </w:r>
      <w:r w:rsidRPr="00D247A3">
        <w:rPr>
          <w:rFonts w:cs="Arial"/>
          <w:sz w:val="24"/>
          <w:szCs w:val="24"/>
        </w:rPr>
        <w:t xml:space="preserve">Por otro lado, al inocular con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proofErr w:type="spellEnd"/>
      <w:r w:rsidRPr="00D247A3">
        <w:rPr>
          <w:rFonts w:cs="Arial"/>
          <w:sz w:val="24"/>
          <w:szCs w:val="24"/>
        </w:rPr>
        <w:t xml:space="preserve"> </w:t>
      </w:r>
      <w:r w:rsidR="006F7237" w:rsidRPr="00D247A3">
        <w:rPr>
          <w:rFonts w:cs="Arial"/>
          <w:sz w:val="24"/>
          <w:szCs w:val="24"/>
        </w:rPr>
        <w:t xml:space="preserve">en </w:t>
      </w:r>
      <w:r w:rsidR="00AA19F4" w:rsidRPr="00D247A3">
        <w:rPr>
          <w:rFonts w:cs="Arial"/>
          <w:sz w:val="24"/>
          <w:szCs w:val="24"/>
        </w:rPr>
        <w:t>los tres tipos de RP</w:t>
      </w:r>
      <w:r w:rsidR="00EA5EA8" w:rsidRPr="00D247A3">
        <w:rPr>
          <w:rFonts w:cs="Arial"/>
          <w:sz w:val="24"/>
          <w:szCs w:val="24"/>
        </w:rPr>
        <w:t xml:space="preserve"> aumentó la concentración de P</w:t>
      </w:r>
      <w:r w:rsidRPr="00D247A3">
        <w:rPr>
          <w:rFonts w:cs="Arial"/>
          <w:sz w:val="24"/>
          <w:szCs w:val="24"/>
        </w:rPr>
        <w:t xml:space="preserve"> en solución con respecto al control no inoculado (</w:t>
      </w:r>
      <w:r w:rsidR="00DB7BC1" w:rsidRPr="00D247A3">
        <w:rPr>
          <w:rFonts w:cs="Arial"/>
          <w:sz w:val="24"/>
          <w:szCs w:val="24"/>
        </w:rPr>
        <w:t xml:space="preserve">figura </w:t>
      </w:r>
      <w:r w:rsidR="00EA5EA8" w:rsidRPr="00D247A3">
        <w:rPr>
          <w:rFonts w:cs="Arial"/>
          <w:sz w:val="24"/>
          <w:szCs w:val="24"/>
        </w:rPr>
        <w:t>4</w:t>
      </w:r>
      <w:r w:rsidR="00CC37A5" w:rsidRPr="00D247A3">
        <w:rPr>
          <w:rFonts w:cs="Arial"/>
          <w:sz w:val="24"/>
          <w:szCs w:val="24"/>
        </w:rPr>
        <w:t>.(</w:t>
      </w:r>
      <w:r w:rsidR="0020013D" w:rsidRPr="00D247A3">
        <w:rPr>
          <w:rFonts w:cs="Arial"/>
          <w:sz w:val="24"/>
          <w:szCs w:val="24"/>
        </w:rPr>
        <w:t>B</w:t>
      </w:r>
      <w:r w:rsidR="00CC37A5" w:rsidRPr="00D247A3">
        <w:rPr>
          <w:rFonts w:cs="Arial"/>
          <w:sz w:val="24"/>
          <w:szCs w:val="24"/>
        </w:rPr>
        <w:t>)</w:t>
      </w:r>
      <w:r w:rsidRPr="00D247A3">
        <w:rPr>
          <w:rFonts w:cs="Arial"/>
          <w:sz w:val="24"/>
          <w:szCs w:val="24"/>
        </w:rPr>
        <w:t xml:space="preserve">). La magnitud de este efecto fue mayor cuando el medio contenía RP de Carolina </w:t>
      </w:r>
      <w:r w:rsidRPr="00D247A3">
        <w:rPr>
          <w:rFonts w:cs="Arial"/>
          <w:sz w:val="24"/>
          <w:szCs w:val="24"/>
        </w:rPr>
        <w:lastRenderedPageBreak/>
        <w:t>del Norte (157.1 mg L</w:t>
      </w:r>
      <w:r w:rsidRPr="00D247A3">
        <w:rPr>
          <w:rFonts w:cs="Arial"/>
          <w:sz w:val="24"/>
          <w:szCs w:val="24"/>
          <w:vertAlign w:val="superscript"/>
        </w:rPr>
        <w:t>-1</w:t>
      </w:r>
      <w:r w:rsidRPr="00D247A3">
        <w:rPr>
          <w:rFonts w:cs="Arial"/>
          <w:sz w:val="24"/>
          <w:szCs w:val="24"/>
        </w:rPr>
        <w:t xml:space="preserve">), </w:t>
      </w:r>
      <w:r w:rsidR="006F7237" w:rsidRPr="00D247A3">
        <w:rPr>
          <w:rFonts w:cs="Arial"/>
          <w:sz w:val="24"/>
          <w:szCs w:val="24"/>
        </w:rPr>
        <w:t xml:space="preserve">seguido de </w:t>
      </w:r>
      <w:r w:rsidRPr="00D247A3">
        <w:rPr>
          <w:rFonts w:cs="Arial"/>
          <w:sz w:val="24"/>
          <w:szCs w:val="24"/>
        </w:rPr>
        <w:t>la RP del Huila (86.</w:t>
      </w:r>
      <w:r w:rsidR="00AD1BB8" w:rsidRPr="00D247A3">
        <w:rPr>
          <w:rFonts w:cs="Arial"/>
          <w:sz w:val="24"/>
          <w:szCs w:val="24"/>
        </w:rPr>
        <w:t>6</w:t>
      </w:r>
      <w:r w:rsidRPr="00D247A3">
        <w:rPr>
          <w:rFonts w:cs="Arial"/>
          <w:sz w:val="24"/>
          <w:szCs w:val="24"/>
        </w:rPr>
        <w:t xml:space="preserve"> mg L</w:t>
      </w:r>
      <w:r w:rsidRPr="00D247A3">
        <w:rPr>
          <w:rFonts w:cs="Arial"/>
          <w:sz w:val="24"/>
          <w:szCs w:val="24"/>
          <w:vertAlign w:val="superscript"/>
        </w:rPr>
        <w:t>-1</w:t>
      </w:r>
      <w:r w:rsidRPr="00D247A3">
        <w:rPr>
          <w:rFonts w:cs="Arial"/>
          <w:sz w:val="24"/>
          <w:szCs w:val="24"/>
        </w:rPr>
        <w:t xml:space="preserve">) y </w:t>
      </w:r>
      <w:r w:rsidR="006F7237" w:rsidRPr="00D247A3">
        <w:rPr>
          <w:rFonts w:cs="Arial"/>
          <w:sz w:val="24"/>
          <w:szCs w:val="24"/>
        </w:rPr>
        <w:t xml:space="preserve">por último la RP de </w:t>
      </w:r>
      <w:r w:rsidR="00AD1BB8" w:rsidRPr="00D247A3">
        <w:rPr>
          <w:rFonts w:cs="Arial"/>
          <w:sz w:val="24"/>
          <w:szCs w:val="24"/>
        </w:rPr>
        <w:t>Santander (58.9</w:t>
      </w:r>
      <w:r w:rsidRPr="00D247A3">
        <w:rPr>
          <w:rFonts w:cs="Arial"/>
          <w:sz w:val="24"/>
          <w:szCs w:val="24"/>
        </w:rPr>
        <w:t xml:space="preserve"> mg L</w:t>
      </w:r>
      <w:r w:rsidRPr="00D247A3">
        <w:rPr>
          <w:rFonts w:cs="Arial"/>
          <w:sz w:val="24"/>
          <w:szCs w:val="24"/>
          <w:vertAlign w:val="superscript"/>
        </w:rPr>
        <w:t>-1</w:t>
      </w:r>
      <w:r w:rsidR="006F7237" w:rsidRPr="00D247A3">
        <w:rPr>
          <w:rFonts w:cs="Arial"/>
          <w:sz w:val="24"/>
          <w:szCs w:val="24"/>
        </w:rPr>
        <w:t>)</w:t>
      </w:r>
      <w:r w:rsidRPr="00D247A3">
        <w:rPr>
          <w:rFonts w:cs="Arial"/>
          <w:sz w:val="24"/>
          <w:szCs w:val="24"/>
        </w:rPr>
        <w:t xml:space="preserve">. </w:t>
      </w:r>
    </w:p>
    <w:p w:rsidR="00EA5EA8" w:rsidRPr="00D247A3" w:rsidRDefault="005E4DF2" w:rsidP="005836FE">
      <w:pPr>
        <w:spacing w:line="360" w:lineRule="auto"/>
        <w:jc w:val="both"/>
        <w:rPr>
          <w:rFonts w:cs="Arial"/>
          <w:sz w:val="24"/>
          <w:szCs w:val="24"/>
        </w:rPr>
      </w:pPr>
      <w:r w:rsidRPr="00D247A3">
        <w:rPr>
          <w:rFonts w:cs="Arial"/>
          <w:b/>
          <w:sz w:val="24"/>
          <w:szCs w:val="24"/>
        </w:rPr>
        <w:t>Fig</w:t>
      </w:r>
      <w:r w:rsidR="00B2466D" w:rsidRPr="00D247A3">
        <w:rPr>
          <w:rFonts w:cs="Arial"/>
          <w:b/>
          <w:sz w:val="24"/>
          <w:szCs w:val="24"/>
        </w:rPr>
        <w:t>ura</w:t>
      </w:r>
      <w:r w:rsidR="001D3AFB" w:rsidRPr="00D247A3">
        <w:rPr>
          <w:rFonts w:cs="Arial"/>
          <w:b/>
          <w:sz w:val="24"/>
          <w:szCs w:val="24"/>
        </w:rPr>
        <w:t xml:space="preserve"> </w:t>
      </w:r>
      <w:r w:rsidR="007B1CE9" w:rsidRPr="00D247A3">
        <w:rPr>
          <w:rFonts w:cs="Arial"/>
          <w:b/>
          <w:sz w:val="24"/>
          <w:szCs w:val="24"/>
        </w:rPr>
        <w:t>4</w:t>
      </w:r>
      <w:r w:rsidR="001D3AFB" w:rsidRPr="00D247A3">
        <w:rPr>
          <w:rFonts w:cs="Arial"/>
          <w:b/>
          <w:sz w:val="24"/>
          <w:szCs w:val="24"/>
        </w:rPr>
        <w:t>.</w:t>
      </w:r>
      <w:r w:rsidR="001D3AFB" w:rsidRPr="00D247A3">
        <w:rPr>
          <w:rFonts w:cs="Arial"/>
          <w:sz w:val="24"/>
          <w:szCs w:val="24"/>
        </w:rPr>
        <w:t xml:space="preserve"> (</w:t>
      </w:r>
      <w:r w:rsidR="0020013D" w:rsidRPr="00D247A3">
        <w:rPr>
          <w:rFonts w:cs="Arial"/>
          <w:sz w:val="24"/>
          <w:szCs w:val="24"/>
        </w:rPr>
        <w:t>A</w:t>
      </w:r>
      <w:r w:rsidR="001D3AFB" w:rsidRPr="00D247A3">
        <w:rPr>
          <w:rFonts w:cs="Arial"/>
          <w:sz w:val="24"/>
          <w:szCs w:val="24"/>
        </w:rPr>
        <w:t>) pH de la so</w:t>
      </w:r>
      <w:r w:rsidR="00EA5EA8" w:rsidRPr="00D247A3">
        <w:rPr>
          <w:rFonts w:cs="Arial"/>
          <w:sz w:val="24"/>
          <w:szCs w:val="24"/>
        </w:rPr>
        <w:t>lución y (</w:t>
      </w:r>
      <w:r w:rsidR="0020013D" w:rsidRPr="00D247A3">
        <w:rPr>
          <w:rFonts w:cs="Arial"/>
          <w:sz w:val="24"/>
          <w:szCs w:val="24"/>
        </w:rPr>
        <w:t>B</w:t>
      </w:r>
      <w:r w:rsidR="00EA5EA8" w:rsidRPr="00D247A3">
        <w:rPr>
          <w:rFonts w:cs="Arial"/>
          <w:sz w:val="24"/>
          <w:szCs w:val="24"/>
        </w:rPr>
        <w:t>) Concentración de P</w:t>
      </w:r>
      <w:r w:rsidR="001D3AFB" w:rsidRPr="00D247A3">
        <w:rPr>
          <w:rFonts w:cs="Arial"/>
          <w:sz w:val="24"/>
          <w:szCs w:val="24"/>
        </w:rPr>
        <w:t xml:space="preserve"> en la solución (mg L</w:t>
      </w:r>
      <w:r w:rsidR="001D3AFB" w:rsidRPr="00D247A3">
        <w:rPr>
          <w:rFonts w:cs="Arial"/>
          <w:sz w:val="24"/>
          <w:szCs w:val="24"/>
          <w:vertAlign w:val="superscript"/>
        </w:rPr>
        <w:t>-1</w:t>
      </w:r>
      <w:r w:rsidR="001D3AFB" w:rsidRPr="00D247A3">
        <w:rPr>
          <w:rFonts w:cs="Arial"/>
          <w:sz w:val="24"/>
          <w:szCs w:val="24"/>
        </w:rPr>
        <w:t xml:space="preserve">) en función del tipo de RP inoculados con </w:t>
      </w:r>
      <w:proofErr w:type="spellStart"/>
      <w:r w:rsidR="001D3AFB" w:rsidRPr="00D247A3">
        <w:rPr>
          <w:rFonts w:cs="Arial"/>
          <w:i/>
          <w:sz w:val="24"/>
          <w:szCs w:val="24"/>
        </w:rPr>
        <w:t>Mortierella</w:t>
      </w:r>
      <w:proofErr w:type="spellEnd"/>
      <w:r w:rsidR="001D3AFB" w:rsidRPr="00D247A3">
        <w:rPr>
          <w:rFonts w:cs="Arial"/>
          <w:sz w:val="24"/>
          <w:szCs w:val="24"/>
        </w:rPr>
        <w:t xml:space="preserve"> </w:t>
      </w:r>
      <w:proofErr w:type="spellStart"/>
      <w:r w:rsidR="001D3AFB" w:rsidRPr="00D247A3">
        <w:rPr>
          <w:rFonts w:cs="Arial"/>
          <w:sz w:val="24"/>
          <w:szCs w:val="24"/>
        </w:rPr>
        <w:t>sp.</w:t>
      </w:r>
      <w:proofErr w:type="spellEnd"/>
      <w:r w:rsidR="001D3AFB" w:rsidRPr="00D247A3">
        <w:rPr>
          <w:rFonts w:cs="Arial"/>
          <w:sz w:val="24"/>
          <w:szCs w:val="24"/>
        </w:rPr>
        <w:t xml:space="preserve"> Cada columna representa el promedio de cuatro repeticiones. Las barras indican la desviación estándar. Columnas con las letras minúsculas diferentes indican diferencia</w:t>
      </w:r>
      <w:r w:rsidR="00516910" w:rsidRPr="00D247A3">
        <w:rPr>
          <w:rFonts w:cs="Arial"/>
          <w:sz w:val="24"/>
          <w:szCs w:val="24"/>
        </w:rPr>
        <w:t>s</w:t>
      </w:r>
      <w:r w:rsidR="001D3AFB" w:rsidRPr="00D247A3">
        <w:rPr>
          <w:rFonts w:cs="Arial"/>
          <w:sz w:val="24"/>
          <w:szCs w:val="24"/>
        </w:rPr>
        <w:t xml:space="preserve"> significativa</w:t>
      </w:r>
      <w:r w:rsidR="00516910" w:rsidRPr="00D247A3">
        <w:rPr>
          <w:rFonts w:cs="Arial"/>
          <w:sz w:val="24"/>
          <w:szCs w:val="24"/>
        </w:rPr>
        <w:t>s</w:t>
      </w:r>
      <w:r w:rsidR="001D3AFB" w:rsidRPr="00D247A3">
        <w:rPr>
          <w:rFonts w:cs="Arial"/>
          <w:sz w:val="24"/>
          <w:szCs w:val="24"/>
        </w:rPr>
        <w:t xml:space="preserve"> de los tratamientos según la prueba de Duncan (</w:t>
      </w:r>
      <w:r w:rsidR="001D3AFB" w:rsidRPr="00D247A3">
        <w:rPr>
          <w:rFonts w:cs="Arial"/>
          <w:i/>
          <w:sz w:val="24"/>
          <w:szCs w:val="24"/>
        </w:rPr>
        <w:t>P</w:t>
      </w:r>
      <w:r w:rsidR="001D3AFB" w:rsidRPr="00D247A3">
        <w:rPr>
          <w:rFonts w:cs="Arial"/>
          <w:sz w:val="24"/>
          <w:szCs w:val="24"/>
        </w:rPr>
        <w:t>≤0.05). CN: Carolina del Norte, H</w:t>
      </w:r>
      <w:r w:rsidR="00CC37A5" w:rsidRPr="00D247A3">
        <w:rPr>
          <w:rFonts w:cs="Arial"/>
          <w:sz w:val="24"/>
          <w:szCs w:val="24"/>
        </w:rPr>
        <w:t>:</w:t>
      </w:r>
      <w:r w:rsidR="001D3AFB" w:rsidRPr="00D247A3">
        <w:rPr>
          <w:rFonts w:cs="Arial"/>
          <w:sz w:val="24"/>
          <w:szCs w:val="24"/>
        </w:rPr>
        <w:t xml:space="preserve"> Huila</w:t>
      </w:r>
      <w:r w:rsidR="00CC37A5" w:rsidRPr="00D247A3">
        <w:rPr>
          <w:rFonts w:cs="Arial"/>
          <w:sz w:val="24"/>
          <w:szCs w:val="24"/>
        </w:rPr>
        <w:t xml:space="preserve"> y</w:t>
      </w:r>
      <w:r w:rsidR="001D3AFB" w:rsidRPr="00D247A3">
        <w:rPr>
          <w:rFonts w:cs="Arial"/>
          <w:sz w:val="24"/>
          <w:szCs w:val="24"/>
        </w:rPr>
        <w:t xml:space="preserve"> S</w:t>
      </w:r>
      <w:r w:rsidR="00CC37A5" w:rsidRPr="00D247A3">
        <w:rPr>
          <w:rFonts w:cs="Arial"/>
          <w:sz w:val="24"/>
          <w:szCs w:val="24"/>
        </w:rPr>
        <w:t>:</w:t>
      </w:r>
      <w:r w:rsidR="001D3AFB" w:rsidRPr="00D247A3">
        <w:rPr>
          <w:rFonts w:cs="Arial"/>
          <w:sz w:val="24"/>
          <w:szCs w:val="24"/>
        </w:rPr>
        <w:t xml:space="preserve"> Santander</w:t>
      </w:r>
      <w:r w:rsidR="00B2466D" w:rsidRPr="00D247A3">
        <w:rPr>
          <w:rFonts w:cs="Arial"/>
          <w:sz w:val="24"/>
          <w:szCs w:val="24"/>
        </w:rPr>
        <w:t>.</w:t>
      </w:r>
    </w:p>
    <w:p w:rsidR="00B265D8" w:rsidRPr="00D247A3" w:rsidRDefault="001D3AFB" w:rsidP="005836FE">
      <w:pPr>
        <w:spacing w:line="360" w:lineRule="auto"/>
        <w:jc w:val="both"/>
        <w:rPr>
          <w:rFonts w:cs="Arial"/>
          <w:b/>
          <w:sz w:val="24"/>
          <w:szCs w:val="24"/>
        </w:rPr>
      </w:pPr>
      <w:r w:rsidRPr="00D247A3">
        <w:rPr>
          <w:rFonts w:cs="Arial"/>
          <w:b/>
          <w:sz w:val="24"/>
          <w:szCs w:val="24"/>
        </w:rPr>
        <w:t xml:space="preserve">Discusión </w:t>
      </w:r>
    </w:p>
    <w:p w:rsidR="00B265D8" w:rsidRPr="00D247A3" w:rsidRDefault="00B265D8" w:rsidP="005836FE">
      <w:pPr>
        <w:spacing w:line="360" w:lineRule="auto"/>
        <w:jc w:val="both"/>
        <w:rPr>
          <w:rFonts w:cs="Arial"/>
          <w:b/>
          <w:sz w:val="24"/>
          <w:szCs w:val="24"/>
        </w:rPr>
      </w:pPr>
      <w:r w:rsidRPr="00D247A3">
        <w:rPr>
          <w:rFonts w:cs="Arial"/>
          <w:sz w:val="24"/>
          <w:szCs w:val="24"/>
        </w:rPr>
        <w:t xml:space="preserve">La eficiencia del proceso de </w:t>
      </w:r>
      <w:proofErr w:type="spellStart"/>
      <w:r w:rsidRPr="00D247A3">
        <w:rPr>
          <w:rFonts w:cs="Arial"/>
          <w:sz w:val="24"/>
          <w:szCs w:val="24"/>
        </w:rPr>
        <w:t>bioacidulaci</w:t>
      </w:r>
      <w:r w:rsidR="005E4DF2" w:rsidRPr="00D247A3">
        <w:rPr>
          <w:rFonts w:cs="Arial"/>
          <w:sz w:val="24"/>
          <w:szCs w:val="24"/>
        </w:rPr>
        <w:t>ó</w:t>
      </w:r>
      <w:r w:rsidRPr="00D247A3">
        <w:rPr>
          <w:rFonts w:cs="Arial"/>
          <w:sz w:val="24"/>
          <w:szCs w:val="24"/>
        </w:rPr>
        <w:t>n</w:t>
      </w:r>
      <w:proofErr w:type="spellEnd"/>
      <w:r w:rsidRPr="00D247A3">
        <w:rPr>
          <w:rFonts w:cs="Arial"/>
          <w:sz w:val="24"/>
          <w:szCs w:val="24"/>
        </w:rPr>
        <w:t xml:space="preserve"> de la RP por el hongo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proofErr w:type="spellEnd"/>
      <w:r w:rsidRPr="00D247A3">
        <w:rPr>
          <w:rFonts w:cs="Arial"/>
          <w:sz w:val="24"/>
          <w:szCs w:val="24"/>
        </w:rPr>
        <w:t xml:space="preserve"> se mejoró evaluando factores asociados al tipo de material y a condiciones propias de la reacción.</w:t>
      </w:r>
    </w:p>
    <w:p w:rsidR="001D3AFB" w:rsidRPr="00D247A3" w:rsidRDefault="00B265D8" w:rsidP="005836FE">
      <w:pPr>
        <w:spacing w:line="360" w:lineRule="auto"/>
        <w:jc w:val="both"/>
        <w:rPr>
          <w:rFonts w:cs="Arial"/>
          <w:sz w:val="24"/>
          <w:szCs w:val="24"/>
        </w:rPr>
      </w:pPr>
      <w:r w:rsidRPr="00D247A3">
        <w:rPr>
          <w:rFonts w:cs="Arial"/>
          <w:sz w:val="24"/>
          <w:szCs w:val="24"/>
        </w:rPr>
        <w:t>L</w:t>
      </w:r>
      <w:r w:rsidR="001D3AFB" w:rsidRPr="00D247A3">
        <w:rPr>
          <w:rFonts w:cs="Arial"/>
          <w:sz w:val="24"/>
          <w:szCs w:val="24"/>
        </w:rPr>
        <w:t xml:space="preserve">a disolución de RP </w:t>
      </w:r>
      <w:r w:rsidRPr="00D247A3">
        <w:rPr>
          <w:rFonts w:cs="Arial"/>
          <w:sz w:val="24"/>
          <w:szCs w:val="24"/>
        </w:rPr>
        <w:t xml:space="preserve">por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proofErr w:type="spellEnd"/>
      <w:r w:rsidRPr="00D247A3">
        <w:rPr>
          <w:rFonts w:cs="Arial"/>
          <w:sz w:val="24"/>
          <w:szCs w:val="24"/>
        </w:rPr>
        <w:t xml:space="preserve"> </w:t>
      </w:r>
      <w:r w:rsidR="001D3AFB" w:rsidRPr="00D247A3">
        <w:rPr>
          <w:rFonts w:cs="Arial"/>
          <w:sz w:val="24"/>
          <w:szCs w:val="24"/>
        </w:rPr>
        <w:t xml:space="preserve">se vio favorecida cuando en el medio la concentración </w:t>
      </w:r>
      <w:r w:rsidR="00EA5EA8" w:rsidRPr="00D247A3">
        <w:rPr>
          <w:rFonts w:cs="Arial"/>
          <w:sz w:val="24"/>
          <w:szCs w:val="24"/>
        </w:rPr>
        <w:t>de P</w:t>
      </w:r>
      <w:r w:rsidR="001D3AFB" w:rsidRPr="00D247A3">
        <w:rPr>
          <w:rFonts w:cs="Arial"/>
          <w:sz w:val="24"/>
          <w:szCs w:val="24"/>
        </w:rPr>
        <w:t xml:space="preserve"> inicial soluble fue muy baja. Al in</w:t>
      </w:r>
      <w:r w:rsidR="00EA5EA8" w:rsidRPr="00D247A3">
        <w:rPr>
          <w:rFonts w:cs="Arial"/>
          <w:sz w:val="24"/>
          <w:szCs w:val="24"/>
        </w:rPr>
        <w:t>crementar la concentración de P</w:t>
      </w:r>
      <w:r w:rsidR="001D3AFB" w:rsidRPr="00D247A3">
        <w:rPr>
          <w:rFonts w:cs="Arial"/>
          <w:sz w:val="24"/>
          <w:szCs w:val="24"/>
        </w:rPr>
        <w:t xml:space="preserve"> inicial (con aplicaciones de KH</w:t>
      </w:r>
      <w:r w:rsidR="001D3AFB" w:rsidRPr="00D247A3">
        <w:rPr>
          <w:rFonts w:cs="Arial"/>
          <w:sz w:val="24"/>
          <w:szCs w:val="24"/>
          <w:vertAlign w:val="subscript"/>
        </w:rPr>
        <w:t>2</w:t>
      </w:r>
      <w:r w:rsidR="001D3AFB" w:rsidRPr="00D247A3">
        <w:rPr>
          <w:rFonts w:cs="Arial"/>
          <w:sz w:val="24"/>
          <w:szCs w:val="24"/>
        </w:rPr>
        <w:t>PO</w:t>
      </w:r>
      <w:r w:rsidR="001D3AFB" w:rsidRPr="00D247A3">
        <w:rPr>
          <w:rFonts w:cs="Arial"/>
          <w:sz w:val="24"/>
          <w:szCs w:val="24"/>
          <w:vertAlign w:val="subscript"/>
        </w:rPr>
        <w:t>4</w:t>
      </w:r>
      <w:r w:rsidR="001D3AFB" w:rsidRPr="00D247A3">
        <w:rPr>
          <w:rFonts w:cs="Arial"/>
          <w:sz w:val="24"/>
          <w:szCs w:val="24"/>
        </w:rPr>
        <w:t>), la capacidad de est</w:t>
      </w:r>
      <w:r w:rsidR="00EA5EA8" w:rsidRPr="00D247A3">
        <w:rPr>
          <w:rFonts w:cs="Arial"/>
          <w:sz w:val="24"/>
          <w:szCs w:val="24"/>
        </w:rPr>
        <w:t>e hongo</w:t>
      </w:r>
      <w:r w:rsidR="001D3AFB" w:rsidRPr="00D247A3">
        <w:rPr>
          <w:rFonts w:cs="Arial"/>
          <w:sz w:val="24"/>
          <w:szCs w:val="24"/>
        </w:rPr>
        <w:t xml:space="preserve"> para producir ácidos disminuyó y, por ende, disminuyó su capacidad para disolver RP. </w:t>
      </w:r>
      <w:r w:rsidR="001D3AFB" w:rsidRPr="00D247A3">
        <w:rPr>
          <w:rFonts w:cs="Arial"/>
          <w:noProof/>
          <w:sz w:val="24"/>
          <w:szCs w:val="24"/>
          <w:lang w:eastAsia="es-CO"/>
        </w:rPr>
        <w:t>Cálculos hechos para estimar la eficiencia de</w:t>
      </w:r>
      <w:r w:rsidR="00EA5EA8" w:rsidRPr="00D247A3">
        <w:rPr>
          <w:rFonts w:cs="Arial"/>
          <w:noProof/>
          <w:sz w:val="24"/>
          <w:szCs w:val="24"/>
          <w:lang w:eastAsia="es-CO"/>
        </w:rPr>
        <w:t>l hongo</w:t>
      </w:r>
      <w:r w:rsidR="001D3AFB" w:rsidRPr="00D247A3">
        <w:rPr>
          <w:rFonts w:cs="Arial"/>
          <w:noProof/>
          <w:sz w:val="24"/>
          <w:szCs w:val="24"/>
          <w:lang w:eastAsia="es-CO"/>
        </w:rPr>
        <w:t xml:space="preserve"> par</w:t>
      </w:r>
      <w:r w:rsidRPr="00D247A3">
        <w:rPr>
          <w:rFonts w:cs="Arial"/>
          <w:noProof/>
          <w:sz w:val="24"/>
          <w:szCs w:val="24"/>
          <w:lang w:eastAsia="es-CO"/>
        </w:rPr>
        <w:t>a disolver RP [EDRP</w:t>
      </w:r>
      <w:r w:rsidR="00EA5EA8" w:rsidRPr="00D247A3">
        <w:rPr>
          <w:rFonts w:cs="Arial"/>
          <w:noProof/>
          <w:sz w:val="24"/>
          <w:szCs w:val="24"/>
          <w:lang w:eastAsia="es-CO"/>
        </w:rPr>
        <w:t>(%)= 100x(P soluble÷P</w:t>
      </w:r>
      <w:r w:rsidR="001D3AFB" w:rsidRPr="00D247A3">
        <w:rPr>
          <w:rFonts w:cs="Arial"/>
          <w:noProof/>
          <w:sz w:val="24"/>
          <w:szCs w:val="24"/>
          <w:lang w:eastAsia="es-CO"/>
        </w:rPr>
        <w:t xml:space="preserve"> total en RP)] indican que el EDRP de </w:t>
      </w:r>
      <w:r w:rsidR="001D3AFB" w:rsidRPr="00D247A3">
        <w:rPr>
          <w:rFonts w:cs="Arial"/>
          <w:i/>
          <w:noProof/>
          <w:sz w:val="24"/>
          <w:szCs w:val="24"/>
          <w:lang w:eastAsia="es-CO"/>
        </w:rPr>
        <w:t>Mortierella</w:t>
      </w:r>
      <w:r w:rsidR="001D3AFB" w:rsidRPr="00D247A3">
        <w:rPr>
          <w:rFonts w:cs="Arial"/>
          <w:noProof/>
          <w:sz w:val="24"/>
          <w:szCs w:val="24"/>
          <w:lang w:eastAsia="es-CO"/>
        </w:rPr>
        <w:t xml:space="preserve"> sp. fue de</w:t>
      </w:r>
      <w:r w:rsidR="00EA5EA8" w:rsidRPr="00D247A3">
        <w:rPr>
          <w:rFonts w:cs="Arial"/>
          <w:noProof/>
          <w:sz w:val="24"/>
          <w:szCs w:val="24"/>
          <w:lang w:eastAsia="es-CO"/>
        </w:rPr>
        <w:t xml:space="preserve"> 13% sin la adicion o con la ad</w:t>
      </w:r>
      <w:r w:rsidR="001D3AFB" w:rsidRPr="00D247A3">
        <w:rPr>
          <w:rFonts w:cs="Arial"/>
          <w:noProof/>
          <w:sz w:val="24"/>
          <w:szCs w:val="24"/>
          <w:lang w:eastAsia="es-CO"/>
        </w:rPr>
        <w:t>ic</w:t>
      </w:r>
      <w:r w:rsidR="00EA5EA8" w:rsidRPr="00D247A3">
        <w:rPr>
          <w:rFonts w:cs="Arial"/>
          <w:noProof/>
          <w:sz w:val="24"/>
          <w:szCs w:val="24"/>
          <w:lang w:eastAsia="es-CO"/>
        </w:rPr>
        <w:t>i</w:t>
      </w:r>
      <w:r w:rsidR="001D3AFB" w:rsidRPr="00D247A3">
        <w:rPr>
          <w:rFonts w:cs="Arial"/>
          <w:noProof/>
          <w:sz w:val="24"/>
          <w:szCs w:val="24"/>
          <w:lang w:eastAsia="es-CO"/>
        </w:rPr>
        <w:t xml:space="preserve">ón de niveles bajos de </w:t>
      </w:r>
      <w:r w:rsidR="001D3AFB" w:rsidRPr="00D247A3">
        <w:rPr>
          <w:rFonts w:cs="Arial"/>
          <w:sz w:val="24"/>
          <w:szCs w:val="24"/>
        </w:rPr>
        <w:t>KH</w:t>
      </w:r>
      <w:r w:rsidR="001D3AFB" w:rsidRPr="00D247A3">
        <w:rPr>
          <w:rFonts w:cs="Arial"/>
          <w:sz w:val="24"/>
          <w:szCs w:val="24"/>
          <w:vertAlign w:val="subscript"/>
        </w:rPr>
        <w:t>2</w:t>
      </w:r>
      <w:r w:rsidR="001D3AFB" w:rsidRPr="00D247A3">
        <w:rPr>
          <w:rFonts w:cs="Arial"/>
          <w:sz w:val="24"/>
          <w:szCs w:val="24"/>
        </w:rPr>
        <w:t>PO</w:t>
      </w:r>
      <w:r w:rsidR="001D3AFB" w:rsidRPr="00D247A3">
        <w:rPr>
          <w:rFonts w:cs="Arial"/>
          <w:sz w:val="24"/>
          <w:szCs w:val="24"/>
          <w:vertAlign w:val="subscript"/>
        </w:rPr>
        <w:t>4</w:t>
      </w:r>
      <w:r w:rsidR="001D3AFB" w:rsidRPr="00D247A3">
        <w:rPr>
          <w:rFonts w:cs="Arial"/>
          <w:sz w:val="24"/>
          <w:szCs w:val="24"/>
        </w:rPr>
        <w:t xml:space="preserve"> (0-5 mg L</w:t>
      </w:r>
      <w:r w:rsidR="001D3AFB" w:rsidRPr="00D247A3">
        <w:rPr>
          <w:rFonts w:cs="Arial"/>
          <w:sz w:val="24"/>
          <w:szCs w:val="24"/>
          <w:vertAlign w:val="superscript"/>
        </w:rPr>
        <w:t>-1</w:t>
      </w:r>
      <w:r w:rsidR="001D3AFB" w:rsidRPr="00D247A3">
        <w:rPr>
          <w:rFonts w:cs="Arial"/>
          <w:sz w:val="24"/>
          <w:szCs w:val="24"/>
        </w:rPr>
        <w:t>), a niveles medios (10 mg L</w:t>
      </w:r>
      <w:r w:rsidR="001D3AFB" w:rsidRPr="00D247A3">
        <w:rPr>
          <w:rFonts w:cs="Arial"/>
          <w:sz w:val="24"/>
          <w:szCs w:val="24"/>
          <w:vertAlign w:val="superscript"/>
        </w:rPr>
        <w:t>-1</w:t>
      </w:r>
      <w:r w:rsidR="001D3AFB" w:rsidRPr="00D247A3">
        <w:rPr>
          <w:rFonts w:cs="Arial"/>
          <w:sz w:val="24"/>
          <w:szCs w:val="24"/>
        </w:rPr>
        <w:t>) el valor de EDRP fue de 0.</w:t>
      </w:r>
      <w:r w:rsidR="00EA5EA8" w:rsidRPr="00D247A3">
        <w:rPr>
          <w:rFonts w:cs="Arial"/>
          <w:sz w:val="24"/>
          <w:szCs w:val="24"/>
        </w:rPr>
        <w:t>6% y los niveles más altos de P</w:t>
      </w:r>
      <w:r w:rsidR="001D3AFB" w:rsidRPr="00D247A3">
        <w:rPr>
          <w:rFonts w:cs="Arial"/>
          <w:sz w:val="24"/>
          <w:szCs w:val="24"/>
        </w:rPr>
        <w:t xml:space="preserve"> soluble adicionado (50 y 100 mg L</w:t>
      </w:r>
      <w:r w:rsidR="001D3AFB" w:rsidRPr="00D247A3">
        <w:rPr>
          <w:rFonts w:cs="Arial"/>
          <w:sz w:val="24"/>
          <w:szCs w:val="24"/>
          <w:vertAlign w:val="superscript"/>
        </w:rPr>
        <w:t>-1</w:t>
      </w:r>
      <w:r w:rsidR="001D3AFB" w:rsidRPr="00D247A3">
        <w:rPr>
          <w:rFonts w:cs="Arial"/>
          <w:sz w:val="24"/>
          <w:szCs w:val="24"/>
        </w:rPr>
        <w:t xml:space="preserve">) la </w:t>
      </w:r>
      <w:r w:rsidRPr="00D247A3">
        <w:rPr>
          <w:rFonts w:cs="Arial"/>
          <w:sz w:val="24"/>
          <w:szCs w:val="24"/>
        </w:rPr>
        <w:t>eficiencia</w:t>
      </w:r>
      <w:r w:rsidR="00EA5EA8" w:rsidRPr="00D247A3">
        <w:rPr>
          <w:rFonts w:cs="Arial"/>
          <w:sz w:val="24"/>
          <w:szCs w:val="24"/>
        </w:rPr>
        <w:t xml:space="preserve"> fue muy baja (0.02%) o nula</w:t>
      </w:r>
      <w:r w:rsidR="001D3AFB" w:rsidRPr="00D247A3">
        <w:rPr>
          <w:rFonts w:cs="Arial"/>
          <w:sz w:val="24"/>
          <w:szCs w:val="24"/>
        </w:rPr>
        <w:t xml:space="preserve">. </w:t>
      </w:r>
    </w:p>
    <w:p w:rsidR="001D3AFB" w:rsidRPr="00D247A3" w:rsidRDefault="001D3AFB" w:rsidP="005836FE">
      <w:pPr>
        <w:spacing w:line="360" w:lineRule="auto"/>
        <w:jc w:val="both"/>
        <w:rPr>
          <w:rFonts w:cs="Arial"/>
          <w:sz w:val="24"/>
          <w:szCs w:val="24"/>
        </w:rPr>
      </w:pPr>
      <w:r w:rsidRPr="00D247A3">
        <w:rPr>
          <w:rFonts w:cs="Arial"/>
          <w:sz w:val="24"/>
          <w:szCs w:val="24"/>
        </w:rPr>
        <w:t xml:space="preserve">El metabolismo asociado a la producción de ácidos por los hongos </w:t>
      </w:r>
      <w:r w:rsidRPr="00D247A3">
        <w:rPr>
          <w:rFonts w:cs="Arial"/>
          <w:noProof/>
          <w:sz w:val="24"/>
          <w:szCs w:val="24"/>
          <w:lang w:eastAsia="es-CO"/>
        </w:rPr>
        <w:t>depende de un sistema de enzimas que pueden ser constitutivas o inducidas (Madigan</w:t>
      </w:r>
      <w:r w:rsidR="00516910" w:rsidRPr="00D247A3">
        <w:rPr>
          <w:rFonts w:cs="Arial"/>
          <w:noProof/>
          <w:sz w:val="24"/>
          <w:szCs w:val="24"/>
          <w:lang w:eastAsia="es-CO"/>
        </w:rPr>
        <w:t xml:space="preserve"> </w:t>
      </w:r>
      <w:r w:rsidR="00516910" w:rsidRPr="00D247A3">
        <w:rPr>
          <w:rFonts w:cs="Arial"/>
          <w:i/>
          <w:noProof/>
          <w:sz w:val="24"/>
          <w:szCs w:val="24"/>
          <w:lang w:eastAsia="es-CO"/>
        </w:rPr>
        <w:t>et al.</w:t>
      </w:r>
      <w:r w:rsidRPr="00D247A3">
        <w:rPr>
          <w:rFonts w:cs="Arial"/>
          <w:noProof/>
          <w:sz w:val="24"/>
          <w:szCs w:val="24"/>
          <w:lang w:eastAsia="es-CO"/>
        </w:rPr>
        <w:t xml:space="preserve">, 2004). Para </w:t>
      </w:r>
      <w:r w:rsidR="00EE0482" w:rsidRPr="00D247A3">
        <w:rPr>
          <w:rFonts w:cs="Arial"/>
          <w:noProof/>
          <w:sz w:val="24"/>
          <w:szCs w:val="24"/>
          <w:lang w:eastAsia="es-CO"/>
        </w:rPr>
        <w:t xml:space="preserve">este </w:t>
      </w:r>
      <w:r w:rsidRPr="00D247A3">
        <w:rPr>
          <w:rFonts w:cs="Arial"/>
          <w:noProof/>
          <w:sz w:val="24"/>
          <w:szCs w:val="24"/>
          <w:lang w:eastAsia="es-CO"/>
        </w:rPr>
        <w:t xml:space="preserve">hongo varios factores del medio de cultivo inducen la producción de ácidos, como </w:t>
      </w:r>
      <w:r w:rsidR="00BE0ADB" w:rsidRPr="00D247A3">
        <w:rPr>
          <w:rFonts w:cs="Arial"/>
          <w:noProof/>
          <w:sz w:val="24"/>
          <w:szCs w:val="24"/>
          <w:lang w:eastAsia="es-CO"/>
        </w:rPr>
        <w:t>l</w:t>
      </w:r>
      <w:r w:rsidRPr="00D247A3">
        <w:rPr>
          <w:rFonts w:cs="Arial"/>
          <w:noProof/>
          <w:sz w:val="24"/>
          <w:szCs w:val="24"/>
          <w:lang w:eastAsia="es-CO"/>
        </w:rPr>
        <w:t>a fuente y cantidad de carbono</w:t>
      </w:r>
      <w:r w:rsidR="00EE0482" w:rsidRPr="00D247A3">
        <w:rPr>
          <w:rFonts w:cs="Arial"/>
          <w:noProof/>
          <w:sz w:val="24"/>
          <w:szCs w:val="24"/>
          <w:lang w:eastAsia="es-CO"/>
        </w:rPr>
        <w:t xml:space="preserve"> (C) y nitrógeno</w:t>
      </w:r>
      <w:r w:rsidRPr="00D247A3">
        <w:rPr>
          <w:rFonts w:cs="Arial"/>
          <w:noProof/>
          <w:sz w:val="24"/>
          <w:szCs w:val="24"/>
          <w:lang w:eastAsia="es-CO"/>
        </w:rPr>
        <w:t xml:space="preserve"> (N)</w:t>
      </w:r>
      <w:r w:rsidR="00804023" w:rsidRPr="00D247A3">
        <w:rPr>
          <w:rFonts w:cs="Arial"/>
          <w:noProof/>
          <w:sz w:val="24"/>
          <w:szCs w:val="24"/>
          <w:lang w:eastAsia="es-CO"/>
        </w:rPr>
        <w:t xml:space="preserve"> (Osor</w:t>
      </w:r>
      <w:r w:rsidR="00D247A3" w:rsidRPr="00D247A3">
        <w:rPr>
          <w:rFonts w:cs="Arial"/>
          <w:noProof/>
          <w:sz w:val="24"/>
          <w:szCs w:val="24"/>
          <w:lang w:eastAsia="es-CO"/>
        </w:rPr>
        <w:t>n</w:t>
      </w:r>
      <w:r w:rsidR="00804023" w:rsidRPr="00D247A3">
        <w:rPr>
          <w:rFonts w:cs="Arial"/>
          <w:noProof/>
          <w:sz w:val="24"/>
          <w:szCs w:val="24"/>
          <w:lang w:eastAsia="es-CO"/>
        </w:rPr>
        <w:t>o &amp; Osorio, 2014)</w:t>
      </w:r>
      <w:r w:rsidR="000C4F30" w:rsidRPr="00D247A3">
        <w:rPr>
          <w:rFonts w:cs="Arial"/>
          <w:noProof/>
          <w:sz w:val="24"/>
          <w:szCs w:val="24"/>
          <w:lang w:eastAsia="es-CO"/>
        </w:rPr>
        <w:t>.</w:t>
      </w:r>
      <w:r w:rsidRPr="00D247A3">
        <w:rPr>
          <w:rFonts w:cs="Arial"/>
          <w:sz w:val="24"/>
          <w:szCs w:val="24"/>
        </w:rPr>
        <w:t xml:space="preserve"> En este caso, los resul</w:t>
      </w:r>
      <w:r w:rsidR="002A47D0" w:rsidRPr="00D247A3">
        <w:rPr>
          <w:rFonts w:cs="Arial"/>
          <w:sz w:val="24"/>
          <w:szCs w:val="24"/>
        </w:rPr>
        <w:t>tados indican que la falta de P</w:t>
      </w:r>
      <w:r w:rsidRPr="00D247A3">
        <w:rPr>
          <w:rFonts w:cs="Arial"/>
          <w:sz w:val="24"/>
          <w:szCs w:val="24"/>
        </w:rPr>
        <w:t xml:space="preserve"> soluble inicial induce la producción de ácidos por </w:t>
      </w:r>
      <w:r w:rsidR="002A47D0" w:rsidRPr="00D247A3">
        <w:rPr>
          <w:rFonts w:cs="Arial"/>
          <w:sz w:val="24"/>
          <w:szCs w:val="24"/>
        </w:rPr>
        <w:t>el hongo</w:t>
      </w:r>
      <w:r w:rsidRPr="00D247A3">
        <w:rPr>
          <w:rFonts w:cs="Arial"/>
          <w:sz w:val="24"/>
          <w:szCs w:val="24"/>
        </w:rPr>
        <w:t>. Esto puede de</w:t>
      </w:r>
      <w:r w:rsidR="002A47D0" w:rsidRPr="00D247A3">
        <w:rPr>
          <w:rFonts w:cs="Arial"/>
          <w:sz w:val="24"/>
          <w:szCs w:val="24"/>
        </w:rPr>
        <w:t xml:space="preserve">berse a </w:t>
      </w:r>
      <w:r w:rsidR="005E4DF2" w:rsidRPr="00D247A3">
        <w:rPr>
          <w:rFonts w:cs="Arial"/>
          <w:sz w:val="24"/>
          <w:szCs w:val="24"/>
        </w:rPr>
        <w:t>que,</w:t>
      </w:r>
      <w:r w:rsidR="002A47D0" w:rsidRPr="00D247A3">
        <w:rPr>
          <w:rFonts w:cs="Arial"/>
          <w:sz w:val="24"/>
          <w:szCs w:val="24"/>
        </w:rPr>
        <w:t xml:space="preserve"> con la escasez de P soluble, el hongo se </w:t>
      </w:r>
      <w:r w:rsidR="00BE0ADB" w:rsidRPr="00D247A3">
        <w:rPr>
          <w:rFonts w:cs="Arial"/>
          <w:sz w:val="24"/>
          <w:szCs w:val="24"/>
        </w:rPr>
        <w:t>ve</w:t>
      </w:r>
      <w:r w:rsidR="002A47D0" w:rsidRPr="00D247A3">
        <w:rPr>
          <w:rFonts w:cs="Arial"/>
          <w:sz w:val="24"/>
          <w:szCs w:val="24"/>
        </w:rPr>
        <w:t xml:space="preserve"> obligado</w:t>
      </w:r>
      <w:r w:rsidRPr="00D247A3">
        <w:rPr>
          <w:rFonts w:cs="Arial"/>
          <w:sz w:val="24"/>
          <w:szCs w:val="24"/>
        </w:rPr>
        <w:t xml:space="preserve"> a pr</w:t>
      </w:r>
      <w:r w:rsidR="002A47D0" w:rsidRPr="00D247A3">
        <w:rPr>
          <w:rFonts w:cs="Arial"/>
          <w:sz w:val="24"/>
          <w:szCs w:val="24"/>
        </w:rPr>
        <w:t>oducir ácidos para liberar el P</w:t>
      </w:r>
      <w:r w:rsidRPr="00D247A3">
        <w:rPr>
          <w:rFonts w:cs="Arial"/>
          <w:sz w:val="24"/>
          <w:szCs w:val="24"/>
        </w:rPr>
        <w:t xml:space="preserve"> de la RP requerido para sus actividades metabólicas. Cua</w:t>
      </w:r>
      <w:r w:rsidR="002A47D0" w:rsidRPr="00D247A3">
        <w:rPr>
          <w:rFonts w:cs="Arial"/>
          <w:sz w:val="24"/>
          <w:szCs w:val="24"/>
        </w:rPr>
        <w:t>ndo en el medio de cultivo el P</w:t>
      </w:r>
      <w:r w:rsidRPr="00D247A3">
        <w:rPr>
          <w:rFonts w:cs="Arial"/>
          <w:sz w:val="24"/>
          <w:szCs w:val="24"/>
        </w:rPr>
        <w:t xml:space="preserve"> soluble está presente en </w:t>
      </w:r>
      <w:r w:rsidRPr="00D247A3">
        <w:rPr>
          <w:rFonts w:cs="Arial"/>
          <w:sz w:val="24"/>
          <w:szCs w:val="24"/>
        </w:rPr>
        <w:lastRenderedPageBreak/>
        <w:t>concentraciones suficientes p</w:t>
      </w:r>
      <w:r w:rsidR="002A47D0" w:rsidRPr="00D247A3">
        <w:rPr>
          <w:rFonts w:cs="Arial"/>
          <w:sz w:val="24"/>
          <w:szCs w:val="24"/>
        </w:rPr>
        <w:t xml:space="preserve">ara el metabolismo </w:t>
      </w:r>
      <w:r w:rsidR="005E4DF2" w:rsidRPr="00D247A3">
        <w:rPr>
          <w:rFonts w:cs="Arial"/>
          <w:sz w:val="24"/>
          <w:szCs w:val="24"/>
        </w:rPr>
        <w:t>del</w:t>
      </w:r>
      <w:r w:rsidR="002A47D0" w:rsidRPr="00D247A3">
        <w:rPr>
          <w:rFonts w:cs="Arial"/>
          <w:sz w:val="24"/>
          <w:szCs w:val="24"/>
        </w:rPr>
        <w:t xml:space="preserve"> hongo</w:t>
      </w:r>
      <w:r w:rsidRPr="00D247A3">
        <w:rPr>
          <w:rFonts w:cs="Arial"/>
          <w:sz w:val="24"/>
          <w:szCs w:val="24"/>
        </w:rPr>
        <w:t>, la producción de ácido disminuye.</w:t>
      </w:r>
    </w:p>
    <w:p w:rsidR="001D3AFB" w:rsidRPr="00D247A3" w:rsidRDefault="001D3AFB" w:rsidP="005836FE">
      <w:pPr>
        <w:spacing w:line="360" w:lineRule="auto"/>
        <w:jc w:val="both"/>
        <w:rPr>
          <w:rFonts w:cs="Arial"/>
          <w:sz w:val="24"/>
          <w:szCs w:val="24"/>
        </w:rPr>
      </w:pPr>
      <w:r w:rsidRPr="00D247A3">
        <w:rPr>
          <w:rFonts w:cs="Arial"/>
          <w:sz w:val="24"/>
          <w:szCs w:val="24"/>
        </w:rPr>
        <w:t>Es claro que la adición de vitaminas y micronutrientes al medio de cultivo d</w:t>
      </w:r>
      <w:r w:rsidR="002A47D0" w:rsidRPr="00D247A3">
        <w:rPr>
          <w:rFonts w:cs="Arial"/>
          <w:sz w:val="24"/>
          <w:szCs w:val="24"/>
        </w:rPr>
        <w:t>isminuyó la producción de ácido</w:t>
      </w:r>
      <w:r w:rsidRPr="00D247A3">
        <w:rPr>
          <w:rFonts w:cs="Arial"/>
          <w:sz w:val="24"/>
          <w:szCs w:val="24"/>
        </w:rPr>
        <w:t xml:space="preserve"> (no se presentaron pH bajos) y, por ende, no hubo una efectiva disolución de RP. Los valores de EDRP para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proofErr w:type="spellEnd"/>
      <w:r w:rsidRPr="00D247A3">
        <w:rPr>
          <w:rFonts w:cs="Arial"/>
          <w:sz w:val="24"/>
          <w:szCs w:val="24"/>
        </w:rPr>
        <w:t xml:space="preserve"> sin la adición suplementos nutricionales fue de 21%, con la adición de micronutrientes disminuyó a un promedio de 14.6% y con vitaminas a 18.5%. </w:t>
      </w:r>
    </w:p>
    <w:p w:rsidR="00333EB1" w:rsidRPr="00D247A3" w:rsidRDefault="001D3AFB" w:rsidP="005836FE">
      <w:pPr>
        <w:spacing w:line="360" w:lineRule="auto"/>
        <w:jc w:val="both"/>
        <w:rPr>
          <w:rFonts w:cs="Arial"/>
          <w:sz w:val="24"/>
          <w:szCs w:val="24"/>
        </w:rPr>
      </w:pPr>
      <w:r w:rsidRPr="00D247A3">
        <w:rPr>
          <w:rFonts w:cs="Arial"/>
          <w:sz w:val="24"/>
          <w:szCs w:val="24"/>
        </w:rPr>
        <w:t>Aunque los micronutrientes Fe, Mn, Cu y Zn son requeridos por los hongos, en altas cantida</w:t>
      </w:r>
      <w:r w:rsidR="002A47D0" w:rsidRPr="00D247A3">
        <w:rPr>
          <w:rFonts w:cs="Arial"/>
          <w:sz w:val="24"/>
          <w:szCs w:val="24"/>
        </w:rPr>
        <w:t xml:space="preserve">des pueden </w:t>
      </w:r>
      <w:r w:rsidRPr="00D247A3">
        <w:rPr>
          <w:rFonts w:cs="Arial"/>
          <w:sz w:val="24"/>
          <w:szCs w:val="24"/>
        </w:rPr>
        <w:t>limita</w:t>
      </w:r>
      <w:r w:rsidR="002A47D0" w:rsidRPr="00D247A3">
        <w:rPr>
          <w:rFonts w:cs="Arial"/>
          <w:sz w:val="24"/>
          <w:szCs w:val="24"/>
        </w:rPr>
        <w:t>r</w:t>
      </w:r>
      <w:r w:rsidRPr="00D247A3">
        <w:rPr>
          <w:rFonts w:cs="Arial"/>
          <w:sz w:val="24"/>
          <w:szCs w:val="24"/>
        </w:rPr>
        <w:t xml:space="preserve"> el desempeño de estos (Max </w:t>
      </w:r>
      <w:r w:rsidR="00DB75C7" w:rsidRPr="00D247A3">
        <w:rPr>
          <w:rFonts w:cs="Arial"/>
          <w:i/>
          <w:sz w:val="24"/>
          <w:szCs w:val="24"/>
        </w:rPr>
        <w:t>et al</w:t>
      </w:r>
      <w:r w:rsidRPr="00D247A3">
        <w:rPr>
          <w:rFonts w:cs="Arial"/>
          <w:sz w:val="24"/>
          <w:szCs w:val="24"/>
        </w:rPr>
        <w:t xml:space="preserve">., 2010). Por ejemplo, </w:t>
      </w:r>
      <w:proofErr w:type="spellStart"/>
      <w:r w:rsidRPr="00D247A3">
        <w:rPr>
          <w:rFonts w:cs="Arial"/>
          <w:sz w:val="24"/>
          <w:szCs w:val="24"/>
        </w:rPr>
        <w:t>Shu</w:t>
      </w:r>
      <w:proofErr w:type="spellEnd"/>
      <w:r w:rsidRPr="00D247A3">
        <w:rPr>
          <w:rFonts w:cs="Arial"/>
          <w:sz w:val="24"/>
          <w:szCs w:val="24"/>
        </w:rPr>
        <w:t xml:space="preserve"> </w:t>
      </w:r>
      <w:r w:rsidR="00A224F2" w:rsidRPr="00D247A3">
        <w:rPr>
          <w:rFonts w:cs="Arial"/>
          <w:sz w:val="24"/>
          <w:szCs w:val="24"/>
        </w:rPr>
        <w:t xml:space="preserve">&amp; </w:t>
      </w:r>
      <w:r w:rsidR="004D0FC1" w:rsidRPr="00D247A3">
        <w:rPr>
          <w:rFonts w:cs="Arial"/>
          <w:sz w:val="24"/>
          <w:szCs w:val="24"/>
        </w:rPr>
        <w:t>Johnson</w:t>
      </w:r>
      <w:r w:rsidRPr="00D247A3">
        <w:rPr>
          <w:rFonts w:cs="Arial"/>
          <w:sz w:val="24"/>
          <w:szCs w:val="24"/>
        </w:rPr>
        <w:t xml:space="preserve"> (1948) encontraron valores óptimos de Zn y Fe para solubilización de RP de 0.3 y 1.3 mg L</w:t>
      </w:r>
      <w:r w:rsidRPr="00D247A3">
        <w:rPr>
          <w:rFonts w:cs="Arial"/>
          <w:sz w:val="24"/>
          <w:szCs w:val="24"/>
          <w:vertAlign w:val="superscript"/>
        </w:rPr>
        <w:t>-1</w:t>
      </w:r>
      <w:r w:rsidRPr="00D247A3">
        <w:rPr>
          <w:rFonts w:cs="Arial"/>
          <w:sz w:val="24"/>
          <w:szCs w:val="24"/>
        </w:rPr>
        <w:t xml:space="preserve">, respectivamente. Por su parte, </w:t>
      </w:r>
      <w:proofErr w:type="spellStart"/>
      <w:r w:rsidRPr="00D247A3">
        <w:rPr>
          <w:rFonts w:cs="Arial"/>
          <w:sz w:val="24"/>
          <w:szCs w:val="24"/>
        </w:rPr>
        <w:t>Grewal</w:t>
      </w:r>
      <w:proofErr w:type="spellEnd"/>
      <w:r w:rsidRPr="00D247A3">
        <w:rPr>
          <w:rFonts w:cs="Arial"/>
          <w:sz w:val="24"/>
          <w:szCs w:val="24"/>
        </w:rPr>
        <w:t xml:space="preserve"> </w:t>
      </w:r>
      <w:r w:rsidR="00A224F2" w:rsidRPr="00D247A3">
        <w:rPr>
          <w:rFonts w:cs="Arial"/>
          <w:sz w:val="24"/>
          <w:szCs w:val="24"/>
        </w:rPr>
        <w:t xml:space="preserve">&amp; </w:t>
      </w:r>
      <w:proofErr w:type="spellStart"/>
      <w:r w:rsidRPr="00D247A3">
        <w:rPr>
          <w:rFonts w:cs="Arial"/>
          <w:sz w:val="24"/>
          <w:szCs w:val="24"/>
        </w:rPr>
        <w:t>Kalra</w:t>
      </w:r>
      <w:proofErr w:type="spellEnd"/>
      <w:r w:rsidRPr="00D247A3">
        <w:rPr>
          <w:rFonts w:cs="Arial"/>
          <w:sz w:val="24"/>
          <w:szCs w:val="24"/>
        </w:rPr>
        <w:t xml:space="preserve"> (1995) encontraron un efecto negativo en la producción de ácido cítrico en </w:t>
      </w:r>
      <w:r w:rsidRPr="00D247A3">
        <w:rPr>
          <w:rFonts w:cs="Arial"/>
          <w:i/>
          <w:sz w:val="24"/>
          <w:szCs w:val="24"/>
        </w:rPr>
        <w:t xml:space="preserve">A. </w:t>
      </w:r>
      <w:proofErr w:type="spellStart"/>
      <w:r w:rsidRPr="00D247A3">
        <w:rPr>
          <w:rFonts w:cs="Arial"/>
          <w:i/>
          <w:sz w:val="24"/>
          <w:szCs w:val="24"/>
        </w:rPr>
        <w:t>niger</w:t>
      </w:r>
      <w:proofErr w:type="spellEnd"/>
      <w:r w:rsidRPr="00D247A3">
        <w:rPr>
          <w:rFonts w:cs="Arial"/>
          <w:i/>
          <w:sz w:val="24"/>
          <w:szCs w:val="24"/>
        </w:rPr>
        <w:t xml:space="preserve"> </w:t>
      </w:r>
      <w:r w:rsidRPr="00D247A3">
        <w:rPr>
          <w:rFonts w:cs="Arial"/>
          <w:sz w:val="24"/>
          <w:szCs w:val="24"/>
        </w:rPr>
        <w:t xml:space="preserve">con la adición de Fe y </w:t>
      </w:r>
      <w:proofErr w:type="spellStart"/>
      <w:r w:rsidRPr="00D247A3">
        <w:rPr>
          <w:rFonts w:cs="Arial"/>
          <w:sz w:val="24"/>
          <w:szCs w:val="24"/>
        </w:rPr>
        <w:t>Mn.</w:t>
      </w:r>
      <w:proofErr w:type="spellEnd"/>
      <w:r w:rsidRPr="00D247A3">
        <w:rPr>
          <w:rFonts w:cs="Arial"/>
          <w:sz w:val="24"/>
          <w:szCs w:val="24"/>
        </w:rPr>
        <w:t xml:space="preserve"> Así mismo, </w:t>
      </w:r>
      <w:proofErr w:type="spellStart"/>
      <w:r w:rsidRPr="00D247A3">
        <w:rPr>
          <w:rFonts w:cs="Arial"/>
          <w:sz w:val="24"/>
          <w:szCs w:val="24"/>
        </w:rPr>
        <w:t>Netik</w:t>
      </w:r>
      <w:proofErr w:type="spellEnd"/>
      <w:r w:rsidRPr="00D247A3">
        <w:rPr>
          <w:rFonts w:cs="Arial"/>
          <w:sz w:val="24"/>
          <w:szCs w:val="24"/>
        </w:rPr>
        <w:t xml:space="preserve"> </w:t>
      </w:r>
      <w:r w:rsidR="00DB75C7" w:rsidRPr="00D247A3">
        <w:rPr>
          <w:rFonts w:cs="Arial"/>
          <w:i/>
          <w:sz w:val="24"/>
          <w:szCs w:val="24"/>
        </w:rPr>
        <w:t>et al</w:t>
      </w:r>
      <w:r w:rsidRPr="00D247A3">
        <w:rPr>
          <w:rFonts w:cs="Arial"/>
          <w:sz w:val="24"/>
          <w:szCs w:val="24"/>
        </w:rPr>
        <w:t>. (1997)</w:t>
      </w:r>
      <w:r w:rsidR="003D15CF" w:rsidRPr="00D247A3">
        <w:rPr>
          <w:rFonts w:cs="Arial"/>
          <w:sz w:val="24"/>
          <w:szCs w:val="24"/>
        </w:rPr>
        <w:t>,</w:t>
      </w:r>
      <w:r w:rsidRPr="00D247A3">
        <w:rPr>
          <w:rFonts w:cs="Arial"/>
          <w:sz w:val="24"/>
          <w:szCs w:val="24"/>
        </w:rPr>
        <w:t xml:space="preserve"> encontraron que la presencia de Zn, Cu y Fe inhibieron la producción de ácido cítrico en </w:t>
      </w:r>
      <w:r w:rsidRPr="00D247A3">
        <w:rPr>
          <w:rFonts w:cs="Arial"/>
          <w:i/>
          <w:sz w:val="24"/>
          <w:szCs w:val="24"/>
        </w:rPr>
        <w:t xml:space="preserve">A. </w:t>
      </w:r>
      <w:proofErr w:type="spellStart"/>
      <w:r w:rsidRPr="00D247A3">
        <w:rPr>
          <w:rFonts w:cs="Arial"/>
          <w:i/>
          <w:sz w:val="24"/>
          <w:szCs w:val="24"/>
        </w:rPr>
        <w:t>niger</w:t>
      </w:r>
      <w:proofErr w:type="spellEnd"/>
      <w:r w:rsidRPr="00D247A3">
        <w:rPr>
          <w:rFonts w:cs="Arial"/>
          <w:sz w:val="24"/>
          <w:szCs w:val="24"/>
        </w:rPr>
        <w:t xml:space="preserve">, mientras que dosis moderadas de Mn pudieron regular su producción. En </w:t>
      </w:r>
      <w:r w:rsidRPr="00D247A3">
        <w:rPr>
          <w:rFonts w:cs="Arial"/>
          <w:i/>
          <w:sz w:val="24"/>
          <w:szCs w:val="24"/>
        </w:rPr>
        <w:t xml:space="preserve">A. </w:t>
      </w:r>
      <w:proofErr w:type="spellStart"/>
      <w:r w:rsidRPr="00D247A3">
        <w:rPr>
          <w:rFonts w:cs="Arial"/>
          <w:i/>
          <w:sz w:val="24"/>
          <w:szCs w:val="24"/>
        </w:rPr>
        <w:t>niger</w:t>
      </w:r>
      <w:proofErr w:type="spellEnd"/>
      <w:r w:rsidRPr="00D247A3">
        <w:rPr>
          <w:rFonts w:cs="Arial"/>
          <w:sz w:val="24"/>
          <w:szCs w:val="24"/>
        </w:rPr>
        <w:t xml:space="preserve"> la ausencia de Mn inhibe tanto la producción de ácido cítrico como su paso a través de la membrana celular (Max </w:t>
      </w:r>
      <w:r w:rsidR="00DB75C7" w:rsidRPr="00D247A3">
        <w:rPr>
          <w:rFonts w:cs="Arial"/>
          <w:i/>
          <w:sz w:val="24"/>
          <w:szCs w:val="24"/>
        </w:rPr>
        <w:t>et al</w:t>
      </w:r>
      <w:r w:rsidRPr="00D247A3">
        <w:rPr>
          <w:rFonts w:cs="Arial"/>
          <w:sz w:val="24"/>
          <w:szCs w:val="24"/>
        </w:rPr>
        <w:t xml:space="preserve">., 2010; </w:t>
      </w:r>
      <w:proofErr w:type="spellStart"/>
      <w:r w:rsidRPr="00D247A3">
        <w:rPr>
          <w:rFonts w:cs="Arial"/>
          <w:sz w:val="24"/>
          <w:szCs w:val="24"/>
        </w:rPr>
        <w:t>Netik</w:t>
      </w:r>
      <w:proofErr w:type="spellEnd"/>
      <w:r w:rsidRPr="00D247A3">
        <w:rPr>
          <w:rFonts w:cs="Arial"/>
          <w:sz w:val="24"/>
          <w:szCs w:val="24"/>
        </w:rPr>
        <w:t xml:space="preserve"> </w:t>
      </w:r>
      <w:r w:rsidR="00DB75C7" w:rsidRPr="00D247A3">
        <w:rPr>
          <w:rFonts w:cs="Arial"/>
          <w:i/>
          <w:sz w:val="24"/>
          <w:szCs w:val="24"/>
        </w:rPr>
        <w:t>et al</w:t>
      </w:r>
      <w:r w:rsidRPr="00D247A3">
        <w:rPr>
          <w:rFonts w:cs="Arial"/>
          <w:sz w:val="24"/>
          <w:szCs w:val="24"/>
        </w:rPr>
        <w:t>., 1997), pero altas concentraciones de Mn (~10 mg L</w:t>
      </w:r>
      <w:r w:rsidRPr="00D247A3">
        <w:rPr>
          <w:rFonts w:cs="Arial"/>
          <w:sz w:val="24"/>
          <w:szCs w:val="24"/>
          <w:vertAlign w:val="superscript"/>
        </w:rPr>
        <w:t>-1</w:t>
      </w:r>
      <w:r w:rsidRPr="00D247A3">
        <w:rPr>
          <w:rFonts w:cs="Arial"/>
          <w:sz w:val="24"/>
          <w:szCs w:val="24"/>
        </w:rPr>
        <w:t>) también pueden ser inhibitorias (</w:t>
      </w:r>
      <w:proofErr w:type="spellStart"/>
      <w:r w:rsidR="007247E2" w:rsidRPr="00D247A3">
        <w:rPr>
          <w:rFonts w:cs="Arial"/>
          <w:sz w:val="24"/>
          <w:szCs w:val="24"/>
        </w:rPr>
        <w:t>Gyaneshwar</w:t>
      </w:r>
      <w:proofErr w:type="spellEnd"/>
      <w:r w:rsidR="002739AB" w:rsidRPr="00D247A3">
        <w:rPr>
          <w:rFonts w:cs="Arial"/>
          <w:sz w:val="24"/>
          <w:szCs w:val="24"/>
        </w:rPr>
        <w:t xml:space="preserve"> </w:t>
      </w:r>
      <w:r w:rsidR="00DB75C7" w:rsidRPr="00D247A3">
        <w:rPr>
          <w:rFonts w:cs="Arial"/>
          <w:i/>
          <w:sz w:val="24"/>
          <w:szCs w:val="24"/>
        </w:rPr>
        <w:t>et al</w:t>
      </w:r>
      <w:r w:rsidRPr="00D247A3">
        <w:rPr>
          <w:rFonts w:cs="Arial"/>
          <w:sz w:val="24"/>
          <w:szCs w:val="24"/>
        </w:rPr>
        <w:t xml:space="preserve">., 1966; </w:t>
      </w:r>
      <w:proofErr w:type="spellStart"/>
      <w:r w:rsidRPr="00D247A3">
        <w:rPr>
          <w:rFonts w:cs="Arial"/>
          <w:sz w:val="24"/>
          <w:szCs w:val="24"/>
        </w:rPr>
        <w:t>Mattey</w:t>
      </w:r>
      <w:proofErr w:type="spellEnd"/>
      <w:r w:rsidRPr="00D247A3">
        <w:rPr>
          <w:rFonts w:cs="Arial"/>
          <w:sz w:val="24"/>
          <w:szCs w:val="24"/>
        </w:rPr>
        <w:t xml:space="preserve"> </w:t>
      </w:r>
      <w:r w:rsidR="003D15CF" w:rsidRPr="00D247A3">
        <w:rPr>
          <w:rFonts w:cs="Arial"/>
          <w:sz w:val="24"/>
          <w:szCs w:val="24"/>
        </w:rPr>
        <w:t xml:space="preserve">&amp; </w:t>
      </w:r>
      <w:proofErr w:type="spellStart"/>
      <w:r w:rsidRPr="00D247A3">
        <w:rPr>
          <w:rFonts w:cs="Arial"/>
          <w:sz w:val="24"/>
          <w:szCs w:val="24"/>
        </w:rPr>
        <w:t>Bowes</w:t>
      </w:r>
      <w:proofErr w:type="spellEnd"/>
      <w:r w:rsidRPr="00D247A3">
        <w:rPr>
          <w:rFonts w:cs="Arial"/>
          <w:sz w:val="24"/>
          <w:szCs w:val="24"/>
        </w:rPr>
        <w:t xml:space="preserve">, 1978). </w:t>
      </w:r>
    </w:p>
    <w:p w:rsidR="001D3AFB" w:rsidRPr="00D247A3" w:rsidRDefault="001D3AFB" w:rsidP="005836FE">
      <w:pPr>
        <w:spacing w:line="360" w:lineRule="auto"/>
        <w:jc w:val="both"/>
        <w:rPr>
          <w:rFonts w:cs="Arial"/>
          <w:sz w:val="24"/>
          <w:szCs w:val="24"/>
        </w:rPr>
      </w:pPr>
      <w:r w:rsidRPr="00D247A3">
        <w:rPr>
          <w:rFonts w:cs="Arial"/>
          <w:sz w:val="24"/>
          <w:szCs w:val="24"/>
        </w:rPr>
        <w:t xml:space="preserve">En general, se considera que en el proceso de disolución de RP no es necesario aplicar micronutrientes ya que la RP puede aportar cantidades significativas de estos (Zapata </w:t>
      </w:r>
      <w:r w:rsidR="003D15CF" w:rsidRPr="00D247A3">
        <w:rPr>
          <w:rFonts w:cs="Arial"/>
          <w:sz w:val="24"/>
          <w:szCs w:val="24"/>
        </w:rPr>
        <w:t xml:space="preserve">&amp; </w:t>
      </w:r>
      <w:r w:rsidRPr="00D247A3">
        <w:rPr>
          <w:rFonts w:cs="Arial"/>
          <w:sz w:val="24"/>
          <w:szCs w:val="24"/>
        </w:rPr>
        <w:t>Roy, 2007). En el presente estudio las dosis aplicadas de Fe, Mn y Cu fueron de 2.2 mg L</w:t>
      </w:r>
      <w:r w:rsidRPr="00D247A3">
        <w:rPr>
          <w:rFonts w:cs="Arial"/>
          <w:sz w:val="24"/>
          <w:szCs w:val="24"/>
          <w:vertAlign w:val="superscript"/>
        </w:rPr>
        <w:t>-1</w:t>
      </w:r>
      <w:r w:rsidRPr="00D247A3">
        <w:rPr>
          <w:rFonts w:cs="Arial"/>
          <w:sz w:val="24"/>
          <w:szCs w:val="24"/>
        </w:rPr>
        <w:t>, mientas que la de Zn fue de 1.1 mg L</w:t>
      </w:r>
      <w:r w:rsidRPr="00D247A3">
        <w:rPr>
          <w:rFonts w:cs="Arial"/>
          <w:sz w:val="24"/>
          <w:szCs w:val="24"/>
          <w:vertAlign w:val="superscript"/>
        </w:rPr>
        <w:t>-1</w:t>
      </w:r>
      <w:r w:rsidRPr="00D247A3">
        <w:rPr>
          <w:rFonts w:cs="Arial"/>
          <w:sz w:val="24"/>
          <w:szCs w:val="24"/>
        </w:rPr>
        <w:t xml:space="preserve">, las cuales además de los aportes de la RP parecen exceder los requerimientos de micronutrientes y así alcanzar concentraciones inhibitorias para el proceso de disolución de RP. </w:t>
      </w:r>
    </w:p>
    <w:p w:rsidR="001D3AFB" w:rsidRPr="00D247A3" w:rsidRDefault="001D3AFB" w:rsidP="005836FE">
      <w:pPr>
        <w:spacing w:line="360" w:lineRule="auto"/>
        <w:jc w:val="both"/>
        <w:rPr>
          <w:rFonts w:cs="Arial"/>
          <w:sz w:val="24"/>
          <w:szCs w:val="24"/>
        </w:rPr>
      </w:pPr>
      <w:r w:rsidRPr="00D247A3">
        <w:rPr>
          <w:rFonts w:cs="Arial"/>
          <w:sz w:val="24"/>
          <w:szCs w:val="24"/>
        </w:rPr>
        <w:t>Desafortunadamente</w:t>
      </w:r>
      <w:r w:rsidR="003D15CF" w:rsidRPr="00D247A3">
        <w:rPr>
          <w:rFonts w:cs="Arial"/>
          <w:sz w:val="24"/>
          <w:szCs w:val="24"/>
        </w:rPr>
        <w:t>,</w:t>
      </w:r>
      <w:r w:rsidRPr="00D247A3">
        <w:rPr>
          <w:rFonts w:cs="Arial"/>
          <w:sz w:val="24"/>
          <w:szCs w:val="24"/>
        </w:rPr>
        <w:t xml:space="preserve"> no se encontró información relevante entre la concentración de vitaminas y su impacto en la producción de ácidos orgánicos por microorganismos, particularmente hongos, ni tampoco sobre la disolución de la RP.</w:t>
      </w:r>
    </w:p>
    <w:p w:rsidR="001D3AFB" w:rsidRPr="00D247A3" w:rsidRDefault="001D3AFB" w:rsidP="005836FE">
      <w:pPr>
        <w:spacing w:line="360" w:lineRule="auto"/>
        <w:jc w:val="both"/>
        <w:rPr>
          <w:rFonts w:cs="Arial"/>
          <w:sz w:val="24"/>
          <w:szCs w:val="24"/>
        </w:rPr>
      </w:pPr>
      <w:r w:rsidRPr="00D247A3">
        <w:rPr>
          <w:rFonts w:cs="Arial"/>
          <w:sz w:val="24"/>
          <w:szCs w:val="24"/>
        </w:rPr>
        <w:lastRenderedPageBreak/>
        <w:t xml:space="preserve">Los resultados indican que el tiempo de incubación fue un factor significativamente importante en la disolución de la RP por </w:t>
      </w:r>
      <w:r w:rsidR="002A47D0" w:rsidRPr="00D247A3">
        <w:rPr>
          <w:rFonts w:cs="Arial"/>
          <w:sz w:val="24"/>
          <w:szCs w:val="24"/>
        </w:rPr>
        <w:t>el hongo</w:t>
      </w:r>
      <w:r w:rsidRPr="00D247A3">
        <w:rPr>
          <w:rFonts w:cs="Arial"/>
          <w:sz w:val="24"/>
          <w:szCs w:val="24"/>
        </w:rPr>
        <w:t>. La máxima disolución de</w:t>
      </w:r>
      <w:r w:rsidR="00B265D8" w:rsidRPr="00D247A3">
        <w:rPr>
          <w:rFonts w:cs="Arial"/>
          <w:sz w:val="24"/>
          <w:szCs w:val="24"/>
        </w:rPr>
        <w:t xml:space="preserve"> RP se alcanzó al día 5 (</w:t>
      </w:r>
      <w:r w:rsidR="003D15CF" w:rsidRPr="00D247A3">
        <w:rPr>
          <w:rFonts w:cs="Arial"/>
          <w:sz w:val="24"/>
          <w:szCs w:val="24"/>
        </w:rPr>
        <w:t xml:space="preserve">tabla </w:t>
      </w:r>
      <w:r w:rsidR="00B265D8" w:rsidRPr="00D247A3">
        <w:rPr>
          <w:rFonts w:cs="Arial"/>
          <w:sz w:val="24"/>
          <w:szCs w:val="24"/>
        </w:rPr>
        <w:t>2</w:t>
      </w:r>
      <w:r w:rsidRPr="00D247A3">
        <w:rPr>
          <w:rFonts w:cs="Arial"/>
          <w:sz w:val="24"/>
          <w:szCs w:val="24"/>
        </w:rPr>
        <w:t xml:space="preserve">), tal como lo ilustran los valores de EDRP. Resultados comparables han sido reportados por </w:t>
      </w:r>
      <w:proofErr w:type="spellStart"/>
      <w:r w:rsidRPr="00D247A3">
        <w:rPr>
          <w:rFonts w:cs="Arial"/>
          <w:sz w:val="24"/>
          <w:szCs w:val="24"/>
        </w:rPr>
        <w:t>Bojinova</w:t>
      </w:r>
      <w:proofErr w:type="spellEnd"/>
      <w:r w:rsidRPr="00D247A3">
        <w:rPr>
          <w:rFonts w:cs="Arial"/>
          <w:sz w:val="24"/>
          <w:szCs w:val="24"/>
        </w:rPr>
        <w:t xml:space="preserve"> </w:t>
      </w:r>
      <w:r w:rsidR="00DB75C7" w:rsidRPr="00D247A3">
        <w:rPr>
          <w:rFonts w:cs="Arial"/>
          <w:i/>
          <w:sz w:val="24"/>
          <w:szCs w:val="24"/>
        </w:rPr>
        <w:t>et al</w:t>
      </w:r>
      <w:r w:rsidRPr="00D247A3">
        <w:rPr>
          <w:rFonts w:cs="Arial"/>
          <w:sz w:val="24"/>
          <w:szCs w:val="24"/>
        </w:rPr>
        <w:t xml:space="preserve">. (2008). </w:t>
      </w:r>
    </w:p>
    <w:p w:rsidR="001D3AFB" w:rsidRPr="00D247A3" w:rsidRDefault="001D3AFB" w:rsidP="005836FE">
      <w:pPr>
        <w:spacing w:line="360" w:lineRule="auto"/>
        <w:rPr>
          <w:rFonts w:cs="Arial"/>
          <w:sz w:val="24"/>
          <w:szCs w:val="24"/>
        </w:rPr>
      </w:pPr>
      <w:r w:rsidRPr="00D247A3">
        <w:rPr>
          <w:rFonts w:cs="Arial"/>
          <w:b/>
          <w:sz w:val="24"/>
          <w:szCs w:val="24"/>
        </w:rPr>
        <w:t xml:space="preserve">Tabla </w:t>
      </w:r>
      <w:r w:rsidR="00B265D8" w:rsidRPr="00D247A3">
        <w:rPr>
          <w:rFonts w:cs="Arial"/>
          <w:b/>
          <w:sz w:val="24"/>
          <w:szCs w:val="24"/>
        </w:rPr>
        <w:t>2</w:t>
      </w:r>
      <w:r w:rsidRPr="00D247A3">
        <w:rPr>
          <w:rFonts w:cs="Arial"/>
          <w:sz w:val="24"/>
          <w:szCs w:val="24"/>
        </w:rPr>
        <w:t xml:space="preserve">. </w:t>
      </w:r>
      <w:proofErr w:type="spellStart"/>
      <w:r w:rsidR="00B942D9" w:rsidRPr="00D247A3">
        <w:rPr>
          <w:rFonts w:cs="Arial"/>
          <w:sz w:val="24"/>
          <w:szCs w:val="24"/>
        </w:rPr>
        <w:t>Efeciencia</w:t>
      </w:r>
      <w:proofErr w:type="spellEnd"/>
      <w:r w:rsidR="00B942D9" w:rsidRPr="00D247A3">
        <w:rPr>
          <w:rFonts w:cs="Arial"/>
          <w:sz w:val="24"/>
          <w:szCs w:val="24"/>
        </w:rPr>
        <w:t xml:space="preserve"> del hongo para disolver roca fosfórica (</w:t>
      </w:r>
      <w:r w:rsidRPr="00D247A3">
        <w:rPr>
          <w:rFonts w:cs="Arial"/>
          <w:sz w:val="24"/>
          <w:szCs w:val="24"/>
        </w:rPr>
        <w:t>EDRP</w:t>
      </w:r>
      <w:r w:rsidR="00B942D9" w:rsidRPr="00D247A3">
        <w:rPr>
          <w:rFonts w:cs="Arial"/>
          <w:sz w:val="24"/>
          <w:szCs w:val="24"/>
        </w:rPr>
        <w:t>)</w:t>
      </w:r>
      <w:r w:rsidRPr="00D247A3">
        <w:rPr>
          <w:rFonts w:cs="Arial"/>
          <w:sz w:val="24"/>
          <w:szCs w:val="24"/>
        </w:rPr>
        <w:t xml:space="preserve"> para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proofErr w:type="spellEnd"/>
      <w:r w:rsidRPr="00D247A3">
        <w:rPr>
          <w:rFonts w:cs="Arial"/>
          <w:sz w:val="24"/>
          <w:szCs w:val="24"/>
        </w:rPr>
        <w:t xml:space="preserve"> en función del tiempo.</w:t>
      </w:r>
    </w:p>
    <w:p w:rsidR="001D3AFB" w:rsidRPr="00D247A3" w:rsidRDefault="001D3AFB" w:rsidP="005836FE">
      <w:pPr>
        <w:spacing w:line="360" w:lineRule="auto"/>
        <w:jc w:val="both"/>
        <w:rPr>
          <w:rFonts w:cs="Arial"/>
          <w:szCs w:val="24"/>
        </w:rPr>
      </w:pPr>
    </w:p>
    <w:p w:rsidR="001D3AFB" w:rsidRPr="00D247A3" w:rsidRDefault="001D3AFB" w:rsidP="005836FE">
      <w:pPr>
        <w:spacing w:line="360" w:lineRule="auto"/>
        <w:jc w:val="both"/>
        <w:rPr>
          <w:rFonts w:cs="Arial"/>
          <w:sz w:val="24"/>
          <w:szCs w:val="24"/>
        </w:rPr>
      </w:pPr>
      <w:r w:rsidRPr="00D247A3">
        <w:rPr>
          <w:rFonts w:cs="Arial"/>
          <w:sz w:val="24"/>
          <w:szCs w:val="24"/>
        </w:rPr>
        <w:t>Para el día 5 se alcanza</w:t>
      </w:r>
      <w:r w:rsidR="00B942D9" w:rsidRPr="00D247A3">
        <w:rPr>
          <w:rFonts w:cs="Arial"/>
          <w:sz w:val="24"/>
          <w:szCs w:val="24"/>
        </w:rPr>
        <w:t>ro</w:t>
      </w:r>
      <w:r w:rsidRPr="00D247A3">
        <w:rPr>
          <w:rFonts w:cs="Arial"/>
          <w:sz w:val="24"/>
          <w:szCs w:val="24"/>
        </w:rPr>
        <w:t xml:space="preserve">n los </w:t>
      </w:r>
      <w:r w:rsidR="004D0FC1" w:rsidRPr="00D247A3">
        <w:rPr>
          <w:rFonts w:cs="Arial"/>
          <w:sz w:val="24"/>
          <w:szCs w:val="24"/>
        </w:rPr>
        <w:t>valores máximos</w:t>
      </w:r>
      <w:r w:rsidRPr="00D247A3">
        <w:rPr>
          <w:rFonts w:cs="Arial"/>
          <w:sz w:val="24"/>
          <w:szCs w:val="24"/>
        </w:rPr>
        <w:t xml:space="preserve"> de solubilización (EDRP fue de 21 % para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proofErr w:type="spellEnd"/>
      <w:r w:rsidRPr="00D247A3">
        <w:rPr>
          <w:rFonts w:cs="Arial"/>
          <w:sz w:val="24"/>
          <w:szCs w:val="24"/>
        </w:rPr>
        <w:t xml:space="preserve">), al aumentar </w:t>
      </w:r>
      <w:r w:rsidR="002A47D0" w:rsidRPr="00D247A3">
        <w:rPr>
          <w:rFonts w:cs="Arial"/>
          <w:sz w:val="24"/>
          <w:szCs w:val="24"/>
        </w:rPr>
        <w:t>el tiempo</w:t>
      </w:r>
      <w:r w:rsidR="00AA19F4" w:rsidRPr="00D247A3">
        <w:rPr>
          <w:rFonts w:cs="Arial"/>
          <w:sz w:val="24"/>
          <w:szCs w:val="24"/>
        </w:rPr>
        <w:t>,</w:t>
      </w:r>
      <w:r w:rsidR="002A47D0" w:rsidRPr="00D247A3">
        <w:rPr>
          <w:rFonts w:cs="Arial"/>
          <w:sz w:val="24"/>
          <w:szCs w:val="24"/>
        </w:rPr>
        <w:t xml:space="preserve"> la concentración de P</w:t>
      </w:r>
      <w:r w:rsidRPr="00D247A3">
        <w:rPr>
          <w:rFonts w:cs="Arial"/>
          <w:sz w:val="24"/>
          <w:szCs w:val="24"/>
        </w:rPr>
        <w:t xml:space="preserve"> disminuye, lo que puede ser debido a que aumenta la población microbia</w:t>
      </w:r>
      <w:r w:rsidR="00B942D9" w:rsidRPr="00D247A3">
        <w:rPr>
          <w:rFonts w:cs="Arial"/>
          <w:sz w:val="24"/>
          <w:szCs w:val="24"/>
        </w:rPr>
        <w:t>na</w:t>
      </w:r>
      <w:r w:rsidRPr="00D247A3">
        <w:rPr>
          <w:rFonts w:cs="Arial"/>
          <w:sz w:val="24"/>
          <w:szCs w:val="24"/>
        </w:rPr>
        <w:t xml:space="preserve"> y </w:t>
      </w:r>
      <w:r w:rsidR="002A47D0" w:rsidRPr="00D247A3">
        <w:rPr>
          <w:rFonts w:cs="Arial"/>
          <w:sz w:val="24"/>
          <w:szCs w:val="24"/>
        </w:rPr>
        <w:t>se da mayor inmovilización de P</w:t>
      </w:r>
      <w:r w:rsidRPr="00D247A3">
        <w:rPr>
          <w:rFonts w:cs="Arial"/>
          <w:sz w:val="24"/>
          <w:szCs w:val="24"/>
        </w:rPr>
        <w:t xml:space="preserve"> del medio. </w:t>
      </w:r>
    </w:p>
    <w:p w:rsidR="001D3AFB" w:rsidRPr="00D247A3" w:rsidRDefault="004D0FC1" w:rsidP="005836FE">
      <w:pPr>
        <w:spacing w:line="360" w:lineRule="auto"/>
        <w:jc w:val="both"/>
        <w:rPr>
          <w:rFonts w:cs="Arial"/>
          <w:sz w:val="24"/>
          <w:szCs w:val="24"/>
        </w:rPr>
      </w:pPr>
      <w:r w:rsidRPr="00D247A3">
        <w:rPr>
          <w:rFonts w:cs="Arial"/>
          <w:sz w:val="24"/>
          <w:szCs w:val="24"/>
        </w:rPr>
        <w:t>Varios autores han</w:t>
      </w:r>
      <w:r w:rsidR="001D3AFB" w:rsidRPr="00D247A3">
        <w:rPr>
          <w:rFonts w:cs="Arial"/>
          <w:sz w:val="24"/>
          <w:szCs w:val="24"/>
        </w:rPr>
        <w:t xml:space="preserve"> reportado la disolución microbia</w:t>
      </w:r>
      <w:r w:rsidR="00A33CD5" w:rsidRPr="00D247A3">
        <w:rPr>
          <w:rFonts w:cs="Arial"/>
          <w:sz w:val="24"/>
          <w:szCs w:val="24"/>
        </w:rPr>
        <w:t>na</w:t>
      </w:r>
      <w:r w:rsidR="001D3AFB" w:rsidRPr="00D247A3">
        <w:rPr>
          <w:rFonts w:cs="Arial"/>
          <w:sz w:val="24"/>
          <w:szCs w:val="24"/>
        </w:rPr>
        <w:t xml:space="preserve"> de RP a diferentes tiempos: 3 días (</w:t>
      </w:r>
      <w:proofErr w:type="spellStart"/>
      <w:r w:rsidR="001D3AFB" w:rsidRPr="00D247A3">
        <w:rPr>
          <w:rFonts w:cs="Arial"/>
          <w:sz w:val="24"/>
          <w:szCs w:val="24"/>
        </w:rPr>
        <w:t>Chen</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xml:space="preserve">., 2006; Tao </w:t>
      </w:r>
      <w:r w:rsidR="00DB75C7" w:rsidRPr="00D247A3">
        <w:rPr>
          <w:rFonts w:cs="Arial"/>
          <w:i/>
          <w:sz w:val="24"/>
          <w:szCs w:val="24"/>
        </w:rPr>
        <w:t>et al</w:t>
      </w:r>
      <w:r w:rsidR="001D3AFB" w:rsidRPr="00D247A3">
        <w:rPr>
          <w:rFonts w:cs="Arial"/>
          <w:sz w:val="24"/>
          <w:szCs w:val="24"/>
        </w:rPr>
        <w:t>., 2008), 4 días (</w:t>
      </w:r>
      <w:proofErr w:type="spellStart"/>
      <w:r w:rsidR="001D3AFB" w:rsidRPr="00D247A3">
        <w:rPr>
          <w:rFonts w:cs="Arial"/>
          <w:sz w:val="24"/>
          <w:szCs w:val="24"/>
        </w:rPr>
        <w:t>Relwani</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2008), 6 días (</w:t>
      </w:r>
      <w:proofErr w:type="spellStart"/>
      <w:r w:rsidR="001D3AFB" w:rsidRPr="00D247A3">
        <w:rPr>
          <w:rFonts w:cs="Arial"/>
          <w:sz w:val="24"/>
          <w:szCs w:val="24"/>
        </w:rPr>
        <w:t>Jain</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2012), 7 días (</w:t>
      </w:r>
      <w:proofErr w:type="spellStart"/>
      <w:r w:rsidR="001D3AFB" w:rsidRPr="00D247A3">
        <w:rPr>
          <w:rFonts w:cs="Arial"/>
          <w:sz w:val="24"/>
          <w:szCs w:val="24"/>
        </w:rPr>
        <w:t>Alam</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xml:space="preserve">., 2002; Barroso </w:t>
      </w:r>
      <w:r w:rsidR="00DB75C7" w:rsidRPr="00D247A3">
        <w:rPr>
          <w:rFonts w:cs="Arial"/>
          <w:i/>
          <w:sz w:val="24"/>
          <w:szCs w:val="24"/>
        </w:rPr>
        <w:t>et al</w:t>
      </w:r>
      <w:r w:rsidR="001D3AFB" w:rsidRPr="00D247A3">
        <w:rPr>
          <w:rFonts w:cs="Arial"/>
          <w:sz w:val="24"/>
          <w:szCs w:val="24"/>
        </w:rPr>
        <w:t>., 2006; Osorio, 2012), 8 días (</w:t>
      </w:r>
      <w:proofErr w:type="spellStart"/>
      <w:r w:rsidR="001D3AFB" w:rsidRPr="00D247A3">
        <w:rPr>
          <w:rFonts w:cs="Arial"/>
          <w:sz w:val="24"/>
          <w:szCs w:val="24"/>
        </w:rPr>
        <w:t>Kucey</w:t>
      </w:r>
      <w:proofErr w:type="spellEnd"/>
      <w:r w:rsidR="001D3AFB" w:rsidRPr="00D247A3">
        <w:rPr>
          <w:rFonts w:cs="Arial"/>
          <w:sz w:val="24"/>
          <w:szCs w:val="24"/>
        </w:rPr>
        <w:t xml:space="preserve">, 1983, </w:t>
      </w:r>
      <w:proofErr w:type="spellStart"/>
      <w:r w:rsidR="001D3AFB" w:rsidRPr="00D247A3">
        <w:rPr>
          <w:rFonts w:cs="Arial"/>
          <w:sz w:val="24"/>
          <w:szCs w:val="24"/>
        </w:rPr>
        <w:t>Xiao</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xml:space="preserve">., 2008; Schneider </w:t>
      </w:r>
      <w:r w:rsidR="00DB75C7" w:rsidRPr="00D247A3">
        <w:rPr>
          <w:rFonts w:cs="Arial"/>
          <w:i/>
          <w:sz w:val="24"/>
          <w:szCs w:val="24"/>
        </w:rPr>
        <w:t>et al</w:t>
      </w:r>
      <w:r w:rsidR="001D3AFB" w:rsidRPr="00D247A3">
        <w:rPr>
          <w:rFonts w:cs="Arial"/>
          <w:sz w:val="24"/>
          <w:szCs w:val="24"/>
        </w:rPr>
        <w:t xml:space="preserve">., 2010), 10 días (Collavino </w:t>
      </w:r>
      <w:r w:rsidR="00DB75C7" w:rsidRPr="00D247A3">
        <w:rPr>
          <w:rFonts w:cs="Arial"/>
          <w:i/>
          <w:sz w:val="24"/>
          <w:szCs w:val="24"/>
        </w:rPr>
        <w:t>et al</w:t>
      </w:r>
      <w:r w:rsidR="001D3AFB" w:rsidRPr="00D247A3">
        <w:rPr>
          <w:rFonts w:cs="Arial"/>
          <w:sz w:val="24"/>
          <w:szCs w:val="24"/>
        </w:rPr>
        <w:t>., 2010), 30 días (</w:t>
      </w:r>
      <w:proofErr w:type="spellStart"/>
      <w:r w:rsidR="001D3AFB" w:rsidRPr="00D247A3">
        <w:rPr>
          <w:rFonts w:cs="Arial"/>
          <w:sz w:val="24"/>
          <w:szCs w:val="24"/>
        </w:rPr>
        <w:t>Sahu</w:t>
      </w:r>
      <w:proofErr w:type="spellEnd"/>
      <w:r w:rsidR="001D3AFB" w:rsidRPr="00D247A3">
        <w:rPr>
          <w:rFonts w:cs="Arial"/>
          <w:sz w:val="24"/>
          <w:szCs w:val="24"/>
        </w:rPr>
        <w:t xml:space="preserve"> </w:t>
      </w:r>
      <w:r w:rsidR="00F03422" w:rsidRPr="00D247A3">
        <w:rPr>
          <w:rFonts w:cs="Arial"/>
          <w:sz w:val="24"/>
          <w:szCs w:val="24"/>
        </w:rPr>
        <w:t xml:space="preserve">&amp; </w:t>
      </w:r>
      <w:r w:rsidR="001D3AFB" w:rsidRPr="00D247A3">
        <w:rPr>
          <w:rFonts w:cs="Arial"/>
          <w:sz w:val="24"/>
          <w:szCs w:val="24"/>
        </w:rPr>
        <w:t xml:space="preserve">Jana, 2000). Sin embargo, en pocos estudios se ha evaluado el efecto del tiempo. Por ejemplo, </w:t>
      </w:r>
      <w:proofErr w:type="spellStart"/>
      <w:r w:rsidR="001D3AFB" w:rsidRPr="00D247A3">
        <w:rPr>
          <w:rFonts w:cs="Arial"/>
          <w:sz w:val="24"/>
          <w:szCs w:val="24"/>
        </w:rPr>
        <w:t>Bojinova</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(2008)</w:t>
      </w:r>
      <w:r w:rsidR="00F03422" w:rsidRPr="00D247A3">
        <w:rPr>
          <w:rFonts w:cs="Arial"/>
          <w:sz w:val="24"/>
          <w:szCs w:val="24"/>
        </w:rPr>
        <w:t>,</w:t>
      </w:r>
      <w:r w:rsidR="001D3AFB" w:rsidRPr="00D247A3">
        <w:rPr>
          <w:rFonts w:cs="Arial"/>
          <w:sz w:val="24"/>
          <w:szCs w:val="24"/>
        </w:rPr>
        <w:t xml:space="preserve"> evaluaron la disolución de RP con </w:t>
      </w:r>
      <w:r w:rsidR="001D3AFB" w:rsidRPr="00D247A3">
        <w:rPr>
          <w:rFonts w:cs="Arial"/>
          <w:i/>
          <w:sz w:val="24"/>
          <w:szCs w:val="24"/>
        </w:rPr>
        <w:t xml:space="preserve">A. </w:t>
      </w:r>
      <w:proofErr w:type="spellStart"/>
      <w:r w:rsidR="001D3AFB" w:rsidRPr="00D247A3">
        <w:rPr>
          <w:rFonts w:cs="Arial"/>
          <w:i/>
          <w:sz w:val="24"/>
          <w:szCs w:val="24"/>
        </w:rPr>
        <w:t>niger</w:t>
      </w:r>
      <w:proofErr w:type="spellEnd"/>
      <w:r w:rsidR="001D3AFB" w:rsidRPr="00D247A3">
        <w:rPr>
          <w:rFonts w:cs="Arial"/>
          <w:sz w:val="24"/>
          <w:szCs w:val="24"/>
        </w:rPr>
        <w:t xml:space="preserve"> a diferentes días (1, 4, 7 y 10) y encontraron que entre el día 4 y 7 la cantidad de </w:t>
      </w:r>
      <w:proofErr w:type="spellStart"/>
      <w:r w:rsidR="00A33CD5" w:rsidRPr="00D247A3">
        <w:rPr>
          <w:rFonts w:cs="Arial"/>
          <w:sz w:val="24"/>
          <w:szCs w:val="24"/>
        </w:rPr>
        <w:t>fosfóro</w:t>
      </w:r>
      <w:proofErr w:type="spellEnd"/>
      <w:r w:rsidR="00A33CD5" w:rsidRPr="00D247A3">
        <w:rPr>
          <w:rFonts w:cs="Arial"/>
          <w:sz w:val="24"/>
          <w:szCs w:val="24"/>
        </w:rPr>
        <w:t xml:space="preserve"> inorgánico (</w:t>
      </w:r>
      <w:r w:rsidR="0062397C">
        <w:rPr>
          <w:rFonts w:cs="Arial"/>
          <w:sz w:val="24"/>
          <w:szCs w:val="24"/>
        </w:rPr>
        <w:t>P</w:t>
      </w:r>
      <w:r w:rsidR="00A33CD5" w:rsidRPr="00D247A3">
        <w:rPr>
          <w:rFonts w:cs="Arial"/>
          <w:sz w:val="24"/>
          <w:szCs w:val="24"/>
        </w:rPr>
        <w:t>)</w:t>
      </w:r>
      <w:r w:rsidR="001D3AFB" w:rsidRPr="00D247A3">
        <w:rPr>
          <w:rFonts w:cs="Arial"/>
          <w:sz w:val="24"/>
          <w:szCs w:val="24"/>
        </w:rPr>
        <w:t xml:space="preserve"> soluble aumentó. Igualmente, </w:t>
      </w:r>
      <w:proofErr w:type="spellStart"/>
      <w:r w:rsidR="001D3AFB" w:rsidRPr="00D247A3">
        <w:rPr>
          <w:rFonts w:cs="Arial"/>
          <w:sz w:val="24"/>
          <w:szCs w:val="24"/>
        </w:rPr>
        <w:t>Vassileva</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(1998)</w:t>
      </w:r>
      <w:r w:rsidR="00F03422" w:rsidRPr="00D247A3">
        <w:rPr>
          <w:rFonts w:cs="Arial"/>
          <w:sz w:val="24"/>
          <w:szCs w:val="24"/>
        </w:rPr>
        <w:t>,</w:t>
      </w:r>
      <w:r w:rsidR="001D3AFB" w:rsidRPr="00D247A3">
        <w:rPr>
          <w:rFonts w:cs="Arial"/>
          <w:sz w:val="24"/>
          <w:szCs w:val="24"/>
        </w:rPr>
        <w:t xml:space="preserve"> evaluaron los días 3, 6, 9, 12 y 17 con </w:t>
      </w:r>
      <w:r w:rsidR="001D3AFB" w:rsidRPr="00D247A3">
        <w:rPr>
          <w:rFonts w:cs="Arial"/>
          <w:i/>
          <w:sz w:val="24"/>
          <w:szCs w:val="24"/>
        </w:rPr>
        <w:t xml:space="preserve">A. </w:t>
      </w:r>
      <w:proofErr w:type="spellStart"/>
      <w:r w:rsidR="001D3AFB" w:rsidRPr="00D247A3">
        <w:rPr>
          <w:rFonts w:cs="Arial"/>
          <w:i/>
          <w:sz w:val="24"/>
          <w:szCs w:val="24"/>
        </w:rPr>
        <w:t>niger</w:t>
      </w:r>
      <w:proofErr w:type="spellEnd"/>
      <w:r w:rsidR="001D3AFB" w:rsidRPr="00D247A3">
        <w:rPr>
          <w:rFonts w:cs="Arial"/>
          <w:i/>
          <w:sz w:val="24"/>
          <w:szCs w:val="24"/>
        </w:rPr>
        <w:t xml:space="preserve"> </w:t>
      </w:r>
      <w:r w:rsidR="001D3AFB" w:rsidRPr="00D247A3">
        <w:rPr>
          <w:rFonts w:cs="Arial"/>
          <w:sz w:val="24"/>
          <w:szCs w:val="24"/>
        </w:rPr>
        <w:t xml:space="preserve">y encontraron que en el día 9 </w:t>
      </w:r>
      <w:r w:rsidR="0062397C">
        <w:rPr>
          <w:rFonts w:cs="Arial"/>
          <w:sz w:val="24"/>
          <w:szCs w:val="24"/>
        </w:rPr>
        <w:t>se dio la mayor producción de P</w:t>
      </w:r>
      <w:r w:rsidR="001D3AFB" w:rsidRPr="00D247A3">
        <w:rPr>
          <w:rFonts w:cs="Arial"/>
          <w:sz w:val="24"/>
          <w:szCs w:val="24"/>
        </w:rPr>
        <w:t xml:space="preserve"> soluble. Por su parte, </w:t>
      </w:r>
      <w:proofErr w:type="spellStart"/>
      <w:r w:rsidR="001D3AFB" w:rsidRPr="00D247A3">
        <w:rPr>
          <w:rFonts w:cs="Arial"/>
          <w:sz w:val="24"/>
          <w:szCs w:val="24"/>
        </w:rPr>
        <w:t>Ivanova</w:t>
      </w:r>
      <w:proofErr w:type="spellEnd"/>
      <w:r w:rsidR="001D3AFB" w:rsidRPr="00D247A3">
        <w:rPr>
          <w:rFonts w:cs="Arial"/>
          <w:sz w:val="24"/>
          <w:szCs w:val="24"/>
        </w:rPr>
        <w:t xml:space="preserve"> </w:t>
      </w:r>
      <w:r w:rsidR="00DB75C7" w:rsidRPr="00D247A3">
        <w:rPr>
          <w:rFonts w:cs="Arial"/>
          <w:i/>
          <w:sz w:val="24"/>
          <w:szCs w:val="24"/>
        </w:rPr>
        <w:t>et al</w:t>
      </w:r>
      <w:r w:rsidR="001D3AFB" w:rsidRPr="00D247A3">
        <w:rPr>
          <w:rFonts w:cs="Arial"/>
          <w:sz w:val="24"/>
          <w:szCs w:val="24"/>
        </w:rPr>
        <w:t>. (2006)</w:t>
      </w:r>
      <w:r w:rsidR="00F03422" w:rsidRPr="00D247A3">
        <w:rPr>
          <w:rFonts w:cs="Arial"/>
          <w:sz w:val="24"/>
          <w:szCs w:val="24"/>
        </w:rPr>
        <w:t>,</w:t>
      </w:r>
      <w:r w:rsidR="001D3AFB" w:rsidRPr="00D247A3">
        <w:rPr>
          <w:rFonts w:cs="Arial"/>
          <w:sz w:val="24"/>
          <w:szCs w:val="24"/>
        </w:rPr>
        <w:t xml:space="preserve"> evaluaron la disolución de RP con </w:t>
      </w:r>
      <w:proofErr w:type="spellStart"/>
      <w:r w:rsidR="001D3AFB" w:rsidRPr="00D247A3">
        <w:rPr>
          <w:rFonts w:cs="Arial"/>
          <w:i/>
          <w:sz w:val="24"/>
          <w:szCs w:val="24"/>
        </w:rPr>
        <w:t>Erwinia</w:t>
      </w:r>
      <w:proofErr w:type="spellEnd"/>
      <w:r w:rsidR="001D3AFB" w:rsidRPr="00D247A3">
        <w:rPr>
          <w:rFonts w:cs="Arial"/>
          <w:sz w:val="24"/>
          <w:szCs w:val="24"/>
        </w:rPr>
        <w:t xml:space="preserve"> y </w:t>
      </w:r>
      <w:proofErr w:type="spellStart"/>
      <w:r w:rsidR="001D3AFB" w:rsidRPr="00D247A3">
        <w:rPr>
          <w:rFonts w:cs="Arial"/>
          <w:i/>
          <w:sz w:val="24"/>
          <w:szCs w:val="24"/>
        </w:rPr>
        <w:t>Azotobacter</w:t>
      </w:r>
      <w:proofErr w:type="spellEnd"/>
      <w:r w:rsidR="001D3AFB" w:rsidRPr="00D247A3">
        <w:rPr>
          <w:rFonts w:cs="Arial"/>
          <w:sz w:val="24"/>
          <w:szCs w:val="24"/>
        </w:rPr>
        <w:t xml:space="preserve"> en los días 3, 6, 9, 12 y 15 y encontraron que para </w:t>
      </w:r>
      <w:proofErr w:type="spellStart"/>
      <w:r w:rsidR="001D3AFB" w:rsidRPr="00D247A3">
        <w:rPr>
          <w:rFonts w:cs="Arial"/>
          <w:i/>
          <w:sz w:val="24"/>
          <w:szCs w:val="24"/>
        </w:rPr>
        <w:t>Erwinia</w:t>
      </w:r>
      <w:proofErr w:type="spellEnd"/>
      <w:r w:rsidR="001D3AFB" w:rsidRPr="00D247A3">
        <w:rPr>
          <w:rFonts w:cs="Arial"/>
          <w:sz w:val="24"/>
          <w:szCs w:val="24"/>
        </w:rPr>
        <w:t xml:space="preserve"> se necesitan 6 días para</w:t>
      </w:r>
      <w:r w:rsidR="0062397C">
        <w:rPr>
          <w:rFonts w:cs="Arial"/>
          <w:sz w:val="24"/>
          <w:szCs w:val="24"/>
        </w:rPr>
        <w:t xml:space="preserve"> encontrar el valor máximo de P</w:t>
      </w:r>
      <w:r w:rsidR="001D3AFB" w:rsidRPr="00D247A3">
        <w:rPr>
          <w:rFonts w:cs="Arial"/>
          <w:sz w:val="24"/>
          <w:szCs w:val="24"/>
        </w:rPr>
        <w:t xml:space="preserve"> soluble, mientras que </w:t>
      </w:r>
      <w:proofErr w:type="spellStart"/>
      <w:r w:rsidR="001D3AFB" w:rsidRPr="00D247A3">
        <w:rPr>
          <w:rFonts w:cs="Arial"/>
          <w:i/>
          <w:sz w:val="24"/>
          <w:szCs w:val="24"/>
        </w:rPr>
        <w:t>Azotobacter</w:t>
      </w:r>
      <w:proofErr w:type="spellEnd"/>
      <w:r w:rsidR="001D3AFB" w:rsidRPr="00D247A3">
        <w:rPr>
          <w:rFonts w:cs="Arial"/>
          <w:sz w:val="24"/>
          <w:szCs w:val="24"/>
        </w:rPr>
        <w:t xml:space="preserve"> necesitó 12 días. </w:t>
      </w:r>
      <w:proofErr w:type="spellStart"/>
      <w:r w:rsidR="001D3AFB" w:rsidRPr="00D247A3">
        <w:rPr>
          <w:rFonts w:cs="Arial"/>
          <w:sz w:val="24"/>
          <w:szCs w:val="24"/>
        </w:rPr>
        <w:t>Sahu</w:t>
      </w:r>
      <w:proofErr w:type="spellEnd"/>
      <w:r w:rsidR="001D3AFB" w:rsidRPr="00D247A3">
        <w:rPr>
          <w:rFonts w:cs="Arial"/>
          <w:sz w:val="24"/>
          <w:szCs w:val="24"/>
        </w:rPr>
        <w:t xml:space="preserve"> </w:t>
      </w:r>
      <w:r w:rsidR="00F03422" w:rsidRPr="00D247A3">
        <w:rPr>
          <w:rFonts w:cs="Arial"/>
          <w:sz w:val="24"/>
          <w:szCs w:val="24"/>
        </w:rPr>
        <w:t xml:space="preserve">&amp; </w:t>
      </w:r>
      <w:r w:rsidR="001D3AFB" w:rsidRPr="00D247A3">
        <w:rPr>
          <w:rFonts w:cs="Arial"/>
          <w:sz w:val="24"/>
          <w:szCs w:val="24"/>
        </w:rPr>
        <w:t xml:space="preserve">Jana (2000) evaluaron 30 días del proceso y encontraron que para </w:t>
      </w:r>
      <w:proofErr w:type="spellStart"/>
      <w:r w:rsidR="001D3AFB" w:rsidRPr="00D247A3">
        <w:rPr>
          <w:rFonts w:cs="Arial"/>
          <w:i/>
          <w:sz w:val="24"/>
          <w:szCs w:val="24"/>
        </w:rPr>
        <w:t>Bacillus</w:t>
      </w:r>
      <w:proofErr w:type="spellEnd"/>
      <w:r w:rsidR="0062397C">
        <w:rPr>
          <w:rFonts w:cs="Arial"/>
          <w:sz w:val="24"/>
          <w:szCs w:val="24"/>
        </w:rPr>
        <w:t xml:space="preserve"> la máxima concentración de P</w:t>
      </w:r>
      <w:r w:rsidR="001D3AFB" w:rsidRPr="00D247A3">
        <w:rPr>
          <w:rFonts w:cs="Arial"/>
          <w:sz w:val="24"/>
          <w:szCs w:val="24"/>
        </w:rPr>
        <w:t xml:space="preserve"> ocurrió a los 12 días.</w:t>
      </w:r>
    </w:p>
    <w:p w:rsidR="001D3AFB" w:rsidRPr="00D247A3" w:rsidRDefault="001D3AFB" w:rsidP="005836FE">
      <w:pPr>
        <w:spacing w:line="360" w:lineRule="auto"/>
        <w:jc w:val="both"/>
        <w:rPr>
          <w:rFonts w:cs="Arial"/>
          <w:sz w:val="24"/>
          <w:szCs w:val="24"/>
        </w:rPr>
      </w:pPr>
      <w:r w:rsidRPr="00D247A3">
        <w:rPr>
          <w:rFonts w:cs="Arial"/>
          <w:sz w:val="24"/>
          <w:szCs w:val="24"/>
        </w:rPr>
        <w:t xml:space="preserve">Los resultados del presente estudio nos permiten afirmar que </w:t>
      </w:r>
      <w:r w:rsidR="002A47D0" w:rsidRPr="00D247A3">
        <w:rPr>
          <w:rFonts w:cs="Arial"/>
          <w:sz w:val="24"/>
          <w:szCs w:val="24"/>
        </w:rPr>
        <w:t xml:space="preserve">el hongo </w:t>
      </w:r>
      <w:r w:rsidRPr="00D247A3">
        <w:rPr>
          <w:rFonts w:cs="Arial"/>
          <w:sz w:val="24"/>
          <w:szCs w:val="24"/>
        </w:rPr>
        <w:t>fue</w:t>
      </w:r>
      <w:r w:rsidR="002A47D0" w:rsidRPr="00D247A3">
        <w:rPr>
          <w:rFonts w:cs="Arial"/>
          <w:sz w:val="24"/>
          <w:szCs w:val="24"/>
        </w:rPr>
        <w:t xml:space="preserve"> más efectivo</w:t>
      </w:r>
      <w:r w:rsidRPr="00D247A3">
        <w:rPr>
          <w:rFonts w:cs="Arial"/>
          <w:sz w:val="24"/>
          <w:szCs w:val="24"/>
        </w:rPr>
        <w:t xml:space="preserve"> en un </w:t>
      </w:r>
      <w:r w:rsidR="00417394" w:rsidRPr="00D247A3">
        <w:rPr>
          <w:rFonts w:cs="Arial"/>
          <w:sz w:val="24"/>
          <w:szCs w:val="24"/>
        </w:rPr>
        <w:t>tiempo relativamente corto, de</w:t>
      </w:r>
      <w:r w:rsidRPr="00D247A3">
        <w:rPr>
          <w:rFonts w:cs="Arial"/>
          <w:sz w:val="24"/>
          <w:szCs w:val="24"/>
        </w:rPr>
        <w:t xml:space="preserve"> 5 días. La reducción del tiempo requerido para alcanzar una mayor eficiencia de un proceso biotecnológico es </w:t>
      </w:r>
      <w:r w:rsidR="002739AB" w:rsidRPr="00D247A3">
        <w:rPr>
          <w:rFonts w:cs="Arial"/>
          <w:sz w:val="24"/>
          <w:szCs w:val="24"/>
        </w:rPr>
        <w:t>un factor</w:t>
      </w:r>
      <w:r w:rsidRPr="00D247A3">
        <w:rPr>
          <w:rFonts w:cs="Arial"/>
          <w:sz w:val="24"/>
          <w:szCs w:val="24"/>
        </w:rPr>
        <w:t xml:space="preserve"> clave en la </w:t>
      </w:r>
      <w:r w:rsidRPr="00D247A3">
        <w:rPr>
          <w:rFonts w:cs="Arial"/>
          <w:sz w:val="24"/>
          <w:szCs w:val="24"/>
        </w:rPr>
        <w:lastRenderedPageBreak/>
        <w:t xml:space="preserve">implementación industrial del proceso (Doran, 1995). Esto ayuda a reducir los costos de producción. </w:t>
      </w:r>
    </w:p>
    <w:p w:rsidR="00621A0B" w:rsidRPr="00D247A3" w:rsidRDefault="001D3AFB" w:rsidP="005836FE">
      <w:pPr>
        <w:autoSpaceDE w:val="0"/>
        <w:autoSpaceDN w:val="0"/>
        <w:adjustRightInd w:val="0"/>
        <w:spacing w:line="360" w:lineRule="auto"/>
        <w:jc w:val="both"/>
        <w:rPr>
          <w:rFonts w:cs="Arial"/>
          <w:sz w:val="24"/>
          <w:szCs w:val="24"/>
        </w:rPr>
      </w:pPr>
      <w:r w:rsidRPr="00D247A3">
        <w:rPr>
          <w:rFonts w:cs="Arial"/>
          <w:sz w:val="24"/>
          <w:szCs w:val="24"/>
        </w:rPr>
        <w:t xml:space="preserve">En general, </w:t>
      </w:r>
      <w:proofErr w:type="spellStart"/>
      <w:r w:rsidR="002A47D0" w:rsidRPr="00D247A3">
        <w:rPr>
          <w:rFonts w:cs="Arial"/>
          <w:i/>
          <w:sz w:val="24"/>
          <w:szCs w:val="24"/>
        </w:rPr>
        <w:t>Mortierella</w:t>
      </w:r>
      <w:proofErr w:type="spellEnd"/>
      <w:r w:rsidR="002A47D0" w:rsidRPr="00D247A3">
        <w:rPr>
          <w:rFonts w:cs="Arial"/>
          <w:sz w:val="24"/>
          <w:szCs w:val="24"/>
        </w:rPr>
        <w:t xml:space="preserve"> </w:t>
      </w:r>
      <w:proofErr w:type="spellStart"/>
      <w:r w:rsidR="002A47D0" w:rsidRPr="00D247A3">
        <w:rPr>
          <w:rFonts w:cs="Arial"/>
          <w:sz w:val="24"/>
          <w:szCs w:val="24"/>
        </w:rPr>
        <w:t>sp.</w:t>
      </w:r>
      <w:proofErr w:type="spellEnd"/>
      <w:r w:rsidRPr="00D247A3">
        <w:rPr>
          <w:rFonts w:cs="Arial"/>
          <w:sz w:val="24"/>
          <w:szCs w:val="24"/>
        </w:rPr>
        <w:t xml:space="preserve"> exhibi</w:t>
      </w:r>
      <w:r w:rsidR="002A47D0" w:rsidRPr="00D247A3">
        <w:rPr>
          <w:rFonts w:cs="Arial"/>
          <w:sz w:val="24"/>
          <w:szCs w:val="24"/>
        </w:rPr>
        <w:t>ó</w:t>
      </w:r>
      <w:r w:rsidRPr="00D247A3">
        <w:rPr>
          <w:rFonts w:cs="Arial"/>
          <w:sz w:val="24"/>
          <w:szCs w:val="24"/>
        </w:rPr>
        <w:t xml:space="preserve"> un comportamiento similar en cuanto a la disolución de </w:t>
      </w:r>
      <w:r w:rsidR="004D0FC1" w:rsidRPr="00D247A3">
        <w:rPr>
          <w:rFonts w:cs="Arial"/>
          <w:sz w:val="24"/>
          <w:szCs w:val="24"/>
        </w:rPr>
        <w:t>los tres tipos</w:t>
      </w:r>
      <w:r w:rsidRPr="00D247A3">
        <w:rPr>
          <w:rFonts w:cs="Arial"/>
          <w:sz w:val="24"/>
          <w:szCs w:val="24"/>
        </w:rPr>
        <w:t xml:space="preserve"> de RP</w:t>
      </w:r>
      <w:r w:rsidR="002A47D0" w:rsidRPr="00D247A3">
        <w:rPr>
          <w:rFonts w:cs="Arial"/>
          <w:sz w:val="24"/>
          <w:szCs w:val="24"/>
        </w:rPr>
        <w:t>. Sin embargo, la cantidad de P</w:t>
      </w:r>
      <w:r w:rsidRPr="00D247A3">
        <w:rPr>
          <w:rFonts w:cs="Arial"/>
          <w:sz w:val="24"/>
          <w:szCs w:val="24"/>
        </w:rPr>
        <w:t xml:space="preserve"> disuelta varió entre RP. </w:t>
      </w:r>
      <w:r w:rsidR="00417394" w:rsidRPr="00D247A3">
        <w:rPr>
          <w:rFonts w:cs="Arial"/>
          <w:sz w:val="24"/>
          <w:szCs w:val="24"/>
        </w:rPr>
        <w:t>S</w:t>
      </w:r>
      <w:r w:rsidRPr="00D247A3">
        <w:rPr>
          <w:rFonts w:cs="Arial"/>
          <w:sz w:val="24"/>
          <w:szCs w:val="24"/>
        </w:rPr>
        <w:t xml:space="preserve">e obtuvieron mejores resultados con la RP de Carolina del Norte (EDRP para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r w:rsidR="00533472" w:rsidRPr="00D247A3">
        <w:rPr>
          <w:rFonts w:cs="Arial"/>
          <w:sz w:val="24"/>
          <w:szCs w:val="24"/>
        </w:rPr>
        <w:t>.</w:t>
      </w:r>
      <w:proofErr w:type="spellEnd"/>
      <w:r w:rsidRPr="00D247A3">
        <w:rPr>
          <w:rFonts w:cs="Arial"/>
          <w:sz w:val="24"/>
          <w:szCs w:val="24"/>
        </w:rPr>
        <w:t>: 37</w:t>
      </w:r>
      <w:r w:rsidR="00AA19F4" w:rsidRPr="00D247A3">
        <w:rPr>
          <w:rFonts w:cs="Arial"/>
          <w:sz w:val="24"/>
          <w:szCs w:val="24"/>
        </w:rPr>
        <w:t>%</w:t>
      </w:r>
      <w:r w:rsidRPr="00D247A3">
        <w:rPr>
          <w:rFonts w:cs="Arial"/>
          <w:sz w:val="24"/>
          <w:szCs w:val="24"/>
        </w:rPr>
        <w:t xml:space="preserve">), seguido de la RP del Huila (EDRP para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r w:rsidR="002A47D0" w:rsidRPr="00D247A3">
        <w:rPr>
          <w:rFonts w:cs="Arial"/>
          <w:sz w:val="24"/>
          <w:szCs w:val="24"/>
        </w:rPr>
        <w:t>.</w:t>
      </w:r>
      <w:proofErr w:type="spellEnd"/>
      <w:r w:rsidRPr="00D247A3">
        <w:rPr>
          <w:rFonts w:cs="Arial"/>
          <w:sz w:val="24"/>
          <w:szCs w:val="24"/>
        </w:rPr>
        <w:t xml:space="preserve"> 21 %) y de Santander (EDRP para </w:t>
      </w:r>
      <w:proofErr w:type="spellStart"/>
      <w:r w:rsidRPr="00D247A3">
        <w:rPr>
          <w:rFonts w:cs="Arial"/>
          <w:i/>
          <w:sz w:val="24"/>
          <w:szCs w:val="24"/>
        </w:rPr>
        <w:t>Mortierella</w:t>
      </w:r>
      <w:proofErr w:type="spellEnd"/>
      <w:r w:rsidR="002A47D0" w:rsidRPr="00D247A3">
        <w:rPr>
          <w:rFonts w:cs="Arial"/>
          <w:sz w:val="24"/>
          <w:szCs w:val="24"/>
        </w:rPr>
        <w:t xml:space="preserve"> </w:t>
      </w:r>
      <w:proofErr w:type="spellStart"/>
      <w:r w:rsidR="002A47D0" w:rsidRPr="00D247A3">
        <w:rPr>
          <w:rFonts w:cs="Arial"/>
          <w:sz w:val="24"/>
          <w:szCs w:val="24"/>
        </w:rPr>
        <w:t>sp.</w:t>
      </w:r>
      <w:proofErr w:type="spellEnd"/>
      <w:r w:rsidR="002A47D0" w:rsidRPr="00D247A3">
        <w:rPr>
          <w:rFonts w:cs="Arial"/>
          <w:sz w:val="24"/>
          <w:szCs w:val="24"/>
        </w:rPr>
        <w:t xml:space="preserve"> 14</w:t>
      </w:r>
      <w:r w:rsidR="0081621D" w:rsidRPr="00D247A3">
        <w:rPr>
          <w:rFonts w:cs="Arial"/>
          <w:sz w:val="24"/>
          <w:szCs w:val="24"/>
        </w:rPr>
        <w:t xml:space="preserve"> </w:t>
      </w:r>
      <w:r w:rsidR="002A47D0" w:rsidRPr="00D247A3">
        <w:rPr>
          <w:rFonts w:cs="Arial"/>
          <w:sz w:val="24"/>
          <w:szCs w:val="24"/>
        </w:rPr>
        <w:t>%).</w:t>
      </w:r>
      <w:r w:rsidRPr="00D247A3">
        <w:rPr>
          <w:rFonts w:cs="Arial"/>
          <w:sz w:val="24"/>
          <w:szCs w:val="24"/>
        </w:rPr>
        <w:t>Tales diferencias muy probablemente se deben a diferencias en la composición mineralógica de estas. La RP de Carolina del Norte es una roca sedimentaria (</w:t>
      </w:r>
      <w:proofErr w:type="spellStart"/>
      <w:r w:rsidRPr="00D247A3">
        <w:rPr>
          <w:rFonts w:cs="Arial"/>
          <w:sz w:val="24"/>
          <w:szCs w:val="24"/>
        </w:rPr>
        <w:t>fluoroapatita</w:t>
      </w:r>
      <w:proofErr w:type="spellEnd"/>
      <w:r w:rsidRPr="00D247A3">
        <w:rPr>
          <w:rFonts w:cs="Arial"/>
          <w:sz w:val="24"/>
          <w:szCs w:val="24"/>
        </w:rPr>
        <w:t xml:space="preserve"> carbonatada) más reactiva (</w:t>
      </w:r>
      <w:proofErr w:type="spellStart"/>
      <w:r w:rsidRPr="00D247A3">
        <w:rPr>
          <w:rFonts w:cs="Arial"/>
          <w:sz w:val="24"/>
          <w:szCs w:val="24"/>
        </w:rPr>
        <w:t>Chien</w:t>
      </w:r>
      <w:proofErr w:type="spellEnd"/>
      <w:r w:rsidRPr="00D247A3">
        <w:rPr>
          <w:rFonts w:cs="Arial"/>
          <w:sz w:val="24"/>
          <w:szCs w:val="24"/>
        </w:rPr>
        <w:t xml:space="preserve"> </w:t>
      </w:r>
      <w:r w:rsidR="0081621D" w:rsidRPr="00D247A3">
        <w:rPr>
          <w:rFonts w:cs="Arial"/>
          <w:sz w:val="24"/>
          <w:szCs w:val="24"/>
        </w:rPr>
        <w:t xml:space="preserve">&amp; </w:t>
      </w:r>
      <w:proofErr w:type="spellStart"/>
      <w:r w:rsidRPr="00D247A3">
        <w:rPr>
          <w:rFonts w:cs="Arial"/>
          <w:sz w:val="24"/>
          <w:szCs w:val="24"/>
        </w:rPr>
        <w:t>Menon</w:t>
      </w:r>
      <w:proofErr w:type="spellEnd"/>
      <w:r w:rsidRPr="00D247A3">
        <w:rPr>
          <w:rFonts w:cs="Arial"/>
          <w:sz w:val="24"/>
          <w:szCs w:val="24"/>
        </w:rPr>
        <w:t xml:space="preserve"> 1995; Schneider </w:t>
      </w:r>
      <w:r w:rsidR="00DB75C7" w:rsidRPr="00D247A3">
        <w:rPr>
          <w:rFonts w:cs="Arial"/>
          <w:i/>
          <w:sz w:val="24"/>
          <w:szCs w:val="24"/>
        </w:rPr>
        <w:t>et al</w:t>
      </w:r>
      <w:r w:rsidRPr="00D247A3">
        <w:rPr>
          <w:rFonts w:cs="Arial"/>
          <w:sz w:val="24"/>
          <w:szCs w:val="24"/>
        </w:rPr>
        <w:t xml:space="preserve">., 2010) que las </w:t>
      </w:r>
      <w:proofErr w:type="spellStart"/>
      <w:r w:rsidRPr="00D247A3">
        <w:rPr>
          <w:rFonts w:cs="Arial"/>
          <w:sz w:val="24"/>
          <w:szCs w:val="24"/>
        </w:rPr>
        <w:t>RP</w:t>
      </w:r>
      <w:r w:rsidR="00417394" w:rsidRPr="00D247A3">
        <w:rPr>
          <w:rFonts w:cs="Arial"/>
          <w:sz w:val="24"/>
          <w:szCs w:val="24"/>
        </w:rPr>
        <w:t>s</w:t>
      </w:r>
      <w:proofErr w:type="spellEnd"/>
      <w:r w:rsidRPr="00D247A3">
        <w:rPr>
          <w:rFonts w:cs="Arial"/>
          <w:sz w:val="24"/>
          <w:szCs w:val="24"/>
        </w:rPr>
        <w:t xml:space="preserve"> sedimentaras del Huila y de Santander y, por ende, tiene mayor efectividad agronómica (</w:t>
      </w:r>
      <w:proofErr w:type="spellStart"/>
      <w:r w:rsidRPr="00D247A3">
        <w:rPr>
          <w:rFonts w:cs="Arial"/>
          <w:sz w:val="24"/>
          <w:szCs w:val="24"/>
        </w:rPr>
        <w:t>Chien</w:t>
      </w:r>
      <w:proofErr w:type="spellEnd"/>
      <w:r w:rsidRPr="00D247A3">
        <w:rPr>
          <w:rFonts w:cs="Arial"/>
          <w:sz w:val="24"/>
          <w:szCs w:val="24"/>
        </w:rPr>
        <w:t xml:space="preserve"> </w:t>
      </w:r>
      <w:r w:rsidR="0081621D" w:rsidRPr="00D247A3">
        <w:rPr>
          <w:rFonts w:cs="Arial"/>
          <w:sz w:val="24"/>
          <w:szCs w:val="24"/>
        </w:rPr>
        <w:t xml:space="preserve">&amp; </w:t>
      </w:r>
      <w:proofErr w:type="spellStart"/>
      <w:r w:rsidRPr="00D247A3">
        <w:rPr>
          <w:rFonts w:cs="Arial"/>
          <w:sz w:val="24"/>
          <w:szCs w:val="24"/>
        </w:rPr>
        <w:t>Hammond</w:t>
      </w:r>
      <w:proofErr w:type="spellEnd"/>
      <w:r w:rsidRPr="00D247A3">
        <w:rPr>
          <w:rFonts w:cs="Arial"/>
          <w:sz w:val="24"/>
          <w:szCs w:val="24"/>
        </w:rPr>
        <w:t>, 1978). La RP de Carolina del Norte tiene un mayor contenido de P (13%), mientras que la del Huila y Santander contienen 9.1 y 8.0%, respectivamente (</w:t>
      </w:r>
      <w:proofErr w:type="spellStart"/>
      <w:r w:rsidRPr="00D247A3">
        <w:rPr>
          <w:rFonts w:cs="Arial"/>
          <w:sz w:val="24"/>
          <w:szCs w:val="24"/>
        </w:rPr>
        <w:t>Chien</w:t>
      </w:r>
      <w:proofErr w:type="spellEnd"/>
      <w:r w:rsidRPr="00D247A3">
        <w:rPr>
          <w:rFonts w:cs="Arial"/>
          <w:sz w:val="24"/>
          <w:szCs w:val="24"/>
        </w:rPr>
        <w:t xml:space="preserve"> </w:t>
      </w:r>
      <w:r w:rsidR="001363A7" w:rsidRPr="00D247A3">
        <w:rPr>
          <w:rFonts w:cs="Arial"/>
          <w:sz w:val="24"/>
          <w:szCs w:val="24"/>
        </w:rPr>
        <w:t xml:space="preserve">&amp; </w:t>
      </w:r>
      <w:proofErr w:type="spellStart"/>
      <w:r w:rsidRPr="00D247A3">
        <w:rPr>
          <w:rFonts w:cs="Arial"/>
          <w:sz w:val="24"/>
          <w:szCs w:val="24"/>
        </w:rPr>
        <w:t>Hammond</w:t>
      </w:r>
      <w:proofErr w:type="spellEnd"/>
      <w:r w:rsidRPr="00D247A3">
        <w:rPr>
          <w:rFonts w:cs="Arial"/>
          <w:sz w:val="24"/>
          <w:szCs w:val="24"/>
        </w:rPr>
        <w:t xml:space="preserve">, 1978). Por otro lado, la RP de Carolina del Norte tiene un mayor contenido de carbonato </w:t>
      </w:r>
      <w:r w:rsidR="00A33CD5" w:rsidRPr="00D247A3">
        <w:rPr>
          <w:rFonts w:cs="Arial"/>
          <w:sz w:val="24"/>
          <w:szCs w:val="24"/>
        </w:rPr>
        <w:t>(</w:t>
      </w:r>
      <w:r w:rsidRPr="00D247A3">
        <w:rPr>
          <w:rFonts w:cs="Arial"/>
          <w:sz w:val="24"/>
          <w:szCs w:val="24"/>
        </w:rPr>
        <w:t>1.23xCO</w:t>
      </w:r>
      <w:r w:rsidRPr="00D247A3">
        <w:rPr>
          <w:rFonts w:cs="Arial"/>
          <w:sz w:val="24"/>
          <w:szCs w:val="24"/>
          <w:vertAlign w:val="subscript"/>
        </w:rPr>
        <w:t>3</w:t>
      </w:r>
      <w:r w:rsidR="00A33CD5" w:rsidRPr="00D247A3">
        <w:rPr>
          <w:rFonts w:cs="Arial"/>
          <w:sz w:val="24"/>
          <w:szCs w:val="24"/>
        </w:rPr>
        <w:t>)</w:t>
      </w:r>
      <w:r w:rsidRPr="00D247A3">
        <w:rPr>
          <w:rFonts w:cs="Arial"/>
          <w:sz w:val="24"/>
          <w:szCs w:val="24"/>
        </w:rPr>
        <w:t xml:space="preserve"> en la fórmula que las </w:t>
      </w:r>
      <w:proofErr w:type="spellStart"/>
      <w:r w:rsidRPr="00D247A3">
        <w:rPr>
          <w:rFonts w:cs="Arial"/>
          <w:sz w:val="24"/>
          <w:szCs w:val="24"/>
        </w:rPr>
        <w:t>RP</w:t>
      </w:r>
      <w:r w:rsidR="00417394" w:rsidRPr="00D247A3">
        <w:rPr>
          <w:rFonts w:cs="Arial"/>
          <w:sz w:val="24"/>
          <w:szCs w:val="24"/>
        </w:rPr>
        <w:t>s</w:t>
      </w:r>
      <w:proofErr w:type="spellEnd"/>
      <w:r w:rsidRPr="00D247A3">
        <w:rPr>
          <w:rFonts w:cs="Arial"/>
          <w:sz w:val="24"/>
          <w:szCs w:val="24"/>
        </w:rPr>
        <w:t xml:space="preserve"> de Santander y Huila (0.72-0.86 xCO</w:t>
      </w:r>
      <w:r w:rsidRPr="00D247A3">
        <w:rPr>
          <w:rFonts w:cs="Arial"/>
          <w:sz w:val="24"/>
          <w:szCs w:val="24"/>
          <w:vertAlign w:val="subscript"/>
        </w:rPr>
        <w:t>3</w:t>
      </w:r>
      <w:r w:rsidRPr="00D247A3">
        <w:rPr>
          <w:rFonts w:cs="Arial"/>
          <w:sz w:val="24"/>
          <w:szCs w:val="24"/>
        </w:rPr>
        <w:t xml:space="preserve">) y esto le confiere un mayor índice de disolución con ácido cítrico (Van </w:t>
      </w:r>
      <w:proofErr w:type="spellStart"/>
      <w:r w:rsidRPr="00D247A3">
        <w:rPr>
          <w:rFonts w:cs="Arial"/>
          <w:sz w:val="24"/>
          <w:szCs w:val="24"/>
        </w:rPr>
        <w:t>Kauwenbergh</w:t>
      </w:r>
      <w:proofErr w:type="spellEnd"/>
      <w:r w:rsidRPr="00D247A3">
        <w:rPr>
          <w:rFonts w:cs="Arial"/>
          <w:sz w:val="24"/>
          <w:szCs w:val="24"/>
        </w:rPr>
        <w:t xml:space="preserve">, 2006). Schneider </w:t>
      </w:r>
      <w:r w:rsidR="00DB75C7" w:rsidRPr="00D247A3">
        <w:rPr>
          <w:rFonts w:cs="Arial"/>
          <w:i/>
          <w:sz w:val="24"/>
          <w:szCs w:val="24"/>
        </w:rPr>
        <w:t>et al</w:t>
      </w:r>
      <w:r w:rsidRPr="00D247A3">
        <w:rPr>
          <w:rFonts w:cs="Arial"/>
          <w:sz w:val="24"/>
          <w:szCs w:val="24"/>
        </w:rPr>
        <w:t>. (2010)</w:t>
      </w:r>
      <w:r w:rsidR="001363A7" w:rsidRPr="00D247A3">
        <w:rPr>
          <w:rFonts w:cs="Arial"/>
          <w:sz w:val="24"/>
          <w:szCs w:val="24"/>
        </w:rPr>
        <w:t>,</w:t>
      </w:r>
      <w:r w:rsidRPr="00D247A3">
        <w:rPr>
          <w:rFonts w:cs="Arial"/>
          <w:sz w:val="24"/>
          <w:szCs w:val="24"/>
        </w:rPr>
        <w:t xml:space="preserve"> evaluaron la disolución de tres RP (Carolina del Norte, una de Brasil y </w:t>
      </w:r>
      <w:r w:rsidR="00837498" w:rsidRPr="00D247A3">
        <w:rPr>
          <w:rFonts w:cs="Arial"/>
          <w:sz w:val="24"/>
          <w:szCs w:val="24"/>
        </w:rPr>
        <w:t xml:space="preserve">de </w:t>
      </w:r>
      <w:r w:rsidRPr="00D247A3">
        <w:rPr>
          <w:rFonts w:cs="Arial"/>
          <w:sz w:val="24"/>
          <w:szCs w:val="24"/>
        </w:rPr>
        <w:t xml:space="preserve">Canadá), encontraron que </w:t>
      </w:r>
      <w:r w:rsidRPr="00D247A3">
        <w:rPr>
          <w:rFonts w:cs="Arial"/>
          <w:i/>
          <w:sz w:val="24"/>
          <w:szCs w:val="24"/>
        </w:rPr>
        <w:t xml:space="preserve">A. </w:t>
      </w:r>
      <w:proofErr w:type="spellStart"/>
      <w:r w:rsidRPr="00D247A3">
        <w:rPr>
          <w:rFonts w:cs="Arial"/>
          <w:i/>
          <w:sz w:val="24"/>
          <w:szCs w:val="24"/>
        </w:rPr>
        <w:t>niger</w:t>
      </w:r>
      <w:proofErr w:type="spellEnd"/>
      <w:r w:rsidRPr="00D247A3">
        <w:rPr>
          <w:rFonts w:cs="Arial"/>
          <w:sz w:val="24"/>
          <w:szCs w:val="24"/>
        </w:rPr>
        <w:t xml:space="preserve"> fue más efectivo disolviendo la RP de Carolina del Norte que con otras RP. Según los autores, la razón para tales diferencias es que la primera en de origen sedimentario, mientras que las otras son de origen ígneo.</w:t>
      </w:r>
    </w:p>
    <w:p w:rsidR="001D3AFB" w:rsidRPr="00D247A3" w:rsidRDefault="001D3AFB" w:rsidP="005836FE">
      <w:pPr>
        <w:spacing w:line="360" w:lineRule="auto"/>
        <w:jc w:val="both"/>
        <w:rPr>
          <w:rFonts w:cs="Arial"/>
          <w:sz w:val="24"/>
          <w:szCs w:val="24"/>
        </w:rPr>
      </w:pPr>
      <w:r w:rsidRPr="00D247A3">
        <w:rPr>
          <w:rFonts w:cs="Arial"/>
          <w:sz w:val="24"/>
          <w:szCs w:val="24"/>
        </w:rPr>
        <w:t>Por otro lado, las RP pueden presentar diferentes concentraciones de elementos traza tales como F, Fe, Al, Mn, As, Cd, Cu, Pb, Ni, Z</w:t>
      </w:r>
      <w:r w:rsidR="00533472" w:rsidRPr="00D247A3">
        <w:rPr>
          <w:rFonts w:cs="Arial"/>
          <w:sz w:val="24"/>
          <w:szCs w:val="24"/>
        </w:rPr>
        <w:t xml:space="preserve">n, Hg y U (Zapata </w:t>
      </w:r>
      <w:r w:rsidR="001363A7" w:rsidRPr="00D247A3">
        <w:rPr>
          <w:rFonts w:cs="Arial"/>
          <w:sz w:val="24"/>
          <w:szCs w:val="24"/>
        </w:rPr>
        <w:t xml:space="preserve">&amp; </w:t>
      </w:r>
      <w:r w:rsidR="00533472" w:rsidRPr="00D247A3">
        <w:rPr>
          <w:rFonts w:cs="Arial"/>
          <w:sz w:val="24"/>
          <w:szCs w:val="24"/>
        </w:rPr>
        <w:t xml:space="preserve">Roy, 2007; </w:t>
      </w:r>
      <w:proofErr w:type="spellStart"/>
      <w:r w:rsidRPr="00D247A3">
        <w:rPr>
          <w:rFonts w:cs="Arial"/>
          <w:sz w:val="24"/>
          <w:szCs w:val="24"/>
        </w:rPr>
        <w:t>Grewal</w:t>
      </w:r>
      <w:proofErr w:type="spellEnd"/>
      <w:r w:rsidRPr="00D247A3">
        <w:rPr>
          <w:rFonts w:cs="Arial"/>
          <w:sz w:val="24"/>
          <w:szCs w:val="24"/>
        </w:rPr>
        <w:t xml:space="preserve"> </w:t>
      </w:r>
      <w:r w:rsidR="001363A7" w:rsidRPr="00D247A3">
        <w:rPr>
          <w:rFonts w:cs="Arial"/>
          <w:sz w:val="24"/>
          <w:szCs w:val="24"/>
        </w:rPr>
        <w:t xml:space="preserve">&amp; </w:t>
      </w:r>
      <w:proofErr w:type="spellStart"/>
      <w:r w:rsidRPr="00D247A3">
        <w:rPr>
          <w:rFonts w:cs="Arial"/>
          <w:sz w:val="24"/>
          <w:szCs w:val="24"/>
        </w:rPr>
        <w:t>Kalra</w:t>
      </w:r>
      <w:proofErr w:type="spellEnd"/>
      <w:r w:rsidR="001363A7" w:rsidRPr="00D247A3">
        <w:rPr>
          <w:rFonts w:cs="Arial"/>
          <w:sz w:val="24"/>
          <w:szCs w:val="24"/>
        </w:rPr>
        <w:t>,</w:t>
      </w:r>
      <w:r w:rsidRPr="00D247A3">
        <w:rPr>
          <w:rFonts w:cs="Arial"/>
          <w:sz w:val="24"/>
          <w:szCs w:val="24"/>
        </w:rPr>
        <w:t xml:space="preserve"> 1995), los cuales pueden afectar el crecimiento microbia</w:t>
      </w:r>
      <w:r w:rsidR="00A33CD5" w:rsidRPr="00D247A3">
        <w:rPr>
          <w:rFonts w:cs="Arial"/>
          <w:sz w:val="24"/>
          <w:szCs w:val="24"/>
        </w:rPr>
        <w:t>no</w:t>
      </w:r>
      <w:r w:rsidRPr="00D247A3">
        <w:rPr>
          <w:rFonts w:cs="Arial"/>
          <w:sz w:val="24"/>
          <w:szCs w:val="24"/>
        </w:rPr>
        <w:t xml:space="preserve">, la capacidad del microorganismo para biosíntesis y </w:t>
      </w:r>
      <w:proofErr w:type="spellStart"/>
      <w:r w:rsidRPr="00D247A3">
        <w:rPr>
          <w:rFonts w:cs="Arial"/>
          <w:sz w:val="24"/>
          <w:szCs w:val="24"/>
        </w:rPr>
        <w:t>liberar</w:t>
      </w:r>
      <w:r w:rsidR="00A33CD5" w:rsidRPr="00D247A3">
        <w:rPr>
          <w:rFonts w:cs="Arial"/>
          <w:sz w:val="24"/>
          <w:szCs w:val="24"/>
        </w:rPr>
        <w:t>ación</w:t>
      </w:r>
      <w:proofErr w:type="spellEnd"/>
      <w:r w:rsidR="00A33CD5" w:rsidRPr="00D247A3">
        <w:rPr>
          <w:rFonts w:cs="Arial"/>
          <w:sz w:val="24"/>
          <w:szCs w:val="24"/>
        </w:rPr>
        <w:t xml:space="preserve"> de</w:t>
      </w:r>
      <w:r w:rsidRPr="00D247A3">
        <w:rPr>
          <w:rFonts w:cs="Arial"/>
          <w:sz w:val="24"/>
          <w:szCs w:val="24"/>
        </w:rPr>
        <w:t xml:space="preserve"> ácidos orgánicos (Schneider </w:t>
      </w:r>
      <w:r w:rsidR="00DB75C7" w:rsidRPr="00D247A3">
        <w:rPr>
          <w:rFonts w:cs="Arial"/>
          <w:i/>
          <w:sz w:val="24"/>
          <w:szCs w:val="24"/>
        </w:rPr>
        <w:t>et al</w:t>
      </w:r>
      <w:r w:rsidRPr="00D247A3">
        <w:rPr>
          <w:rFonts w:cs="Arial"/>
          <w:sz w:val="24"/>
          <w:szCs w:val="24"/>
        </w:rPr>
        <w:t xml:space="preserve">., 2010). Algunos de </w:t>
      </w:r>
      <w:r w:rsidR="004D0FC1" w:rsidRPr="00D247A3">
        <w:rPr>
          <w:rFonts w:cs="Arial"/>
          <w:sz w:val="24"/>
          <w:szCs w:val="24"/>
        </w:rPr>
        <w:t xml:space="preserve">estos </w:t>
      </w:r>
      <w:r w:rsidR="00A33CD5" w:rsidRPr="00D247A3">
        <w:rPr>
          <w:rFonts w:cs="Arial"/>
          <w:sz w:val="24"/>
          <w:szCs w:val="24"/>
        </w:rPr>
        <w:t>element</w:t>
      </w:r>
      <w:r w:rsidR="004D0FC1" w:rsidRPr="00D247A3">
        <w:rPr>
          <w:rFonts w:cs="Arial"/>
          <w:sz w:val="24"/>
          <w:szCs w:val="24"/>
        </w:rPr>
        <w:t>os</w:t>
      </w:r>
      <w:r w:rsidRPr="00D247A3">
        <w:rPr>
          <w:rFonts w:cs="Arial"/>
          <w:sz w:val="24"/>
          <w:szCs w:val="24"/>
        </w:rPr>
        <w:t xml:space="preserve"> puede</w:t>
      </w:r>
      <w:r w:rsidR="004D0FC1" w:rsidRPr="00D247A3">
        <w:rPr>
          <w:rFonts w:cs="Arial"/>
          <w:sz w:val="24"/>
          <w:szCs w:val="24"/>
        </w:rPr>
        <w:t>n</w:t>
      </w:r>
      <w:r w:rsidRPr="00D247A3">
        <w:rPr>
          <w:rFonts w:cs="Arial"/>
          <w:sz w:val="24"/>
          <w:szCs w:val="24"/>
        </w:rPr>
        <w:t xml:space="preserve"> ser tóxicos para los microorganismos (</w:t>
      </w:r>
      <w:proofErr w:type="spellStart"/>
      <w:r w:rsidRPr="00D247A3">
        <w:rPr>
          <w:rFonts w:cs="Arial"/>
          <w:sz w:val="24"/>
          <w:szCs w:val="24"/>
        </w:rPr>
        <w:t>Madigan</w:t>
      </w:r>
      <w:proofErr w:type="spellEnd"/>
      <w:r w:rsidR="00A33CD5" w:rsidRPr="00D247A3">
        <w:rPr>
          <w:rFonts w:cs="Arial"/>
          <w:sz w:val="24"/>
          <w:szCs w:val="24"/>
        </w:rPr>
        <w:t xml:space="preserve"> </w:t>
      </w:r>
      <w:r w:rsidR="00A33CD5" w:rsidRPr="00D247A3">
        <w:rPr>
          <w:rFonts w:cs="Arial"/>
          <w:i/>
          <w:sz w:val="24"/>
          <w:szCs w:val="24"/>
        </w:rPr>
        <w:t>et al</w:t>
      </w:r>
      <w:r w:rsidR="00A33CD5" w:rsidRPr="00D247A3">
        <w:rPr>
          <w:rFonts w:cs="Arial"/>
          <w:sz w:val="24"/>
          <w:szCs w:val="24"/>
        </w:rPr>
        <w:t>.</w:t>
      </w:r>
      <w:r w:rsidRPr="00D247A3">
        <w:rPr>
          <w:rFonts w:cs="Arial"/>
          <w:sz w:val="24"/>
          <w:szCs w:val="24"/>
        </w:rPr>
        <w:t>, 2004) y las plantas que reciben su aplicación (</w:t>
      </w:r>
      <w:proofErr w:type="spellStart"/>
      <w:r w:rsidRPr="00D247A3">
        <w:rPr>
          <w:rFonts w:cs="Arial"/>
          <w:sz w:val="24"/>
          <w:szCs w:val="24"/>
        </w:rPr>
        <w:t>Dietz</w:t>
      </w:r>
      <w:proofErr w:type="spellEnd"/>
      <w:r w:rsidRPr="00D247A3">
        <w:rPr>
          <w:rFonts w:cs="Arial"/>
          <w:sz w:val="24"/>
          <w:szCs w:val="24"/>
        </w:rPr>
        <w:t xml:space="preserve"> </w:t>
      </w:r>
      <w:r w:rsidR="00DB75C7" w:rsidRPr="00D247A3">
        <w:rPr>
          <w:rFonts w:cs="Arial"/>
          <w:i/>
          <w:sz w:val="24"/>
          <w:szCs w:val="24"/>
        </w:rPr>
        <w:t>et al</w:t>
      </w:r>
      <w:r w:rsidRPr="00D247A3">
        <w:rPr>
          <w:rFonts w:cs="Arial"/>
          <w:sz w:val="24"/>
          <w:szCs w:val="24"/>
        </w:rPr>
        <w:t xml:space="preserve">., 1999). Así, Schneider </w:t>
      </w:r>
      <w:r w:rsidR="00DB75C7" w:rsidRPr="00D247A3">
        <w:rPr>
          <w:rFonts w:cs="Arial"/>
          <w:i/>
          <w:sz w:val="24"/>
          <w:szCs w:val="24"/>
        </w:rPr>
        <w:t>et al</w:t>
      </w:r>
      <w:r w:rsidRPr="00D247A3">
        <w:rPr>
          <w:rFonts w:cs="Arial"/>
          <w:sz w:val="24"/>
          <w:szCs w:val="24"/>
        </w:rPr>
        <w:t>. (2010)</w:t>
      </w:r>
      <w:r w:rsidR="001363A7" w:rsidRPr="00D247A3">
        <w:rPr>
          <w:rFonts w:cs="Arial"/>
          <w:sz w:val="24"/>
          <w:szCs w:val="24"/>
        </w:rPr>
        <w:t>,</w:t>
      </w:r>
      <w:r w:rsidRPr="00D247A3">
        <w:rPr>
          <w:rFonts w:cs="Arial"/>
          <w:sz w:val="24"/>
          <w:szCs w:val="24"/>
        </w:rPr>
        <w:t xml:space="preserve"> hallaron que las RP que presentaron mayores concentraciones de Fe y Mn, disminuyeron la producción de ácido cítrico por </w:t>
      </w:r>
      <w:r w:rsidRPr="00D247A3">
        <w:rPr>
          <w:rFonts w:cs="Arial"/>
          <w:i/>
          <w:sz w:val="24"/>
          <w:szCs w:val="24"/>
        </w:rPr>
        <w:t xml:space="preserve">A. </w:t>
      </w:r>
      <w:proofErr w:type="spellStart"/>
      <w:r w:rsidRPr="00D247A3">
        <w:rPr>
          <w:rFonts w:cs="Arial"/>
          <w:i/>
          <w:sz w:val="24"/>
          <w:szCs w:val="24"/>
        </w:rPr>
        <w:t>niger</w:t>
      </w:r>
      <w:proofErr w:type="spellEnd"/>
      <w:r w:rsidRPr="00D247A3">
        <w:rPr>
          <w:rFonts w:cs="Arial"/>
          <w:i/>
          <w:sz w:val="24"/>
          <w:szCs w:val="24"/>
        </w:rPr>
        <w:t>.</w:t>
      </w:r>
      <w:r w:rsidRPr="00D247A3">
        <w:rPr>
          <w:rFonts w:cs="Arial"/>
          <w:sz w:val="24"/>
          <w:szCs w:val="24"/>
        </w:rPr>
        <w:t xml:space="preserve"> </w:t>
      </w:r>
    </w:p>
    <w:p w:rsidR="00333EB1" w:rsidRPr="00D247A3" w:rsidRDefault="001D3AFB" w:rsidP="005836FE">
      <w:pPr>
        <w:spacing w:line="360" w:lineRule="auto"/>
        <w:jc w:val="both"/>
        <w:rPr>
          <w:rFonts w:cs="Arial"/>
          <w:sz w:val="24"/>
          <w:szCs w:val="24"/>
        </w:rPr>
      </w:pPr>
      <w:r w:rsidRPr="00D247A3">
        <w:rPr>
          <w:rFonts w:cs="Arial"/>
          <w:sz w:val="24"/>
          <w:szCs w:val="24"/>
        </w:rPr>
        <w:lastRenderedPageBreak/>
        <w:t xml:space="preserve">A pesar de las diferencias detectadas entre las RP, este estudio sugiere que las </w:t>
      </w:r>
      <w:proofErr w:type="spellStart"/>
      <w:r w:rsidRPr="00D247A3">
        <w:rPr>
          <w:rFonts w:cs="Arial"/>
          <w:sz w:val="24"/>
          <w:szCs w:val="24"/>
        </w:rPr>
        <w:t>RP</w:t>
      </w:r>
      <w:r w:rsidR="00837498" w:rsidRPr="00D247A3">
        <w:rPr>
          <w:rFonts w:cs="Arial"/>
          <w:sz w:val="24"/>
          <w:szCs w:val="24"/>
        </w:rPr>
        <w:t>s</w:t>
      </w:r>
      <w:proofErr w:type="spellEnd"/>
      <w:r w:rsidRPr="00D247A3">
        <w:rPr>
          <w:rFonts w:cs="Arial"/>
          <w:sz w:val="24"/>
          <w:szCs w:val="24"/>
        </w:rPr>
        <w:t xml:space="preserve"> del Huila y Santander son buenas candidatas para la disolución microbia</w:t>
      </w:r>
      <w:r w:rsidR="00A33CD5" w:rsidRPr="00D247A3">
        <w:rPr>
          <w:rFonts w:cs="Arial"/>
          <w:sz w:val="24"/>
          <w:szCs w:val="24"/>
        </w:rPr>
        <w:t>na</w:t>
      </w:r>
      <w:r w:rsidRPr="00D247A3">
        <w:rPr>
          <w:rFonts w:cs="Arial"/>
          <w:sz w:val="24"/>
          <w:szCs w:val="24"/>
        </w:rPr>
        <w:t>, ya que se mejora su efectividad agronómica para su aplicación directa (Osorio</w:t>
      </w:r>
      <w:r w:rsidR="00A33CD5" w:rsidRPr="00D247A3">
        <w:rPr>
          <w:rFonts w:cs="Arial"/>
          <w:sz w:val="24"/>
          <w:szCs w:val="24"/>
        </w:rPr>
        <w:t>,</w:t>
      </w:r>
      <w:r w:rsidRPr="00D247A3">
        <w:rPr>
          <w:rFonts w:cs="Arial"/>
          <w:sz w:val="24"/>
          <w:szCs w:val="24"/>
        </w:rPr>
        <w:t xml:space="preserve"> 2008) o para la producción de fertilizantes más solubles</w:t>
      </w:r>
      <w:r w:rsidR="008A44F9" w:rsidRPr="00D247A3">
        <w:rPr>
          <w:rFonts w:cs="Arial"/>
          <w:sz w:val="24"/>
          <w:szCs w:val="24"/>
        </w:rPr>
        <w:t xml:space="preserve"> (</w:t>
      </w:r>
      <w:proofErr w:type="spellStart"/>
      <w:r w:rsidR="008A44F9" w:rsidRPr="00D247A3">
        <w:rPr>
          <w:rFonts w:cs="Arial"/>
          <w:sz w:val="24"/>
          <w:szCs w:val="24"/>
        </w:rPr>
        <w:t>Nahas</w:t>
      </w:r>
      <w:proofErr w:type="spellEnd"/>
      <w:r w:rsidR="008A44F9" w:rsidRPr="00D247A3">
        <w:rPr>
          <w:rFonts w:cs="Arial"/>
          <w:sz w:val="24"/>
          <w:szCs w:val="24"/>
        </w:rPr>
        <w:t>, 1996)</w:t>
      </w:r>
      <w:r w:rsidRPr="00D247A3">
        <w:rPr>
          <w:rFonts w:cs="Arial"/>
          <w:sz w:val="24"/>
          <w:szCs w:val="24"/>
        </w:rPr>
        <w:t xml:space="preserve">. Así, promover el uso de las </w:t>
      </w:r>
      <w:proofErr w:type="spellStart"/>
      <w:r w:rsidRPr="00D247A3">
        <w:rPr>
          <w:rFonts w:cs="Arial"/>
          <w:sz w:val="24"/>
          <w:szCs w:val="24"/>
        </w:rPr>
        <w:t>RP</w:t>
      </w:r>
      <w:r w:rsidR="00837498" w:rsidRPr="00D247A3">
        <w:rPr>
          <w:rFonts w:cs="Arial"/>
          <w:sz w:val="24"/>
          <w:szCs w:val="24"/>
        </w:rPr>
        <w:t>s</w:t>
      </w:r>
      <w:proofErr w:type="spellEnd"/>
      <w:r w:rsidRPr="00D247A3">
        <w:rPr>
          <w:rFonts w:cs="Arial"/>
          <w:sz w:val="24"/>
          <w:szCs w:val="24"/>
        </w:rPr>
        <w:t xml:space="preserve"> colombianas tiene grandes ventajas: están localmente disponibles (Huila, Boyacá, Santander del Norte), son económicas (Reyes </w:t>
      </w:r>
      <w:r w:rsidR="00DB75C7" w:rsidRPr="00D247A3">
        <w:rPr>
          <w:rFonts w:cs="Arial"/>
          <w:i/>
          <w:sz w:val="24"/>
          <w:szCs w:val="24"/>
        </w:rPr>
        <w:t>et al</w:t>
      </w:r>
      <w:r w:rsidRPr="00D247A3">
        <w:rPr>
          <w:rFonts w:cs="Arial"/>
          <w:sz w:val="24"/>
          <w:szCs w:val="24"/>
        </w:rPr>
        <w:t xml:space="preserve">., 2001; Osorio </w:t>
      </w:r>
      <w:r w:rsidR="001363A7" w:rsidRPr="00D247A3">
        <w:rPr>
          <w:rFonts w:cs="Arial"/>
          <w:sz w:val="24"/>
          <w:szCs w:val="24"/>
        </w:rPr>
        <w:t xml:space="preserve">&amp; </w:t>
      </w:r>
      <w:proofErr w:type="spellStart"/>
      <w:r w:rsidRPr="00D247A3">
        <w:rPr>
          <w:rFonts w:cs="Arial"/>
          <w:sz w:val="24"/>
          <w:szCs w:val="24"/>
        </w:rPr>
        <w:t>Habte</w:t>
      </w:r>
      <w:proofErr w:type="spellEnd"/>
      <w:r w:rsidRPr="00D247A3">
        <w:rPr>
          <w:rFonts w:cs="Arial"/>
          <w:sz w:val="24"/>
          <w:szCs w:val="24"/>
        </w:rPr>
        <w:t xml:space="preserve">, 2009) </w:t>
      </w:r>
      <w:r w:rsidR="002739AB" w:rsidRPr="00D247A3">
        <w:rPr>
          <w:rFonts w:cs="Arial"/>
          <w:sz w:val="24"/>
          <w:szCs w:val="24"/>
        </w:rPr>
        <w:t>y,</w:t>
      </w:r>
      <w:r w:rsidRPr="00D247A3">
        <w:rPr>
          <w:rFonts w:cs="Arial"/>
          <w:sz w:val="24"/>
          <w:szCs w:val="24"/>
        </w:rPr>
        <w:t xml:space="preserve"> por ende, se puede disminuir la dependencia de fertilizantes importados, lo cual ayuda a la soberanía y seguridad alimentaria y podría disminuir los costos de producción.</w:t>
      </w:r>
    </w:p>
    <w:p w:rsidR="00333EB1" w:rsidRPr="00D247A3" w:rsidRDefault="001D3AFB" w:rsidP="005836FE">
      <w:pPr>
        <w:spacing w:line="360" w:lineRule="auto"/>
        <w:jc w:val="both"/>
        <w:rPr>
          <w:rFonts w:cs="Arial"/>
          <w:b/>
          <w:sz w:val="24"/>
          <w:szCs w:val="24"/>
        </w:rPr>
      </w:pPr>
      <w:r w:rsidRPr="00D247A3">
        <w:rPr>
          <w:rFonts w:cs="Arial"/>
          <w:b/>
          <w:sz w:val="24"/>
          <w:szCs w:val="24"/>
        </w:rPr>
        <w:t>Conclusiones</w:t>
      </w:r>
    </w:p>
    <w:p w:rsidR="001D3AFB" w:rsidRPr="00D247A3" w:rsidRDefault="001D3AFB" w:rsidP="005836FE">
      <w:pPr>
        <w:spacing w:line="360" w:lineRule="auto"/>
        <w:jc w:val="both"/>
        <w:rPr>
          <w:rFonts w:cs="Arial"/>
          <w:sz w:val="24"/>
          <w:szCs w:val="24"/>
        </w:rPr>
      </w:pPr>
      <w:r w:rsidRPr="00D247A3">
        <w:rPr>
          <w:rFonts w:cs="Arial"/>
          <w:sz w:val="24"/>
          <w:szCs w:val="24"/>
        </w:rPr>
        <w:t xml:space="preserve">La </w:t>
      </w:r>
      <w:r w:rsidR="002A47D0" w:rsidRPr="00D247A3">
        <w:rPr>
          <w:rFonts w:cs="Arial"/>
          <w:sz w:val="24"/>
          <w:szCs w:val="24"/>
        </w:rPr>
        <w:t>baja concentración inicial de P</w:t>
      </w:r>
      <w:r w:rsidRPr="00D247A3">
        <w:rPr>
          <w:rFonts w:cs="Arial"/>
          <w:sz w:val="24"/>
          <w:szCs w:val="24"/>
        </w:rPr>
        <w:t xml:space="preserve"> soluble en el medio de cultivo para </w:t>
      </w:r>
      <w:r w:rsidR="003B7455" w:rsidRPr="00D247A3">
        <w:rPr>
          <w:rFonts w:cs="Arial"/>
          <w:sz w:val="24"/>
          <w:szCs w:val="24"/>
        </w:rPr>
        <w:t xml:space="preserve">el hongo </w:t>
      </w:r>
      <w:proofErr w:type="spellStart"/>
      <w:r w:rsidRPr="00D247A3">
        <w:rPr>
          <w:rFonts w:cs="Arial"/>
          <w:i/>
          <w:sz w:val="24"/>
          <w:szCs w:val="24"/>
        </w:rPr>
        <w:t>Mortierella</w:t>
      </w:r>
      <w:proofErr w:type="spellEnd"/>
      <w:r w:rsidRPr="00D247A3">
        <w:rPr>
          <w:rFonts w:cs="Arial"/>
          <w:sz w:val="24"/>
          <w:szCs w:val="24"/>
        </w:rPr>
        <w:t xml:space="preserve"> </w:t>
      </w:r>
      <w:proofErr w:type="spellStart"/>
      <w:r w:rsidRPr="00D247A3">
        <w:rPr>
          <w:rFonts w:cs="Arial"/>
          <w:sz w:val="24"/>
          <w:szCs w:val="24"/>
        </w:rPr>
        <w:t>sp.</w:t>
      </w:r>
      <w:proofErr w:type="spellEnd"/>
      <w:r w:rsidRPr="00D247A3">
        <w:rPr>
          <w:rFonts w:cs="Arial"/>
          <w:sz w:val="24"/>
          <w:szCs w:val="24"/>
        </w:rPr>
        <w:t xml:space="preserve"> promovió una mayor eficiencia en la disolución de RP, </w:t>
      </w:r>
      <w:r w:rsidR="003B7455" w:rsidRPr="00D247A3">
        <w:rPr>
          <w:rFonts w:cs="Arial"/>
          <w:sz w:val="24"/>
          <w:szCs w:val="24"/>
        </w:rPr>
        <w:t xml:space="preserve">se </w:t>
      </w:r>
      <w:proofErr w:type="spellStart"/>
      <w:r w:rsidR="003B7455" w:rsidRPr="00D247A3">
        <w:rPr>
          <w:rFonts w:cs="Arial"/>
          <w:sz w:val="24"/>
          <w:szCs w:val="24"/>
        </w:rPr>
        <w:t>podria</w:t>
      </w:r>
      <w:proofErr w:type="spellEnd"/>
      <w:r w:rsidR="003B7455" w:rsidRPr="00D247A3">
        <w:rPr>
          <w:rFonts w:cs="Arial"/>
          <w:sz w:val="24"/>
          <w:szCs w:val="24"/>
        </w:rPr>
        <w:t xml:space="preserve"> inferir que</w:t>
      </w:r>
      <w:r w:rsidRPr="00D247A3">
        <w:rPr>
          <w:rFonts w:cs="Arial"/>
          <w:sz w:val="24"/>
          <w:szCs w:val="24"/>
        </w:rPr>
        <w:t xml:space="preserve"> la escasez de este nutriente es un factor inductivo para la producción de ácidos orgánicos.</w:t>
      </w:r>
    </w:p>
    <w:p w:rsidR="001D3AFB" w:rsidRPr="00D247A3" w:rsidRDefault="001D3AFB" w:rsidP="005836FE">
      <w:pPr>
        <w:spacing w:line="360" w:lineRule="auto"/>
        <w:jc w:val="both"/>
        <w:rPr>
          <w:rFonts w:cs="Arial"/>
          <w:sz w:val="24"/>
          <w:szCs w:val="24"/>
        </w:rPr>
      </w:pPr>
      <w:r w:rsidRPr="00D247A3">
        <w:rPr>
          <w:rFonts w:cs="Arial"/>
          <w:sz w:val="24"/>
          <w:szCs w:val="24"/>
        </w:rPr>
        <w:t>La adición de micronutrientes y vitaminas desfavoreció la</w:t>
      </w:r>
      <w:r w:rsidR="00837498" w:rsidRPr="00D247A3">
        <w:rPr>
          <w:rFonts w:cs="Arial"/>
          <w:sz w:val="24"/>
          <w:szCs w:val="24"/>
        </w:rPr>
        <w:t xml:space="preserve"> disolución de RP por parte </w:t>
      </w:r>
      <w:r w:rsidR="002A47D0" w:rsidRPr="00D247A3">
        <w:rPr>
          <w:rFonts w:cs="Arial"/>
          <w:sz w:val="24"/>
          <w:szCs w:val="24"/>
        </w:rPr>
        <w:t>del hongo</w:t>
      </w:r>
      <w:r w:rsidRPr="00D247A3">
        <w:rPr>
          <w:rFonts w:cs="Arial"/>
          <w:sz w:val="24"/>
          <w:szCs w:val="24"/>
        </w:rPr>
        <w:t>. Al parecer</w:t>
      </w:r>
      <w:r w:rsidR="00EB2859" w:rsidRPr="00D247A3">
        <w:rPr>
          <w:rFonts w:cs="Arial"/>
          <w:sz w:val="24"/>
          <w:szCs w:val="24"/>
        </w:rPr>
        <w:t>,</w:t>
      </w:r>
      <w:r w:rsidRPr="00D247A3">
        <w:rPr>
          <w:rFonts w:cs="Arial"/>
          <w:sz w:val="24"/>
          <w:szCs w:val="24"/>
        </w:rPr>
        <w:t xml:space="preserve"> los micronutrientes requeridos por </w:t>
      </w:r>
      <w:r w:rsidR="002A47D0" w:rsidRPr="00D247A3">
        <w:rPr>
          <w:rFonts w:cs="Arial"/>
          <w:sz w:val="24"/>
          <w:szCs w:val="24"/>
        </w:rPr>
        <w:t>el hongo</w:t>
      </w:r>
      <w:r w:rsidRPr="00D247A3">
        <w:rPr>
          <w:rFonts w:cs="Arial"/>
          <w:sz w:val="24"/>
          <w:szCs w:val="24"/>
        </w:rPr>
        <w:t xml:space="preserve"> son suministrados por la RP.</w:t>
      </w:r>
    </w:p>
    <w:p w:rsidR="001D3AFB" w:rsidRPr="00D247A3" w:rsidRDefault="001D3AFB" w:rsidP="005836FE">
      <w:pPr>
        <w:spacing w:line="360" w:lineRule="auto"/>
        <w:jc w:val="both"/>
        <w:rPr>
          <w:rFonts w:cs="Arial"/>
          <w:sz w:val="24"/>
          <w:szCs w:val="24"/>
        </w:rPr>
      </w:pPr>
      <w:r w:rsidRPr="00D247A3">
        <w:rPr>
          <w:rFonts w:cs="Arial"/>
          <w:sz w:val="24"/>
          <w:szCs w:val="24"/>
        </w:rPr>
        <w:t>Aunque la disolución microbia</w:t>
      </w:r>
      <w:r w:rsidR="00A33CD5" w:rsidRPr="00D247A3">
        <w:rPr>
          <w:rFonts w:cs="Arial"/>
          <w:sz w:val="24"/>
          <w:szCs w:val="24"/>
        </w:rPr>
        <w:t>na</w:t>
      </w:r>
      <w:r w:rsidRPr="00D247A3">
        <w:rPr>
          <w:rFonts w:cs="Arial"/>
          <w:sz w:val="24"/>
          <w:szCs w:val="24"/>
        </w:rPr>
        <w:t xml:space="preserve"> fue más efectiva con la RP de Carolina del Norte, las RP del Huila y Santander presentaron un buen nivel de disolución en un periodo de tiempo relativamente corto. Este tratamiento puede mejorar la efectividad agronómica de estas RP para su uso directo o a través de un </w:t>
      </w:r>
      <w:r w:rsidR="00A33CD5" w:rsidRPr="00D247A3">
        <w:rPr>
          <w:rFonts w:cs="Arial"/>
          <w:sz w:val="24"/>
          <w:szCs w:val="24"/>
        </w:rPr>
        <w:t xml:space="preserve">proceso </w:t>
      </w:r>
      <w:r w:rsidRPr="00D247A3">
        <w:rPr>
          <w:rFonts w:cs="Arial"/>
          <w:sz w:val="24"/>
          <w:szCs w:val="24"/>
        </w:rPr>
        <w:t>biotecnológico previo.</w:t>
      </w:r>
    </w:p>
    <w:p w:rsidR="001B7A3B" w:rsidRPr="00D247A3" w:rsidRDefault="001B7A3B" w:rsidP="005836FE">
      <w:pPr>
        <w:spacing w:line="360" w:lineRule="auto"/>
        <w:jc w:val="both"/>
        <w:rPr>
          <w:rFonts w:cs="Arial"/>
          <w:sz w:val="24"/>
          <w:szCs w:val="24"/>
        </w:rPr>
      </w:pPr>
    </w:p>
    <w:p w:rsidR="001D3AFB" w:rsidRPr="00D247A3" w:rsidRDefault="001D3AFB" w:rsidP="005836FE">
      <w:pPr>
        <w:spacing w:after="0" w:line="360" w:lineRule="auto"/>
        <w:jc w:val="both"/>
        <w:rPr>
          <w:rFonts w:cs="Arial"/>
          <w:b/>
          <w:sz w:val="24"/>
          <w:szCs w:val="24"/>
        </w:rPr>
      </w:pPr>
      <w:r w:rsidRPr="00D247A3">
        <w:rPr>
          <w:rFonts w:cs="Arial"/>
          <w:b/>
          <w:sz w:val="24"/>
          <w:szCs w:val="24"/>
        </w:rPr>
        <w:t>Agradecimientos</w:t>
      </w:r>
    </w:p>
    <w:p w:rsidR="001D3AFB" w:rsidRPr="00D247A3" w:rsidRDefault="001D3AFB" w:rsidP="005836FE">
      <w:pPr>
        <w:spacing w:after="0" w:line="360" w:lineRule="auto"/>
        <w:jc w:val="both"/>
        <w:rPr>
          <w:rFonts w:cs="Arial"/>
          <w:b/>
          <w:sz w:val="24"/>
          <w:szCs w:val="24"/>
        </w:rPr>
      </w:pPr>
      <w:r w:rsidRPr="00D247A3">
        <w:rPr>
          <w:rFonts w:cs="Arial"/>
          <w:sz w:val="24"/>
          <w:szCs w:val="24"/>
        </w:rPr>
        <w:t xml:space="preserve">Al Programa </w:t>
      </w:r>
      <w:r w:rsidR="007E7805" w:rsidRPr="00D247A3">
        <w:rPr>
          <w:rFonts w:cs="Arial"/>
          <w:sz w:val="24"/>
          <w:szCs w:val="24"/>
        </w:rPr>
        <w:t>de doctorados nacionales de Colciencias convocatoria 617-2 y</w:t>
      </w:r>
      <w:r w:rsidRPr="00D247A3">
        <w:rPr>
          <w:rFonts w:cs="Arial"/>
          <w:sz w:val="24"/>
          <w:szCs w:val="24"/>
        </w:rPr>
        <w:t xml:space="preserve"> a la U</w:t>
      </w:r>
      <w:r w:rsidR="007E7805" w:rsidRPr="00D247A3">
        <w:rPr>
          <w:rFonts w:cs="Arial"/>
          <w:sz w:val="24"/>
          <w:szCs w:val="24"/>
        </w:rPr>
        <w:t>niversidad Nacional de Colombia</w:t>
      </w:r>
      <w:r w:rsidRPr="00D247A3">
        <w:rPr>
          <w:rFonts w:cs="Arial"/>
          <w:sz w:val="24"/>
          <w:szCs w:val="24"/>
        </w:rPr>
        <w:t xml:space="preserve">. </w:t>
      </w:r>
    </w:p>
    <w:p w:rsidR="001B7A3B" w:rsidRPr="00D247A3" w:rsidRDefault="001B7A3B" w:rsidP="005836FE">
      <w:pPr>
        <w:spacing w:after="0" w:line="360" w:lineRule="auto"/>
        <w:jc w:val="both"/>
        <w:rPr>
          <w:rFonts w:cs="Arial"/>
          <w:b/>
          <w:sz w:val="24"/>
          <w:szCs w:val="24"/>
        </w:rPr>
      </w:pPr>
    </w:p>
    <w:p w:rsidR="001D3AFB" w:rsidRPr="007D7831" w:rsidRDefault="001D3AFB" w:rsidP="005836FE">
      <w:pPr>
        <w:spacing w:line="360" w:lineRule="auto"/>
        <w:jc w:val="both"/>
        <w:rPr>
          <w:rFonts w:cs="Arial"/>
          <w:b/>
          <w:sz w:val="24"/>
          <w:szCs w:val="24"/>
        </w:rPr>
      </w:pPr>
      <w:r w:rsidRPr="007D7831">
        <w:rPr>
          <w:rFonts w:cs="Arial"/>
          <w:b/>
          <w:sz w:val="24"/>
          <w:szCs w:val="24"/>
        </w:rPr>
        <w:t>Referencias</w:t>
      </w:r>
      <w:r w:rsidR="00985F57" w:rsidRPr="007D7831">
        <w:rPr>
          <w:rFonts w:cs="Arial"/>
          <w:b/>
          <w:sz w:val="24"/>
          <w:szCs w:val="24"/>
        </w:rPr>
        <w:t xml:space="preserve"> bibliográficas</w:t>
      </w:r>
    </w:p>
    <w:p w:rsidR="00D247A3" w:rsidRPr="007D7831" w:rsidRDefault="00D247A3" w:rsidP="00D247A3">
      <w:pPr>
        <w:pStyle w:val="Prrafodelista"/>
        <w:ind w:left="426" w:hanging="426"/>
        <w:rPr>
          <w:rFonts w:cs="Arial"/>
          <w:sz w:val="24"/>
          <w:lang w:val="en-US"/>
        </w:rPr>
      </w:pPr>
      <w:proofErr w:type="spellStart"/>
      <w:r w:rsidRPr="00D247A3">
        <w:rPr>
          <w:rFonts w:cs="Arial"/>
          <w:sz w:val="24"/>
          <w:lang w:val="es-ES_tradnl"/>
        </w:rPr>
        <w:lastRenderedPageBreak/>
        <w:t>Alam</w:t>
      </w:r>
      <w:proofErr w:type="spellEnd"/>
      <w:r w:rsidRPr="00D247A3">
        <w:rPr>
          <w:rFonts w:cs="Arial"/>
          <w:sz w:val="24"/>
          <w:lang w:val="es-ES_tradnl"/>
        </w:rPr>
        <w:t xml:space="preserve">, S., </w:t>
      </w:r>
      <w:proofErr w:type="spellStart"/>
      <w:r w:rsidRPr="00D247A3">
        <w:rPr>
          <w:rFonts w:cs="Arial"/>
          <w:sz w:val="24"/>
          <w:lang w:val="es-ES_tradnl"/>
        </w:rPr>
        <w:t>Khalil</w:t>
      </w:r>
      <w:proofErr w:type="spellEnd"/>
      <w:r w:rsidRPr="00D247A3">
        <w:rPr>
          <w:rFonts w:cs="Arial"/>
          <w:sz w:val="24"/>
          <w:lang w:val="es-ES_tradnl"/>
        </w:rPr>
        <w:t xml:space="preserve">, S., </w:t>
      </w:r>
      <w:proofErr w:type="spellStart"/>
      <w:r w:rsidRPr="00D247A3">
        <w:rPr>
          <w:rFonts w:cs="Arial"/>
          <w:sz w:val="24"/>
          <w:lang w:val="es-ES_tradnl"/>
        </w:rPr>
        <w:t>Ayub</w:t>
      </w:r>
      <w:proofErr w:type="spellEnd"/>
      <w:r w:rsidRPr="00D247A3">
        <w:rPr>
          <w:rFonts w:cs="Arial"/>
          <w:sz w:val="24"/>
          <w:lang w:val="es-ES_tradnl"/>
        </w:rPr>
        <w:t xml:space="preserve">, N., &amp; </w:t>
      </w:r>
      <w:proofErr w:type="spellStart"/>
      <w:r w:rsidRPr="00D247A3">
        <w:rPr>
          <w:rFonts w:cs="Arial"/>
          <w:sz w:val="24"/>
          <w:lang w:val="es-ES_tradnl"/>
        </w:rPr>
        <w:t>Rashid</w:t>
      </w:r>
      <w:proofErr w:type="spellEnd"/>
      <w:r w:rsidRPr="00D247A3">
        <w:rPr>
          <w:rFonts w:cs="Arial"/>
          <w:sz w:val="24"/>
          <w:lang w:val="es-ES_tradnl"/>
        </w:rPr>
        <w:t xml:space="preserve">, M. (2002). </w:t>
      </w:r>
      <w:proofErr w:type="gramStart"/>
      <w:r w:rsidRPr="007D7831">
        <w:rPr>
          <w:rFonts w:cs="Arial"/>
          <w:sz w:val="24"/>
          <w:lang w:val="en-US"/>
        </w:rPr>
        <w:t xml:space="preserve">In vitro </w:t>
      </w:r>
      <w:proofErr w:type="spellStart"/>
      <w:r w:rsidRPr="007D7831">
        <w:rPr>
          <w:rFonts w:cs="Arial"/>
          <w:sz w:val="24"/>
          <w:lang w:val="en-US"/>
        </w:rPr>
        <w:t>solubilization</w:t>
      </w:r>
      <w:proofErr w:type="spellEnd"/>
      <w:r w:rsidRPr="007D7831">
        <w:rPr>
          <w:rFonts w:cs="Arial"/>
          <w:sz w:val="24"/>
          <w:lang w:val="en-US"/>
        </w:rPr>
        <w:t xml:space="preserve"> of inorganic phosphate by phosphate </w:t>
      </w:r>
      <w:proofErr w:type="spellStart"/>
      <w:r w:rsidRPr="007D7831">
        <w:rPr>
          <w:rFonts w:cs="Arial"/>
          <w:sz w:val="24"/>
          <w:lang w:val="en-US"/>
        </w:rPr>
        <w:t>solubilizing</w:t>
      </w:r>
      <w:proofErr w:type="spellEnd"/>
      <w:r w:rsidRPr="007D7831">
        <w:rPr>
          <w:rFonts w:cs="Arial"/>
          <w:sz w:val="24"/>
          <w:lang w:val="en-US"/>
        </w:rPr>
        <w:t xml:space="preserve"> microorganisms (PSM) from maize </w:t>
      </w:r>
      <w:proofErr w:type="spellStart"/>
      <w:r w:rsidRPr="007D7831">
        <w:rPr>
          <w:rFonts w:cs="Arial"/>
          <w:sz w:val="24"/>
          <w:lang w:val="en-US"/>
        </w:rPr>
        <w:t>rhizosphere</w:t>
      </w:r>
      <w:proofErr w:type="spellEnd"/>
      <w:r w:rsidRPr="007D7831">
        <w:rPr>
          <w:rFonts w:cs="Arial"/>
          <w:sz w:val="24"/>
          <w:lang w:val="en-US"/>
        </w:rPr>
        <w:t>.</w:t>
      </w:r>
      <w:proofErr w:type="gramEnd"/>
      <w:r w:rsidRPr="007D7831">
        <w:rPr>
          <w:rFonts w:cs="Arial"/>
          <w:sz w:val="24"/>
          <w:lang w:val="en-US"/>
        </w:rPr>
        <w:t> </w:t>
      </w:r>
      <w:proofErr w:type="spellStart"/>
      <w:r w:rsidRPr="007D7831">
        <w:rPr>
          <w:rFonts w:cs="Arial"/>
          <w:i/>
          <w:iCs/>
          <w:sz w:val="24"/>
          <w:lang w:val="en-US"/>
        </w:rPr>
        <w:t>Int</w:t>
      </w:r>
      <w:proofErr w:type="spellEnd"/>
      <w:r w:rsidRPr="007D7831">
        <w:rPr>
          <w:rFonts w:cs="Arial"/>
          <w:i/>
          <w:iCs/>
          <w:sz w:val="24"/>
          <w:lang w:val="en-US"/>
        </w:rPr>
        <w:t xml:space="preserve"> J Agric </w:t>
      </w:r>
      <w:proofErr w:type="spellStart"/>
      <w:r w:rsidRPr="007D7831">
        <w:rPr>
          <w:rFonts w:cs="Arial"/>
          <w:i/>
          <w:iCs/>
          <w:sz w:val="24"/>
          <w:lang w:val="en-US"/>
        </w:rPr>
        <w:t>Biol</w:t>
      </w:r>
      <w:proofErr w:type="spellEnd"/>
      <w:r w:rsidRPr="007D7831">
        <w:rPr>
          <w:rFonts w:cs="Arial"/>
          <w:sz w:val="24"/>
          <w:lang w:val="en-US"/>
        </w:rPr>
        <w:t>, </w:t>
      </w:r>
      <w:r w:rsidRPr="007D7831">
        <w:rPr>
          <w:rFonts w:cs="Arial"/>
          <w:i/>
          <w:iCs/>
          <w:sz w:val="24"/>
          <w:lang w:val="en-US"/>
        </w:rPr>
        <w:t>4</w:t>
      </w:r>
      <w:r w:rsidRPr="007D7831">
        <w:rPr>
          <w:rFonts w:cs="Arial"/>
          <w:sz w:val="24"/>
          <w:lang w:val="en-US"/>
        </w:rPr>
        <w:t>(4), 454-458.</w:t>
      </w:r>
    </w:p>
    <w:p w:rsidR="001D3AFB" w:rsidRPr="007D7831" w:rsidRDefault="00D247A3" w:rsidP="00D247A3">
      <w:pPr>
        <w:pStyle w:val="Prrafodelista"/>
        <w:ind w:left="426" w:hanging="426"/>
        <w:rPr>
          <w:rFonts w:cs="Arial"/>
          <w:sz w:val="24"/>
          <w:lang w:val="en-US"/>
        </w:rPr>
      </w:pPr>
      <w:r w:rsidRPr="007D7831">
        <w:rPr>
          <w:rFonts w:cs="Arial"/>
          <w:sz w:val="24"/>
          <w:lang w:val="en-US"/>
        </w:rPr>
        <w:t xml:space="preserve"> </w:t>
      </w:r>
      <w:proofErr w:type="spellStart"/>
      <w:proofErr w:type="gramStart"/>
      <w:r w:rsidR="00CC193B" w:rsidRPr="007D7831">
        <w:rPr>
          <w:rFonts w:cs="Arial"/>
          <w:sz w:val="24"/>
          <w:lang w:val="en-US"/>
        </w:rPr>
        <w:t>Barroso</w:t>
      </w:r>
      <w:proofErr w:type="spellEnd"/>
      <w:r w:rsidR="00CC193B" w:rsidRPr="007D7831">
        <w:rPr>
          <w:rFonts w:cs="Arial"/>
          <w:sz w:val="24"/>
          <w:lang w:val="en-US"/>
        </w:rPr>
        <w:t xml:space="preserve">, C. B., Pereira, G. T., &amp; </w:t>
      </w:r>
      <w:proofErr w:type="spellStart"/>
      <w:r w:rsidR="00CC193B" w:rsidRPr="007D7831">
        <w:rPr>
          <w:rFonts w:cs="Arial"/>
          <w:sz w:val="24"/>
          <w:lang w:val="en-US"/>
        </w:rPr>
        <w:t>Nahas</w:t>
      </w:r>
      <w:proofErr w:type="spellEnd"/>
      <w:r w:rsidR="00CC193B" w:rsidRPr="007D7831">
        <w:rPr>
          <w:rFonts w:cs="Arial"/>
          <w:sz w:val="24"/>
          <w:lang w:val="en-US"/>
        </w:rPr>
        <w:t>, E. (2006).</w:t>
      </w:r>
      <w:proofErr w:type="gramEnd"/>
      <w:r w:rsidR="00CC193B" w:rsidRPr="007D7831">
        <w:rPr>
          <w:rFonts w:cs="Arial"/>
          <w:sz w:val="24"/>
          <w:lang w:val="en-US"/>
        </w:rPr>
        <w:t xml:space="preserve"> </w:t>
      </w:r>
      <w:proofErr w:type="spellStart"/>
      <w:r w:rsidR="00CC193B" w:rsidRPr="007D7831">
        <w:rPr>
          <w:rFonts w:cs="Arial"/>
          <w:sz w:val="24"/>
          <w:lang w:val="en-US"/>
        </w:rPr>
        <w:t>Solubilization</w:t>
      </w:r>
      <w:proofErr w:type="spellEnd"/>
      <w:r w:rsidR="00CC193B" w:rsidRPr="007D7831">
        <w:rPr>
          <w:rFonts w:cs="Arial"/>
          <w:sz w:val="24"/>
          <w:lang w:val="en-US"/>
        </w:rPr>
        <w:t xml:space="preserve"> of CaHPO4 and AlPO4 by </w:t>
      </w:r>
      <w:proofErr w:type="spellStart"/>
      <w:r w:rsidR="00CC193B" w:rsidRPr="007D7831">
        <w:rPr>
          <w:rFonts w:cs="Arial"/>
          <w:sz w:val="24"/>
          <w:lang w:val="en-US"/>
        </w:rPr>
        <w:t>Aspergillus</w:t>
      </w:r>
      <w:proofErr w:type="spellEnd"/>
      <w:r w:rsidR="00CC193B" w:rsidRPr="007D7831">
        <w:rPr>
          <w:rFonts w:cs="Arial"/>
          <w:sz w:val="24"/>
          <w:lang w:val="en-US"/>
        </w:rPr>
        <w:t xml:space="preserve"> </w:t>
      </w:r>
      <w:proofErr w:type="spellStart"/>
      <w:proofErr w:type="gramStart"/>
      <w:r w:rsidR="00CC193B" w:rsidRPr="007D7831">
        <w:rPr>
          <w:rFonts w:cs="Arial"/>
          <w:sz w:val="24"/>
          <w:lang w:val="en-US"/>
        </w:rPr>
        <w:t>niger</w:t>
      </w:r>
      <w:proofErr w:type="spellEnd"/>
      <w:proofErr w:type="gramEnd"/>
      <w:r w:rsidR="00CC193B" w:rsidRPr="007D7831">
        <w:rPr>
          <w:rFonts w:cs="Arial"/>
          <w:sz w:val="24"/>
          <w:lang w:val="en-US"/>
        </w:rPr>
        <w:t xml:space="preserve"> in culture media with different carbon and nitrogen sources. </w:t>
      </w:r>
      <w:r w:rsidR="00CC193B" w:rsidRPr="007D7831">
        <w:rPr>
          <w:rFonts w:cs="Arial"/>
          <w:i/>
          <w:iCs/>
          <w:sz w:val="24"/>
          <w:lang w:val="en-US"/>
        </w:rPr>
        <w:t>Brazilian Journal of Microbiology</w:t>
      </w:r>
      <w:r w:rsidR="00CC193B" w:rsidRPr="007D7831">
        <w:rPr>
          <w:rFonts w:cs="Arial"/>
          <w:sz w:val="24"/>
          <w:lang w:val="en-US"/>
        </w:rPr>
        <w:t>, </w:t>
      </w:r>
      <w:r w:rsidR="00CC193B" w:rsidRPr="007D7831">
        <w:rPr>
          <w:rFonts w:cs="Arial"/>
          <w:i/>
          <w:iCs/>
          <w:sz w:val="24"/>
          <w:lang w:val="en-US"/>
        </w:rPr>
        <w:t>37</w:t>
      </w:r>
      <w:r w:rsidR="00CC193B" w:rsidRPr="007D7831">
        <w:rPr>
          <w:rFonts w:cs="Arial"/>
          <w:sz w:val="24"/>
          <w:lang w:val="en-US"/>
        </w:rPr>
        <w:t>(4), 434-438.</w:t>
      </w:r>
    </w:p>
    <w:p w:rsidR="00CC193B" w:rsidRPr="007D7831" w:rsidRDefault="00CC193B" w:rsidP="00CC193B">
      <w:pPr>
        <w:pStyle w:val="Prrafodelista"/>
        <w:ind w:left="426" w:hanging="426"/>
        <w:rPr>
          <w:rFonts w:cs="Arial"/>
          <w:sz w:val="24"/>
          <w:lang w:val="en-US"/>
        </w:rPr>
      </w:pPr>
      <w:proofErr w:type="spellStart"/>
      <w:proofErr w:type="gramStart"/>
      <w:r w:rsidRPr="007D7831">
        <w:rPr>
          <w:rFonts w:cs="Arial"/>
          <w:sz w:val="24"/>
          <w:lang w:val="en-US"/>
        </w:rPr>
        <w:t>Bhatti</w:t>
      </w:r>
      <w:proofErr w:type="spellEnd"/>
      <w:r w:rsidRPr="007D7831">
        <w:rPr>
          <w:rFonts w:cs="Arial"/>
          <w:sz w:val="24"/>
          <w:lang w:val="en-US"/>
        </w:rPr>
        <w:t xml:space="preserve">, T. M., &amp; </w:t>
      </w:r>
      <w:proofErr w:type="spellStart"/>
      <w:r w:rsidRPr="007D7831">
        <w:rPr>
          <w:rFonts w:cs="Arial"/>
          <w:sz w:val="24"/>
          <w:lang w:val="en-US"/>
        </w:rPr>
        <w:t>Yawar</w:t>
      </w:r>
      <w:proofErr w:type="spellEnd"/>
      <w:r w:rsidRPr="007D7831">
        <w:rPr>
          <w:rFonts w:cs="Arial"/>
          <w:sz w:val="24"/>
          <w:lang w:val="en-US"/>
        </w:rPr>
        <w:t>, W. (2010).</w:t>
      </w:r>
      <w:proofErr w:type="gramEnd"/>
      <w:r w:rsidRPr="007D7831">
        <w:rPr>
          <w:rFonts w:cs="Arial"/>
          <w:sz w:val="24"/>
          <w:lang w:val="en-US"/>
        </w:rPr>
        <w:t xml:space="preserve"> </w:t>
      </w:r>
      <w:proofErr w:type="gramStart"/>
      <w:r w:rsidRPr="007D7831">
        <w:rPr>
          <w:rFonts w:cs="Arial"/>
          <w:sz w:val="24"/>
          <w:lang w:val="en-US"/>
        </w:rPr>
        <w:t xml:space="preserve">Bacterial </w:t>
      </w:r>
      <w:proofErr w:type="spellStart"/>
      <w:r w:rsidRPr="007D7831">
        <w:rPr>
          <w:rFonts w:cs="Arial"/>
          <w:sz w:val="24"/>
          <w:lang w:val="en-US"/>
        </w:rPr>
        <w:t>solubilization</w:t>
      </w:r>
      <w:proofErr w:type="spellEnd"/>
      <w:r w:rsidRPr="007D7831">
        <w:rPr>
          <w:rFonts w:cs="Arial"/>
          <w:sz w:val="24"/>
          <w:lang w:val="en-US"/>
        </w:rPr>
        <w:t xml:space="preserve"> of phosphorus from phosphate rock containing sulfur-mud.</w:t>
      </w:r>
      <w:proofErr w:type="gramEnd"/>
      <w:r w:rsidRPr="007D7831">
        <w:rPr>
          <w:rFonts w:cs="Arial"/>
          <w:sz w:val="24"/>
          <w:lang w:val="en-US"/>
        </w:rPr>
        <w:t> </w:t>
      </w:r>
      <w:r w:rsidRPr="007D7831">
        <w:rPr>
          <w:rFonts w:cs="Arial"/>
          <w:i/>
          <w:iCs/>
          <w:sz w:val="24"/>
          <w:lang w:val="en-US"/>
        </w:rPr>
        <w:t>Hydrometallurgy</w:t>
      </w:r>
      <w:r w:rsidRPr="007D7831">
        <w:rPr>
          <w:rFonts w:cs="Arial"/>
          <w:sz w:val="24"/>
          <w:lang w:val="en-US"/>
        </w:rPr>
        <w:t>, </w:t>
      </w:r>
      <w:r w:rsidRPr="007D7831">
        <w:rPr>
          <w:rFonts w:cs="Arial"/>
          <w:i/>
          <w:iCs/>
          <w:sz w:val="24"/>
          <w:lang w:val="en-US"/>
        </w:rPr>
        <w:t>103</w:t>
      </w:r>
      <w:r w:rsidRPr="007D7831">
        <w:rPr>
          <w:rFonts w:cs="Arial"/>
          <w:sz w:val="24"/>
          <w:lang w:val="en-US"/>
        </w:rPr>
        <w:t>(1), 54-59.</w:t>
      </w:r>
    </w:p>
    <w:p w:rsidR="001D3AFB" w:rsidRPr="007D7831" w:rsidRDefault="00CC193B" w:rsidP="00CC193B">
      <w:pPr>
        <w:pStyle w:val="Prrafodelista"/>
        <w:ind w:left="426" w:hanging="426"/>
        <w:rPr>
          <w:rFonts w:cs="Arial"/>
          <w:sz w:val="24"/>
          <w:lang w:val="en-US"/>
        </w:rPr>
      </w:pPr>
      <w:r w:rsidRPr="007D7831">
        <w:rPr>
          <w:rFonts w:cs="Arial"/>
          <w:sz w:val="24"/>
          <w:lang w:val="en-US"/>
        </w:rPr>
        <w:t xml:space="preserve"> </w:t>
      </w:r>
      <w:proofErr w:type="spellStart"/>
      <w:proofErr w:type="gramStart"/>
      <w:r w:rsidRPr="007D7831">
        <w:rPr>
          <w:rFonts w:cs="Arial"/>
          <w:sz w:val="24"/>
          <w:lang w:val="en-US"/>
        </w:rPr>
        <w:t>Bojinova</w:t>
      </w:r>
      <w:proofErr w:type="spellEnd"/>
      <w:r w:rsidRPr="007D7831">
        <w:rPr>
          <w:rFonts w:cs="Arial"/>
          <w:sz w:val="24"/>
          <w:lang w:val="en-US"/>
        </w:rPr>
        <w:t xml:space="preserve">, D., </w:t>
      </w:r>
      <w:proofErr w:type="spellStart"/>
      <w:r w:rsidRPr="007D7831">
        <w:rPr>
          <w:rFonts w:cs="Arial"/>
          <w:sz w:val="24"/>
          <w:lang w:val="en-US"/>
        </w:rPr>
        <w:t>Velkova</w:t>
      </w:r>
      <w:proofErr w:type="spellEnd"/>
      <w:r w:rsidRPr="007D7831">
        <w:rPr>
          <w:rFonts w:cs="Arial"/>
          <w:sz w:val="24"/>
          <w:lang w:val="en-US"/>
        </w:rPr>
        <w:t xml:space="preserve">, R., &amp; </w:t>
      </w:r>
      <w:proofErr w:type="spellStart"/>
      <w:r w:rsidRPr="007D7831">
        <w:rPr>
          <w:rFonts w:cs="Arial"/>
          <w:sz w:val="24"/>
          <w:lang w:val="en-US"/>
        </w:rPr>
        <w:t>Ivanova</w:t>
      </w:r>
      <w:proofErr w:type="spellEnd"/>
      <w:r w:rsidRPr="007D7831">
        <w:rPr>
          <w:rFonts w:cs="Arial"/>
          <w:sz w:val="24"/>
          <w:lang w:val="en-US"/>
        </w:rPr>
        <w:t>, R. (2008).</w:t>
      </w:r>
      <w:proofErr w:type="gramEnd"/>
      <w:r w:rsidRPr="007D7831">
        <w:rPr>
          <w:rFonts w:cs="Arial"/>
          <w:sz w:val="24"/>
          <w:lang w:val="en-US"/>
        </w:rPr>
        <w:t xml:space="preserve"> </w:t>
      </w:r>
      <w:proofErr w:type="spellStart"/>
      <w:r w:rsidRPr="007D7831">
        <w:rPr>
          <w:rFonts w:cs="Arial"/>
          <w:sz w:val="24"/>
          <w:lang w:val="en-US"/>
        </w:rPr>
        <w:t>Solubilization</w:t>
      </w:r>
      <w:proofErr w:type="spellEnd"/>
      <w:r w:rsidRPr="007D7831">
        <w:rPr>
          <w:rFonts w:cs="Arial"/>
          <w:sz w:val="24"/>
          <w:lang w:val="en-US"/>
        </w:rPr>
        <w:t xml:space="preserve"> of Morocco </w:t>
      </w:r>
      <w:proofErr w:type="spellStart"/>
      <w:r w:rsidRPr="007D7831">
        <w:rPr>
          <w:rFonts w:cs="Arial"/>
          <w:sz w:val="24"/>
          <w:lang w:val="en-US"/>
        </w:rPr>
        <w:t>phosphorite</w:t>
      </w:r>
      <w:proofErr w:type="spellEnd"/>
      <w:r w:rsidRPr="007D7831">
        <w:rPr>
          <w:rFonts w:cs="Arial"/>
          <w:sz w:val="24"/>
          <w:lang w:val="en-US"/>
        </w:rPr>
        <w:t xml:space="preserve"> by </w:t>
      </w:r>
      <w:proofErr w:type="spellStart"/>
      <w:r w:rsidRPr="007D7831">
        <w:rPr>
          <w:rFonts w:cs="Arial"/>
          <w:sz w:val="24"/>
          <w:lang w:val="en-US"/>
        </w:rPr>
        <w:t>Aspergillus</w:t>
      </w:r>
      <w:proofErr w:type="spellEnd"/>
      <w:r w:rsidRPr="007D7831">
        <w:rPr>
          <w:rFonts w:cs="Arial"/>
          <w:sz w:val="24"/>
          <w:lang w:val="en-US"/>
        </w:rPr>
        <w:t xml:space="preserve"> </w:t>
      </w:r>
      <w:proofErr w:type="spellStart"/>
      <w:proofErr w:type="gramStart"/>
      <w:r w:rsidRPr="007D7831">
        <w:rPr>
          <w:rFonts w:cs="Arial"/>
          <w:sz w:val="24"/>
          <w:lang w:val="en-US"/>
        </w:rPr>
        <w:t>niger</w:t>
      </w:r>
      <w:proofErr w:type="spellEnd"/>
      <w:proofErr w:type="gramEnd"/>
      <w:r w:rsidRPr="007D7831">
        <w:rPr>
          <w:rFonts w:cs="Arial"/>
          <w:sz w:val="24"/>
          <w:lang w:val="en-US"/>
        </w:rPr>
        <w:t>. </w:t>
      </w:r>
      <w:proofErr w:type="spellStart"/>
      <w:proofErr w:type="gramStart"/>
      <w:r w:rsidRPr="007D7831">
        <w:rPr>
          <w:rFonts w:cs="Arial"/>
          <w:i/>
          <w:iCs/>
          <w:sz w:val="24"/>
          <w:lang w:val="en-US"/>
        </w:rPr>
        <w:t>Bioresource</w:t>
      </w:r>
      <w:proofErr w:type="spellEnd"/>
      <w:r w:rsidRPr="007D7831">
        <w:rPr>
          <w:rFonts w:cs="Arial"/>
          <w:i/>
          <w:iCs/>
          <w:sz w:val="24"/>
          <w:lang w:val="en-US"/>
        </w:rPr>
        <w:t xml:space="preserve"> technology</w:t>
      </w:r>
      <w:r w:rsidRPr="007D7831">
        <w:rPr>
          <w:rFonts w:cs="Arial"/>
          <w:sz w:val="24"/>
          <w:lang w:val="en-US"/>
        </w:rPr>
        <w:t>, </w:t>
      </w:r>
      <w:r w:rsidRPr="007D7831">
        <w:rPr>
          <w:rFonts w:cs="Arial"/>
          <w:i/>
          <w:iCs/>
          <w:sz w:val="24"/>
          <w:lang w:val="en-US"/>
        </w:rPr>
        <w:t>99</w:t>
      </w:r>
      <w:r w:rsidRPr="007D7831">
        <w:rPr>
          <w:rFonts w:cs="Arial"/>
          <w:sz w:val="24"/>
          <w:lang w:val="en-US"/>
        </w:rPr>
        <w:t>(15), 7348-7353.</w:t>
      </w:r>
      <w:proofErr w:type="gramEnd"/>
    </w:p>
    <w:p w:rsidR="00CC193B" w:rsidRPr="007D7831" w:rsidRDefault="00CC193B" w:rsidP="00CC193B">
      <w:pPr>
        <w:pStyle w:val="Prrafodelista"/>
        <w:ind w:left="426" w:hanging="426"/>
        <w:rPr>
          <w:rFonts w:cs="Arial"/>
          <w:sz w:val="24"/>
          <w:lang w:val="en-US"/>
        </w:rPr>
      </w:pPr>
      <w:r w:rsidRPr="007D7831">
        <w:rPr>
          <w:rFonts w:cs="Arial"/>
          <w:sz w:val="24"/>
          <w:lang w:val="en-US"/>
        </w:rPr>
        <w:t xml:space="preserve">Chen, Y. P., </w:t>
      </w:r>
      <w:proofErr w:type="spellStart"/>
      <w:r w:rsidRPr="007D7831">
        <w:rPr>
          <w:rFonts w:cs="Arial"/>
          <w:sz w:val="24"/>
          <w:lang w:val="en-US"/>
        </w:rPr>
        <w:t>Rekha</w:t>
      </w:r>
      <w:proofErr w:type="spellEnd"/>
      <w:r w:rsidRPr="007D7831">
        <w:rPr>
          <w:rFonts w:cs="Arial"/>
          <w:sz w:val="24"/>
          <w:lang w:val="en-US"/>
        </w:rPr>
        <w:t xml:space="preserve">, P. D., </w:t>
      </w:r>
      <w:proofErr w:type="spellStart"/>
      <w:r w:rsidRPr="007D7831">
        <w:rPr>
          <w:rFonts w:cs="Arial"/>
          <w:sz w:val="24"/>
          <w:lang w:val="en-US"/>
        </w:rPr>
        <w:t>Arun</w:t>
      </w:r>
      <w:proofErr w:type="spellEnd"/>
      <w:r w:rsidRPr="007D7831">
        <w:rPr>
          <w:rFonts w:cs="Arial"/>
          <w:sz w:val="24"/>
          <w:lang w:val="en-US"/>
        </w:rPr>
        <w:t xml:space="preserve">, A. B., </w:t>
      </w:r>
      <w:proofErr w:type="spellStart"/>
      <w:r w:rsidRPr="007D7831">
        <w:rPr>
          <w:rFonts w:cs="Arial"/>
          <w:sz w:val="24"/>
          <w:lang w:val="en-US"/>
        </w:rPr>
        <w:t>Shen</w:t>
      </w:r>
      <w:proofErr w:type="spellEnd"/>
      <w:r w:rsidRPr="007D7831">
        <w:rPr>
          <w:rFonts w:cs="Arial"/>
          <w:sz w:val="24"/>
          <w:lang w:val="en-US"/>
        </w:rPr>
        <w:t xml:space="preserve">, F. T., Lai, W. A., &amp; Young, C. C. (2006). </w:t>
      </w:r>
      <w:proofErr w:type="gramStart"/>
      <w:r w:rsidRPr="007D7831">
        <w:rPr>
          <w:rFonts w:cs="Arial"/>
          <w:sz w:val="24"/>
          <w:lang w:val="en-US"/>
        </w:rPr>
        <w:t xml:space="preserve">Phosphate </w:t>
      </w:r>
      <w:proofErr w:type="spellStart"/>
      <w:r w:rsidRPr="007D7831">
        <w:rPr>
          <w:rFonts w:cs="Arial"/>
          <w:sz w:val="24"/>
          <w:lang w:val="en-US"/>
        </w:rPr>
        <w:t>solubilizing</w:t>
      </w:r>
      <w:proofErr w:type="spellEnd"/>
      <w:r w:rsidRPr="007D7831">
        <w:rPr>
          <w:rFonts w:cs="Arial"/>
          <w:sz w:val="24"/>
          <w:lang w:val="en-US"/>
        </w:rPr>
        <w:t xml:space="preserve"> bacteria from subtropical soil and their </w:t>
      </w:r>
      <w:proofErr w:type="spellStart"/>
      <w:r w:rsidRPr="007D7831">
        <w:rPr>
          <w:rFonts w:cs="Arial"/>
          <w:sz w:val="24"/>
          <w:lang w:val="en-US"/>
        </w:rPr>
        <w:t>tricalcium</w:t>
      </w:r>
      <w:proofErr w:type="spellEnd"/>
      <w:r w:rsidRPr="007D7831">
        <w:rPr>
          <w:rFonts w:cs="Arial"/>
          <w:sz w:val="24"/>
          <w:lang w:val="en-US"/>
        </w:rPr>
        <w:t xml:space="preserve"> phosphate </w:t>
      </w:r>
      <w:proofErr w:type="spellStart"/>
      <w:r w:rsidRPr="007D7831">
        <w:rPr>
          <w:rFonts w:cs="Arial"/>
          <w:sz w:val="24"/>
          <w:lang w:val="en-US"/>
        </w:rPr>
        <w:t>solubilizing</w:t>
      </w:r>
      <w:proofErr w:type="spellEnd"/>
      <w:r w:rsidRPr="007D7831">
        <w:rPr>
          <w:rFonts w:cs="Arial"/>
          <w:sz w:val="24"/>
          <w:lang w:val="en-US"/>
        </w:rPr>
        <w:t xml:space="preserve"> abilities.</w:t>
      </w:r>
      <w:proofErr w:type="gramEnd"/>
      <w:r w:rsidRPr="007D7831">
        <w:rPr>
          <w:rFonts w:cs="Arial"/>
          <w:sz w:val="24"/>
          <w:lang w:val="en-US"/>
        </w:rPr>
        <w:t> </w:t>
      </w:r>
      <w:r w:rsidRPr="007D7831">
        <w:rPr>
          <w:rFonts w:cs="Arial"/>
          <w:i/>
          <w:iCs/>
          <w:sz w:val="24"/>
          <w:lang w:val="en-US"/>
        </w:rPr>
        <w:t>Applied soil ecology</w:t>
      </w:r>
      <w:r w:rsidRPr="007D7831">
        <w:rPr>
          <w:rFonts w:cs="Arial"/>
          <w:sz w:val="24"/>
          <w:lang w:val="en-US"/>
        </w:rPr>
        <w:t>, </w:t>
      </w:r>
      <w:r w:rsidRPr="007D7831">
        <w:rPr>
          <w:rFonts w:cs="Arial"/>
          <w:i/>
          <w:iCs/>
          <w:sz w:val="24"/>
          <w:lang w:val="en-US"/>
        </w:rPr>
        <w:t>34</w:t>
      </w:r>
      <w:r w:rsidRPr="007D7831">
        <w:rPr>
          <w:rFonts w:cs="Arial"/>
          <w:sz w:val="24"/>
          <w:lang w:val="en-US"/>
        </w:rPr>
        <w:t>(1), 33-41.</w:t>
      </w:r>
    </w:p>
    <w:p w:rsidR="00B31E69" w:rsidRPr="007D7831" w:rsidRDefault="00CC193B" w:rsidP="00CC193B">
      <w:pPr>
        <w:pStyle w:val="Prrafodelista"/>
        <w:ind w:left="426" w:hanging="426"/>
        <w:rPr>
          <w:rFonts w:cs="Arial"/>
          <w:sz w:val="24"/>
          <w:lang w:val="en-US"/>
        </w:rPr>
      </w:pPr>
      <w:r w:rsidRPr="00CC193B">
        <w:rPr>
          <w:rFonts w:cs="Arial"/>
          <w:sz w:val="24"/>
          <w:lang w:val="en-US"/>
        </w:rPr>
        <w:t xml:space="preserve"> </w:t>
      </w:r>
      <w:proofErr w:type="spellStart"/>
      <w:proofErr w:type="gramStart"/>
      <w:r w:rsidRPr="007D7831">
        <w:rPr>
          <w:rFonts w:cs="Arial"/>
          <w:sz w:val="24"/>
          <w:lang w:val="en-US"/>
        </w:rPr>
        <w:t>Chien</w:t>
      </w:r>
      <w:proofErr w:type="spellEnd"/>
      <w:r w:rsidRPr="007D7831">
        <w:rPr>
          <w:rFonts w:cs="Arial"/>
          <w:sz w:val="24"/>
          <w:lang w:val="en-US"/>
        </w:rPr>
        <w:t>, S. H., &amp; Hammond, L. L. (1978).</w:t>
      </w:r>
      <w:proofErr w:type="gramEnd"/>
      <w:r w:rsidRPr="007D7831">
        <w:rPr>
          <w:rFonts w:cs="Arial"/>
          <w:sz w:val="24"/>
          <w:lang w:val="en-US"/>
        </w:rPr>
        <w:t xml:space="preserve"> A comparison of various laboratory methods for predicting the agronomic potential of phosphate rocks for direct application. </w:t>
      </w:r>
      <w:r w:rsidRPr="007D7831">
        <w:rPr>
          <w:rFonts w:cs="Arial"/>
          <w:i/>
          <w:iCs/>
          <w:sz w:val="24"/>
          <w:lang w:val="en-US"/>
        </w:rPr>
        <w:t>Soil Science Society of America Journal</w:t>
      </w:r>
      <w:r w:rsidRPr="007D7831">
        <w:rPr>
          <w:rFonts w:cs="Arial"/>
          <w:sz w:val="24"/>
          <w:lang w:val="en-US"/>
        </w:rPr>
        <w:t>, </w:t>
      </w:r>
      <w:r w:rsidRPr="007D7831">
        <w:rPr>
          <w:rFonts w:cs="Arial"/>
          <w:i/>
          <w:iCs/>
          <w:sz w:val="24"/>
          <w:lang w:val="en-US"/>
        </w:rPr>
        <w:t>42</w:t>
      </w:r>
      <w:r w:rsidRPr="007D7831">
        <w:rPr>
          <w:rFonts w:cs="Arial"/>
          <w:sz w:val="24"/>
          <w:lang w:val="en-US"/>
        </w:rPr>
        <w:t>(6), 935-939.</w:t>
      </w:r>
    </w:p>
    <w:p w:rsidR="00CC193B" w:rsidRPr="007D7831" w:rsidRDefault="00CC193B" w:rsidP="00CC193B">
      <w:pPr>
        <w:pStyle w:val="Prrafodelista"/>
        <w:ind w:left="426" w:hanging="426"/>
        <w:rPr>
          <w:rFonts w:cs="Arial"/>
          <w:sz w:val="24"/>
          <w:lang w:val="en-US"/>
        </w:rPr>
      </w:pPr>
      <w:proofErr w:type="spellStart"/>
      <w:proofErr w:type="gramStart"/>
      <w:r w:rsidRPr="007D7831">
        <w:rPr>
          <w:rFonts w:cs="Arial"/>
          <w:sz w:val="24"/>
          <w:lang w:val="en-US"/>
        </w:rPr>
        <w:t>Chien</w:t>
      </w:r>
      <w:proofErr w:type="spellEnd"/>
      <w:r w:rsidRPr="007D7831">
        <w:rPr>
          <w:rFonts w:cs="Arial"/>
          <w:sz w:val="24"/>
          <w:lang w:val="en-US"/>
        </w:rPr>
        <w:t xml:space="preserve">, S. H., &amp; </w:t>
      </w:r>
      <w:proofErr w:type="spellStart"/>
      <w:r w:rsidRPr="007D7831">
        <w:rPr>
          <w:rFonts w:cs="Arial"/>
          <w:sz w:val="24"/>
          <w:lang w:val="en-US"/>
        </w:rPr>
        <w:t>Menon</w:t>
      </w:r>
      <w:proofErr w:type="spellEnd"/>
      <w:r w:rsidRPr="007D7831">
        <w:rPr>
          <w:rFonts w:cs="Arial"/>
          <w:sz w:val="24"/>
          <w:lang w:val="en-US"/>
        </w:rPr>
        <w:t>, R. G. (1995).</w:t>
      </w:r>
      <w:proofErr w:type="gramEnd"/>
      <w:r w:rsidRPr="007D7831">
        <w:rPr>
          <w:rFonts w:cs="Arial"/>
          <w:sz w:val="24"/>
          <w:lang w:val="en-US"/>
        </w:rPr>
        <w:t xml:space="preserve"> Factors affecting the agronomic effectiveness of phosphate rock for direct application. </w:t>
      </w:r>
      <w:r w:rsidRPr="007D7831">
        <w:rPr>
          <w:rFonts w:cs="Arial"/>
          <w:i/>
          <w:iCs/>
          <w:sz w:val="24"/>
          <w:lang w:val="en-US"/>
        </w:rPr>
        <w:t xml:space="preserve">Nutrient cycling in </w:t>
      </w:r>
      <w:proofErr w:type="spellStart"/>
      <w:r w:rsidRPr="007D7831">
        <w:rPr>
          <w:rFonts w:cs="Arial"/>
          <w:i/>
          <w:iCs/>
          <w:sz w:val="24"/>
          <w:lang w:val="en-US"/>
        </w:rPr>
        <w:t>Agroecosystems</w:t>
      </w:r>
      <w:proofErr w:type="spellEnd"/>
      <w:r w:rsidRPr="007D7831">
        <w:rPr>
          <w:rFonts w:cs="Arial"/>
          <w:sz w:val="24"/>
          <w:lang w:val="en-US"/>
        </w:rPr>
        <w:t>, </w:t>
      </w:r>
      <w:r w:rsidRPr="007D7831">
        <w:rPr>
          <w:rFonts w:cs="Arial"/>
          <w:i/>
          <w:iCs/>
          <w:sz w:val="24"/>
          <w:lang w:val="en-US"/>
        </w:rPr>
        <w:t>41</w:t>
      </w:r>
      <w:r w:rsidRPr="007D7831">
        <w:rPr>
          <w:rFonts w:cs="Arial"/>
          <w:sz w:val="24"/>
          <w:lang w:val="en-US"/>
        </w:rPr>
        <w:t>(3), 227-234.</w:t>
      </w:r>
    </w:p>
    <w:p w:rsidR="002D2D30" w:rsidRPr="007D7831" w:rsidRDefault="002D2D30" w:rsidP="002D2D30">
      <w:pPr>
        <w:pStyle w:val="Prrafodelista"/>
        <w:ind w:left="426" w:hanging="426"/>
        <w:rPr>
          <w:rFonts w:cs="Arial"/>
          <w:sz w:val="24"/>
          <w:lang w:val="en-US"/>
        </w:rPr>
      </w:pPr>
      <w:proofErr w:type="gramStart"/>
      <w:r w:rsidRPr="007D7831">
        <w:rPr>
          <w:rFonts w:cs="Arial"/>
          <w:sz w:val="24"/>
          <w:lang w:val="en-US"/>
        </w:rPr>
        <w:t xml:space="preserve">Clark, D. S., Ito, K., &amp; </w:t>
      </w:r>
      <w:proofErr w:type="spellStart"/>
      <w:r w:rsidRPr="007D7831">
        <w:rPr>
          <w:rFonts w:cs="Arial"/>
          <w:sz w:val="24"/>
          <w:lang w:val="en-US"/>
        </w:rPr>
        <w:t>Horitsu</w:t>
      </w:r>
      <w:proofErr w:type="spellEnd"/>
      <w:r w:rsidRPr="007D7831">
        <w:rPr>
          <w:rFonts w:cs="Arial"/>
          <w:sz w:val="24"/>
          <w:lang w:val="en-US"/>
        </w:rPr>
        <w:t>, H. (1966).</w:t>
      </w:r>
      <w:proofErr w:type="gramEnd"/>
      <w:r w:rsidRPr="007D7831">
        <w:rPr>
          <w:rFonts w:cs="Arial"/>
          <w:sz w:val="24"/>
          <w:lang w:val="en-US"/>
        </w:rPr>
        <w:t xml:space="preserve"> </w:t>
      </w:r>
      <w:proofErr w:type="gramStart"/>
      <w:r w:rsidRPr="007D7831">
        <w:rPr>
          <w:rFonts w:cs="Arial"/>
          <w:sz w:val="24"/>
          <w:lang w:val="en-US"/>
        </w:rPr>
        <w:t>Effect of manganese and other heavy metals on submerged citric acid fermentation of molasses.</w:t>
      </w:r>
      <w:proofErr w:type="gramEnd"/>
      <w:r w:rsidRPr="007D7831">
        <w:rPr>
          <w:rFonts w:cs="Arial"/>
          <w:sz w:val="24"/>
          <w:lang w:val="en-US"/>
        </w:rPr>
        <w:t> </w:t>
      </w:r>
      <w:r w:rsidRPr="007D7831">
        <w:rPr>
          <w:rFonts w:cs="Arial"/>
          <w:i/>
          <w:iCs/>
          <w:sz w:val="24"/>
          <w:lang w:val="en-US"/>
        </w:rPr>
        <w:t>Biotechnology and Bioengineering</w:t>
      </w:r>
      <w:r w:rsidRPr="007D7831">
        <w:rPr>
          <w:rFonts w:cs="Arial"/>
          <w:sz w:val="24"/>
          <w:lang w:val="en-US"/>
        </w:rPr>
        <w:t>, </w:t>
      </w:r>
      <w:r w:rsidRPr="007D7831">
        <w:rPr>
          <w:rFonts w:cs="Arial"/>
          <w:i/>
          <w:iCs/>
          <w:sz w:val="24"/>
          <w:lang w:val="en-US"/>
        </w:rPr>
        <w:t>8</w:t>
      </w:r>
      <w:r w:rsidRPr="007D7831">
        <w:rPr>
          <w:rFonts w:cs="Arial"/>
          <w:sz w:val="24"/>
          <w:lang w:val="en-US"/>
        </w:rPr>
        <w:t>(4), 465-471.</w:t>
      </w:r>
    </w:p>
    <w:p w:rsidR="00B7135B" w:rsidRPr="00B7135B" w:rsidRDefault="00B7135B" w:rsidP="00B7135B">
      <w:pPr>
        <w:pStyle w:val="Prrafodelista"/>
        <w:ind w:left="426" w:hanging="426"/>
        <w:rPr>
          <w:rFonts w:cs="Arial"/>
          <w:sz w:val="24"/>
          <w:lang w:val="es-ES_tradnl"/>
        </w:rPr>
      </w:pPr>
      <w:proofErr w:type="spellStart"/>
      <w:proofErr w:type="gramStart"/>
      <w:r w:rsidRPr="007D7831">
        <w:rPr>
          <w:rFonts w:cs="Arial"/>
          <w:sz w:val="24"/>
          <w:lang w:val="en-US"/>
        </w:rPr>
        <w:t>Collavino</w:t>
      </w:r>
      <w:proofErr w:type="spellEnd"/>
      <w:r w:rsidRPr="007D7831">
        <w:rPr>
          <w:rFonts w:cs="Arial"/>
          <w:sz w:val="24"/>
          <w:lang w:val="en-US"/>
        </w:rPr>
        <w:t xml:space="preserve">, M. M., </w:t>
      </w:r>
      <w:proofErr w:type="spellStart"/>
      <w:r w:rsidRPr="007D7831">
        <w:rPr>
          <w:rFonts w:cs="Arial"/>
          <w:sz w:val="24"/>
          <w:lang w:val="en-US"/>
        </w:rPr>
        <w:t>Sansberro</w:t>
      </w:r>
      <w:proofErr w:type="spellEnd"/>
      <w:r w:rsidRPr="007D7831">
        <w:rPr>
          <w:rFonts w:cs="Arial"/>
          <w:sz w:val="24"/>
          <w:lang w:val="en-US"/>
        </w:rPr>
        <w:t xml:space="preserve">, P. A., </w:t>
      </w:r>
      <w:proofErr w:type="spellStart"/>
      <w:r w:rsidRPr="007D7831">
        <w:rPr>
          <w:rFonts w:cs="Arial"/>
          <w:sz w:val="24"/>
          <w:lang w:val="en-US"/>
        </w:rPr>
        <w:t>Mroginski</w:t>
      </w:r>
      <w:proofErr w:type="spellEnd"/>
      <w:r w:rsidRPr="007D7831">
        <w:rPr>
          <w:rFonts w:cs="Arial"/>
          <w:sz w:val="24"/>
          <w:lang w:val="en-US"/>
        </w:rPr>
        <w:t>, L. A., &amp; Aguilar, O. M. (2010).</w:t>
      </w:r>
      <w:proofErr w:type="gramEnd"/>
      <w:r w:rsidRPr="007D7831">
        <w:rPr>
          <w:rFonts w:cs="Arial"/>
          <w:sz w:val="24"/>
          <w:lang w:val="en-US"/>
        </w:rPr>
        <w:t xml:space="preserve"> </w:t>
      </w:r>
      <w:proofErr w:type="gramStart"/>
      <w:r w:rsidRPr="007D7831">
        <w:rPr>
          <w:rFonts w:cs="Arial"/>
          <w:sz w:val="24"/>
          <w:lang w:val="en-US"/>
        </w:rPr>
        <w:t xml:space="preserve">Comparison of in vitro </w:t>
      </w:r>
      <w:proofErr w:type="spellStart"/>
      <w:r w:rsidRPr="007D7831">
        <w:rPr>
          <w:rFonts w:cs="Arial"/>
          <w:sz w:val="24"/>
          <w:lang w:val="en-US"/>
        </w:rPr>
        <w:t>solubilization</w:t>
      </w:r>
      <w:proofErr w:type="spellEnd"/>
      <w:r w:rsidRPr="007D7831">
        <w:rPr>
          <w:rFonts w:cs="Arial"/>
          <w:sz w:val="24"/>
          <w:lang w:val="en-US"/>
        </w:rPr>
        <w:t xml:space="preserve"> activity of diverse phosphate-</w:t>
      </w:r>
      <w:proofErr w:type="spellStart"/>
      <w:r w:rsidRPr="007D7831">
        <w:rPr>
          <w:rFonts w:cs="Arial"/>
          <w:sz w:val="24"/>
          <w:lang w:val="en-US"/>
        </w:rPr>
        <w:t>solubilizing</w:t>
      </w:r>
      <w:proofErr w:type="spellEnd"/>
      <w:r w:rsidRPr="007D7831">
        <w:rPr>
          <w:rFonts w:cs="Arial"/>
          <w:sz w:val="24"/>
          <w:lang w:val="en-US"/>
        </w:rPr>
        <w:t xml:space="preserve"> bacteria native to acid soil and their ability to promote </w:t>
      </w:r>
      <w:proofErr w:type="spellStart"/>
      <w:r w:rsidRPr="007D7831">
        <w:rPr>
          <w:rFonts w:cs="Arial"/>
          <w:sz w:val="24"/>
          <w:lang w:val="en-US"/>
        </w:rPr>
        <w:t>Phaseolus</w:t>
      </w:r>
      <w:proofErr w:type="spellEnd"/>
      <w:r w:rsidRPr="007D7831">
        <w:rPr>
          <w:rFonts w:cs="Arial"/>
          <w:sz w:val="24"/>
          <w:lang w:val="en-US"/>
        </w:rPr>
        <w:t xml:space="preserve"> </w:t>
      </w:r>
      <w:proofErr w:type="spellStart"/>
      <w:r w:rsidRPr="007D7831">
        <w:rPr>
          <w:rFonts w:cs="Arial"/>
          <w:sz w:val="24"/>
          <w:lang w:val="en-US"/>
        </w:rPr>
        <w:t>vulgaris</w:t>
      </w:r>
      <w:proofErr w:type="spellEnd"/>
      <w:r w:rsidRPr="007D7831">
        <w:rPr>
          <w:rFonts w:cs="Arial"/>
          <w:sz w:val="24"/>
          <w:lang w:val="en-US"/>
        </w:rPr>
        <w:t xml:space="preserve"> growth.</w:t>
      </w:r>
      <w:proofErr w:type="gramEnd"/>
      <w:r w:rsidRPr="007D7831">
        <w:rPr>
          <w:rFonts w:cs="Arial"/>
          <w:sz w:val="24"/>
          <w:lang w:val="en-US"/>
        </w:rPr>
        <w:t> </w:t>
      </w:r>
      <w:proofErr w:type="spellStart"/>
      <w:r w:rsidRPr="00B7135B">
        <w:rPr>
          <w:rFonts w:cs="Arial"/>
          <w:i/>
          <w:iCs/>
          <w:sz w:val="24"/>
          <w:lang w:val="es-ES_tradnl"/>
        </w:rPr>
        <w:t>Biology</w:t>
      </w:r>
      <w:proofErr w:type="spellEnd"/>
      <w:r w:rsidRPr="00B7135B">
        <w:rPr>
          <w:rFonts w:cs="Arial"/>
          <w:i/>
          <w:iCs/>
          <w:sz w:val="24"/>
          <w:lang w:val="es-ES_tradnl"/>
        </w:rPr>
        <w:t xml:space="preserve"> and </w:t>
      </w:r>
      <w:proofErr w:type="spellStart"/>
      <w:r w:rsidRPr="00B7135B">
        <w:rPr>
          <w:rFonts w:cs="Arial"/>
          <w:i/>
          <w:iCs/>
          <w:sz w:val="24"/>
          <w:lang w:val="es-ES_tradnl"/>
        </w:rPr>
        <w:t>fertility</w:t>
      </w:r>
      <w:proofErr w:type="spellEnd"/>
      <w:r w:rsidRPr="00B7135B">
        <w:rPr>
          <w:rFonts w:cs="Arial"/>
          <w:i/>
          <w:iCs/>
          <w:sz w:val="24"/>
          <w:lang w:val="es-ES_tradnl"/>
        </w:rPr>
        <w:t xml:space="preserve"> of </w:t>
      </w:r>
      <w:proofErr w:type="spellStart"/>
      <w:r w:rsidRPr="00B7135B">
        <w:rPr>
          <w:rFonts w:cs="Arial"/>
          <w:i/>
          <w:iCs/>
          <w:sz w:val="24"/>
          <w:lang w:val="es-ES_tradnl"/>
        </w:rPr>
        <w:t>soils</w:t>
      </w:r>
      <w:proofErr w:type="spellEnd"/>
      <w:r w:rsidRPr="00B7135B">
        <w:rPr>
          <w:rFonts w:cs="Arial"/>
          <w:sz w:val="24"/>
          <w:lang w:val="es-ES_tradnl"/>
        </w:rPr>
        <w:t>, </w:t>
      </w:r>
      <w:r w:rsidRPr="00B7135B">
        <w:rPr>
          <w:rFonts w:cs="Arial"/>
          <w:i/>
          <w:iCs/>
          <w:sz w:val="24"/>
          <w:lang w:val="es-ES_tradnl"/>
        </w:rPr>
        <w:t>46</w:t>
      </w:r>
      <w:r w:rsidRPr="00B7135B">
        <w:rPr>
          <w:rFonts w:cs="Arial"/>
          <w:sz w:val="24"/>
          <w:lang w:val="es-ES_tradnl"/>
        </w:rPr>
        <w:t>(7), 727-738.</w:t>
      </w:r>
    </w:p>
    <w:p w:rsidR="00356DCE" w:rsidRPr="00D247A3" w:rsidRDefault="00B7135B" w:rsidP="00B7135B">
      <w:pPr>
        <w:pStyle w:val="Prrafodelista"/>
        <w:ind w:left="426" w:hanging="426"/>
        <w:rPr>
          <w:rFonts w:cs="Arial"/>
          <w:sz w:val="24"/>
          <w:lang w:val="es-CO"/>
        </w:rPr>
      </w:pPr>
      <w:r w:rsidRPr="00B7135B">
        <w:rPr>
          <w:rFonts w:cs="Arial"/>
          <w:sz w:val="24"/>
          <w:lang w:val="es-CO"/>
        </w:rPr>
        <w:t xml:space="preserve"> </w:t>
      </w:r>
      <w:proofErr w:type="spellStart"/>
      <w:r w:rsidR="00356DCE" w:rsidRPr="00D247A3">
        <w:rPr>
          <w:rFonts w:cs="Arial"/>
          <w:sz w:val="24"/>
          <w:lang w:val="es-CO"/>
        </w:rPr>
        <w:t>Conpes</w:t>
      </w:r>
      <w:proofErr w:type="spellEnd"/>
      <w:r w:rsidR="00356DCE" w:rsidRPr="00D247A3">
        <w:rPr>
          <w:rFonts w:cs="Arial"/>
          <w:sz w:val="24"/>
          <w:lang w:val="es-CO"/>
        </w:rPr>
        <w:t xml:space="preserve"> 3577. </w:t>
      </w:r>
      <w:r>
        <w:rPr>
          <w:rFonts w:cs="Arial"/>
          <w:sz w:val="24"/>
          <w:lang w:val="es-CO"/>
        </w:rPr>
        <w:t>(</w:t>
      </w:r>
      <w:r w:rsidR="00356DCE" w:rsidRPr="00D247A3">
        <w:rPr>
          <w:rFonts w:cs="Arial"/>
          <w:sz w:val="24"/>
          <w:lang w:val="es-CO"/>
        </w:rPr>
        <w:t>2009</w:t>
      </w:r>
      <w:r>
        <w:rPr>
          <w:rFonts w:cs="Arial"/>
          <w:sz w:val="24"/>
          <w:lang w:val="es-CO"/>
        </w:rPr>
        <w:t>)</w:t>
      </w:r>
      <w:r w:rsidR="00356DCE" w:rsidRPr="00D247A3">
        <w:rPr>
          <w:rFonts w:cs="Arial"/>
          <w:sz w:val="24"/>
          <w:lang w:val="es-CO"/>
        </w:rPr>
        <w:t>. Política nacional para la racionalización del componente de costos de producción asociado a los fertilizantes en el sector agropecuario. Consejo Nacional de Política Económica y Social República de Colombia Departamento Nacional de Planeación.</w:t>
      </w:r>
    </w:p>
    <w:p w:rsidR="00B7135B" w:rsidRPr="007D7831" w:rsidRDefault="00B7135B" w:rsidP="00B7135B">
      <w:pPr>
        <w:pStyle w:val="Prrafodelista"/>
        <w:ind w:left="426" w:hanging="426"/>
        <w:rPr>
          <w:rFonts w:cs="Arial"/>
          <w:sz w:val="24"/>
          <w:lang w:val="en-US"/>
        </w:rPr>
      </w:pPr>
      <w:proofErr w:type="gramStart"/>
      <w:r w:rsidRPr="007D7831">
        <w:rPr>
          <w:rFonts w:cs="Arial"/>
          <w:sz w:val="24"/>
          <w:lang w:val="en-US"/>
        </w:rPr>
        <w:lastRenderedPageBreak/>
        <w:t xml:space="preserve">Cunningham, J. E., &amp; </w:t>
      </w:r>
      <w:proofErr w:type="spellStart"/>
      <w:r w:rsidRPr="007D7831">
        <w:rPr>
          <w:rFonts w:cs="Arial"/>
          <w:sz w:val="24"/>
          <w:lang w:val="en-US"/>
        </w:rPr>
        <w:t>Kuiack</w:t>
      </w:r>
      <w:proofErr w:type="spellEnd"/>
      <w:r w:rsidRPr="007D7831">
        <w:rPr>
          <w:rFonts w:cs="Arial"/>
          <w:sz w:val="24"/>
          <w:lang w:val="en-US"/>
        </w:rPr>
        <w:t>, C. (1992).</w:t>
      </w:r>
      <w:proofErr w:type="gramEnd"/>
      <w:r w:rsidRPr="007D7831">
        <w:rPr>
          <w:rFonts w:cs="Arial"/>
          <w:sz w:val="24"/>
          <w:lang w:val="en-US"/>
        </w:rPr>
        <w:t xml:space="preserve"> </w:t>
      </w:r>
      <w:proofErr w:type="gramStart"/>
      <w:r w:rsidRPr="007D7831">
        <w:rPr>
          <w:rFonts w:cs="Arial"/>
          <w:sz w:val="24"/>
          <w:lang w:val="en-US"/>
        </w:rPr>
        <w:t xml:space="preserve">Production of citric and oxalic acids and </w:t>
      </w:r>
      <w:proofErr w:type="spellStart"/>
      <w:r w:rsidRPr="007D7831">
        <w:rPr>
          <w:rFonts w:cs="Arial"/>
          <w:sz w:val="24"/>
          <w:lang w:val="en-US"/>
        </w:rPr>
        <w:t>solubilization</w:t>
      </w:r>
      <w:proofErr w:type="spellEnd"/>
      <w:r w:rsidRPr="007D7831">
        <w:rPr>
          <w:rFonts w:cs="Arial"/>
          <w:sz w:val="24"/>
          <w:lang w:val="en-US"/>
        </w:rPr>
        <w:t xml:space="preserve"> of calcium phosphate by </w:t>
      </w:r>
      <w:proofErr w:type="spellStart"/>
      <w:r w:rsidRPr="007D7831">
        <w:rPr>
          <w:rFonts w:cs="Arial"/>
          <w:sz w:val="24"/>
          <w:lang w:val="en-US"/>
        </w:rPr>
        <w:t>Penicillium</w:t>
      </w:r>
      <w:proofErr w:type="spellEnd"/>
      <w:r w:rsidRPr="007D7831">
        <w:rPr>
          <w:rFonts w:cs="Arial"/>
          <w:sz w:val="24"/>
          <w:lang w:val="en-US"/>
        </w:rPr>
        <w:t xml:space="preserve"> </w:t>
      </w:r>
      <w:proofErr w:type="spellStart"/>
      <w:r w:rsidRPr="007D7831">
        <w:rPr>
          <w:rFonts w:cs="Arial"/>
          <w:sz w:val="24"/>
          <w:lang w:val="en-US"/>
        </w:rPr>
        <w:t>bilaii</w:t>
      </w:r>
      <w:proofErr w:type="spellEnd"/>
      <w:r w:rsidRPr="007D7831">
        <w:rPr>
          <w:rFonts w:cs="Arial"/>
          <w:sz w:val="24"/>
          <w:lang w:val="en-US"/>
        </w:rPr>
        <w:t>.</w:t>
      </w:r>
      <w:proofErr w:type="gramEnd"/>
      <w:r w:rsidRPr="007D7831">
        <w:rPr>
          <w:rFonts w:cs="Arial"/>
          <w:sz w:val="24"/>
          <w:lang w:val="en-US"/>
        </w:rPr>
        <w:t> </w:t>
      </w:r>
      <w:r w:rsidRPr="007D7831">
        <w:rPr>
          <w:rFonts w:cs="Arial"/>
          <w:i/>
          <w:iCs/>
          <w:sz w:val="24"/>
          <w:lang w:val="en-US"/>
        </w:rPr>
        <w:t>Applied and Environmental Microbiology</w:t>
      </w:r>
      <w:r w:rsidRPr="007D7831">
        <w:rPr>
          <w:rFonts w:cs="Arial"/>
          <w:sz w:val="24"/>
          <w:lang w:val="en-US"/>
        </w:rPr>
        <w:t>, </w:t>
      </w:r>
      <w:r w:rsidRPr="007D7831">
        <w:rPr>
          <w:rFonts w:cs="Arial"/>
          <w:i/>
          <w:iCs/>
          <w:sz w:val="24"/>
          <w:lang w:val="en-US"/>
        </w:rPr>
        <w:t>58</w:t>
      </w:r>
      <w:r w:rsidRPr="007D7831">
        <w:rPr>
          <w:rFonts w:cs="Arial"/>
          <w:sz w:val="24"/>
          <w:lang w:val="en-US"/>
        </w:rPr>
        <w:t>(5), 1451-1458.</w:t>
      </w:r>
    </w:p>
    <w:p w:rsidR="005D24E4" w:rsidRPr="007D7831" w:rsidRDefault="005D24E4" w:rsidP="005D24E4">
      <w:pPr>
        <w:pStyle w:val="Prrafodelista"/>
        <w:ind w:left="426" w:hanging="426"/>
        <w:rPr>
          <w:rFonts w:cs="Arial"/>
          <w:sz w:val="24"/>
          <w:lang w:val="en-US"/>
        </w:rPr>
      </w:pPr>
      <w:proofErr w:type="gramStart"/>
      <w:r w:rsidRPr="007D7831">
        <w:rPr>
          <w:rFonts w:cs="Arial"/>
          <w:sz w:val="24"/>
          <w:lang w:val="en-US"/>
        </w:rPr>
        <w:t xml:space="preserve">Dietz, K. J., </w:t>
      </w:r>
      <w:proofErr w:type="spellStart"/>
      <w:r w:rsidRPr="007D7831">
        <w:rPr>
          <w:rFonts w:cs="Arial"/>
          <w:sz w:val="24"/>
          <w:lang w:val="en-US"/>
        </w:rPr>
        <w:t>Baier</w:t>
      </w:r>
      <w:proofErr w:type="spellEnd"/>
      <w:r w:rsidRPr="007D7831">
        <w:rPr>
          <w:rFonts w:cs="Arial"/>
          <w:sz w:val="24"/>
          <w:lang w:val="en-US"/>
        </w:rPr>
        <w:t xml:space="preserve">, M., &amp; </w:t>
      </w:r>
      <w:proofErr w:type="spellStart"/>
      <w:r w:rsidRPr="007D7831">
        <w:rPr>
          <w:rFonts w:cs="Arial"/>
          <w:sz w:val="24"/>
          <w:lang w:val="en-US"/>
        </w:rPr>
        <w:t>Krämer</w:t>
      </w:r>
      <w:proofErr w:type="spellEnd"/>
      <w:r w:rsidRPr="007D7831">
        <w:rPr>
          <w:rFonts w:cs="Arial"/>
          <w:sz w:val="24"/>
          <w:lang w:val="en-US"/>
        </w:rPr>
        <w:t>, U. (1999).</w:t>
      </w:r>
      <w:proofErr w:type="gramEnd"/>
      <w:r w:rsidRPr="007D7831">
        <w:rPr>
          <w:rFonts w:cs="Arial"/>
          <w:sz w:val="24"/>
          <w:lang w:val="en-US"/>
        </w:rPr>
        <w:t xml:space="preserve"> </w:t>
      </w:r>
      <w:proofErr w:type="gramStart"/>
      <w:r w:rsidRPr="007D7831">
        <w:rPr>
          <w:rFonts w:cs="Arial"/>
          <w:sz w:val="24"/>
          <w:lang w:val="en-US"/>
        </w:rPr>
        <w:t>Free radicals and reactive oxygen species as mediators of heavy metal toxicity in plants.</w:t>
      </w:r>
      <w:proofErr w:type="gramEnd"/>
      <w:r w:rsidRPr="007D7831">
        <w:rPr>
          <w:rFonts w:cs="Arial"/>
          <w:sz w:val="24"/>
          <w:lang w:val="en-US"/>
        </w:rPr>
        <w:t xml:space="preserve"> </w:t>
      </w:r>
      <w:proofErr w:type="gramStart"/>
      <w:r w:rsidRPr="007D7831">
        <w:rPr>
          <w:rFonts w:cs="Arial"/>
          <w:sz w:val="24"/>
          <w:lang w:val="en-US"/>
        </w:rPr>
        <w:t>In </w:t>
      </w:r>
      <w:r w:rsidRPr="007D7831">
        <w:rPr>
          <w:rFonts w:cs="Arial"/>
          <w:i/>
          <w:iCs/>
          <w:sz w:val="24"/>
          <w:lang w:val="en-US"/>
        </w:rPr>
        <w:t>Heavy metal stress in plants</w:t>
      </w:r>
      <w:r w:rsidRPr="007D7831">
        <w:rPr>
          <w:rFonts w:cs="Arial"/>
          <w:sz w:val="24"/>
          <w:lang w:val="en-US"/>
        </w:rPr>
        <w:t> (pp. 73-97).</w:t>
      </w:r>
      <w:proofErr w:type="gramEnd"/>
      <w:r w:rsidRPr="007D7831">
        <w:rPr>
          <w:rFonts w:cs="Arial"/>
          <w:sz w:val="24"/>
          <w:lang w:val="en-US"/>
        </w:rPr>
        <w:t xml:space="preserve"> </w:t>
      </w:r>
      <w:proofErr w:type="gramStart"/>
      <w:r w:rsidRPr="007D7831">
        <w:rPr>
          <w:rFonts w:cs="Arial"/>
          <w:sz w:val="24"/>
          <w:lang w:val="en-US"/>
        </w:rPr>
        <w:t>Springer Berlin Heidelberg.</w:t>
      </w:r>
      <w:proofErr w:type="gramEnd"/>
    </w:p>
    <w:p w:rsidR="005D24E4" w:rsidRPr="007D7831" w:rsidRDefault="005D24E4" w:rsidP="005D24E4">
      <w:pPr>
        <w:pStyle w:val="Prrafodelista"/>
        <w:ind w:left="426" w:hanging="426"/>
        <w:rPr>
          <w:rFonts w:cs="Arial"/>
          <w:sz w:val="24"/>
          <w:lang w:val="en-US"/>
        </w:rPr>
      </w:pPr>
      <w:proofErr w:type="gramStart"/>
      <w:r w:rsidRPr="007D7831">
        <w:rPr>
          <w:rFonts w:cs="Arial"/>
          <w:sz w:val="24"/>
          <w:lang w:val="en-US"/>
        </w:rPr>
        <w:t>Doran, P. M. (1995).</w:t>
      </w:r>
      <w:proofErr w:type="gramEnd"/>
      <w:r w:rsidRPr="007D7831">
        <w:rPr>
          <w:rFonts w:cs="Arial"/>
          <w:sz w:val="24"/>
          <w:lang w:val="en-US"/>
        </w:rPr>
        <w:t> </w:t>
      </w:r>
      <w:r w:rsidRPr="007D7831">
        <w:rPr>
          <w:rFonts w:cs="Arial"/>
          <w:i/>
          <w:iCs/>
          <w:sz w:val="24"/>
          <w:lang w:val="en-US"/>
        </w:rPr>
        <w:t>Bioprocess engineering principles</w:t>
      </w:r>
      <w:r w:rsidRPr="007D7831">
        <w:rPr>
          <w:rFonts w:cs="Arial"/>
          <w:sz w:val="24"/>
          <w:lang w:val="en-US"/>
        </w:rPr>
        <w:t xml:space="preserve">. </w:t>
      </w:r>
      <w:proofErr w:type="gramStart"/>
      <w:r w:rsidRPr="007D7831">
        <w:rPr>
          <w:rFonts w:cs="Arial"/>
          <w:sz w:val="24"/>
          <w:lang w:val="en-US"/>
        </w:rPr>
        <w:t>Academic press.</w:t>
      </w:r>
      <w:proofErr w:type="gramEnd"/>
    </w:p>
    <w:p w:rsidR="005D24E4" w:rsidRPr="007D7831" w:rsidRDefault="005D24E4" w:rsidP="005D24E4">
      <w:pPr>
        <w:pStyle w:val="Prrafodelista"/>
        <w:ind w:left="426" w:hanging="426"/>
        <w:rPr>
          <w:rFonts w:cs="Arial"/>
          <w:sz w:val="24"/>
          <w:lang w:val="en-US"/>
        </w:rPr>
      </w:pPr>
      <w:bookmarkStart w:id="8" w:name="3"/>
      <w:bookmarkEnd w:id="8"/>
      <w:proofErr w:type="spellStart"/>
      <w:r w:rsidRPr="007D7831">
        <w:rPr>
          <w:rFonts w:cs="Arial"/>
          <w:sz w:val="24"/>
          <w:lang w:val="en-US"/>
        </w:rPr>
        <w:t>Goenadi</w:t>
      </w:r>
      <w:proofErr w:type="spellEnd"/>
      <w:r w:rsidRPr="007D7831">
        <w:rPr>
          <w:rFonts w:cs="Arial"/>
          <w:sz w:val="24"/>
          <w:lang w:val="en-US"/>
        </w:rPr>
        <w:t xml:space="preserve">, D. H., &amp; </w:t>
      </w:r>
      <w:proofErr w:type="spellStart"/>
      <w:r w:rsidRPr="007D7831">
        <w:rPr>
          <w:rFonts w:cs="Arial"/>
          <w:sz w:val="24"/>
          <w:lang w:val="en-US"/>
        </w:rPr>
        <w:t>Sugiarto</w:t>
      </w:r>
      <w:proofErr w:type="spellEnd"/>
      <w:r w:rsidRPr="007D7831">
        <w:rPr>
          <w:rFonts w:cs="Arial"/>
          <w:sz w:val="24"/>
          <w:lang w:val="en-US"/>
        </w:rPr>
        <w:t xml:space="preserve">, Y. (2000). </w:t>
      </w:r>
      <w:proofErr w:type="spellStart"/>
      <w:r w:rsidRPr="007D7831">
        <w:rPr>
          <w:rFonts w:cs="Arial"/>
          <w:sz w:val="24"/>
          <w:lang w:val="en-US"/>
        </w:rPr>
        <w:t>Bioactivation</w:t>
      </w:r>
      <w:proofErr w:type="spellEnd"/>
      <w:r w:rsidRPr="007D7831">
        <w:rPr>
          <w:rFonts w:cs="Arial"/>
          <w:sz w:val="24"/>
          <w:lang w:val="en-US"/>
        </w:rPr>
        <w:t xml:space="preserve"> of poorly soluble phosphate rocks with a phosphorus-</w:t>
      </w:r>
      <w:proofErr w:type="spellStart"/>
      <w:r w:rsidRPr="007D7831">
        <w:rPr>
          <w:rFonts w:cs="Arial"/>
          <w:sz w:val="24"/>
          <w:lang w:val="en-US"/>
        </w:rPr>
        <w:t>solubilizing</w:t>
      </w:r>
      <w:proofErr w:type="spellEnd"/>
      <w:r w:rsidRPr="007D7831">
        <w:rPr>
          <w:rFonts w:cs="Arial"/>
          <w:sz w:val="24"/>
          <w:lang w:val="en-US"/>
        </w:rPr>
        <w:t xml:space="preserve"> fungus. </w:t>
      </w:r>
      <w:r w:rsidRPr="007D7831">
        <w:rPr>
          <w:rFonts w:cs="Arial"/>
          <w:i/>
          <w:iCs/>
          <w:sz w:val="24"/>
          <w:lang w:val="en-US"/>
        </w:rPr>
        <w:t>Soil Science Society of America Journal</w:t>
      </w:r>
      <w:r w:rsidRPr="007D7831">
        <w:rPr>
          <w:rFonts w:cs="Arial"/>
          <w:sz w:val="24"/>
          <w:lang w:val="en-US"/>
        </w:rPr>
        <w:t>, </w:t>
      </w:r>
      <w:r w:rsidRPr="007D7831">
        <w:rPr>
          <w:rFonts w:cs="Arial"/>
          <w:i/>
          <w:iCs/>
          <w:sz w:val="24"/>
          <w:lang w:val="en-US"/>
        </w:rPr>
        <w:t>64</w:t>
      </w:r>
      <w:r w:rsidRPr="007D7831">
        <w:rPr>
          <w:rFonts w:cs="Arial"/>
          <w:sz w:val="24"/>
          <w:lang w:val="en-US"/>
        </w:rPr>
        <w:t>(3), 927-932.</w:t>
      </w:r>
    </w:p>
    <w:p w:rsidR="005D24E4" w:rsidRPr="007D7831" w:rsidRDefault="005D24E4" w:rsidP="005D24E4">
      <w:pPr>
        <w:pStyle w:val="Prrafodelista"/>
        <w:ind w:left="426" w:hanging="426"/>
        <w:rPr>
          <w:rFonts w:cs="Arial"/>
          <w:sz w:val="24"/>
          <w:lang w:val="en-US"/>
        </w:rPr>
      </w:pPr>
      <w:proofErr w:type="spellStart"/>
      <w:proofErr w:type="gramStart"/>
      <w:r w:rsidRPr="007D7831">
        <w:rPr>
          <w:rFonts w:cs="Arial"/>
          <w:sz w:val="24"/>
          <w:lang w:val="en-US"/>
        </w:rPr>
        <w:t>Grewal</w:t>
      </w:r>
      <w:proofErr w:type="spellEnd"/>
      <w:r w:rsidRPr="007D7831">
        <w:rPr>
          <w:rFonts w:cs="Arial"/>
          <w:sz w:val="24"/>
          <w:lang w:val="en-US"/>
        </w:rPr>
        <w:t xml:space="preserve">, H. S., &amp; </w:t>
      </w:r>
      <w:proofErr w:type="spellStart"/>
      <w:r w:rsidRPr="007D7831">
        <w:rPr>
          <w:rFonts w:cs="Arial"/>
          <w:sz w:val="24"/>
          <w:lang w:val="en-US"/>
        </w:rPr>
        <w:t>Kalra</w:t>
      </w:r>
      <w:proofErr w:type="spellEnd"/>
      <w:r w:rsidRPr="007D7831">
        <w:rPr>
          <w:rFonts w:cs="Arial"/>
          <w:sz w:val="24"/>
          <w:lang w:val="en-US"/>
        </w:rPr>
        <w:t>, K. L. (1995).</w:t>
      </w:r>
      <w:proofErr w:type="gramEnd"/>
      <w:r w:rsidRPr="007D7831">
        <w:rPr>
          <w:rFonts w:cs="Arial"/>
          <w:sz w:val="24"/>
          <w:lang w:val="en-US"/>
        </w:rPr>
        <w:t xml:space="preserve"> </w:t>
      </w:r>
      <w:proofErr w:type="gramStart"/>
      <w:r w:rsidRPr="007D7831">
        <w:rPr>
          <w:rFonts w:cs="Arial"/>
          <w:sz w:val="24"/>
          <w:lang w:val="en-US"/>
        </w:rPr>
        <w:t>Fungal production of citric acid.</w:t>
      </w:r>
      <w:proofErr w:type="gramEnd"/>
      <w:r w:rsidRPr="007D7831">
        <w:rPr>
          <w:rFonts w:cs="Arial"/>
          <w:sz w:val="24"/>
          <w:lang w:val="en-US"/>
        </w:rPr>
        <w:t> </w:t>
      </w:r>
      <w:r w:rsidRPr="007D7831">
        <w:rPr>
          <w:rFonts w:cs="Arial"/>
          <w:i/>
          <w:iCs/>
          <w:sz w:val="24"/>
          <w:lang w:val="en-US"/>
        </w:rPr>
        <w:t>Biotechnology advances</w:t>
      </w:r>
      <w:r w:rsidRPr="007D7831">
        <w:rPr>
          <w:rFonts w:cs="Arial"/>
          <w:sz w:val="24"/>
          <w:lang w:val="en-US"/>
        </w:rPr>
        <w:t>, </w:t>
      </w:r>
      <w:r w:rsidRPr="007D7831">
        <w:rPr>
          <w:rFonts w:cs="Arial"/>
          <w:i/>
          <w:iCs/>
          <w:sz w:val="24"/>
          <w:lang w:val="en-US"/>
        </w:rPr>
        <w:t>13</w:t>
      </w:r>
      <w:r w:rsidRPr="007D7831">
        <w:rPr>
          <w:rFonts w:cs="Arial"/>
          <w:sz w:val="24"/>
          <w:lang w:val="en-US"/>
        </w:rPr>
        <w:t>(2), 209-234.</w:t>
      </w:r>
    </w:p>
    <w:p w:rsidR="005D24E4" w:rsidRPr="007D7831" w:rsidRDefault="005D24E4" w:rsidP="005D24E4">
      <w:pPr>
        <w:pStyle w:val="Prrafodelista"/>
        <w:ind w:left="426" w:hanging="426"/>
        <w:rPr>
          <w:rFonts w:cs="Arial"/>
          <w:sz w:val="24"/>
          <w:lang w:val="en-US"/>
        </w:rPr>
      </w:pPr>
      <w:proofErr w:type="spellStart"/>
      <w:proofErr w:type="gramStart"/>
      <w:r w:rsidRPr="007D7831">
        <w:rPr>
          <w:rFonts w:cs="Arial"/>
          <w:sz w:val="24"/>
          <w:lang w:val="en-US"/>
        </w:rPr>
        <w:t>Gyaneshwar</w:t>
      </w:r>
      <w:proofErr w:type="spellEnd"/>
      <w:r w:rsidRPr="007D7831">
        <w:rPr>
          <w:rFonts w:cs="Arial"/>
          <w:sz w:val="24"/>
          <w:lang w:val="en-US"/>
        </w:rPr>
        <w:t>, P., Kumar, G. N., Parekh, L. J., &amp; Poole, P. S. (2002).</w:t>
      </w:r>
      <w:proofErr w:type="gramEnd"/>
      <w:r w:rsidRPr="007D7831">
        <w:rPr>
          <w:rFonts w:cs="Arial"/>
          <w:sz w:val="24"/>
          <w:lang w:val="en-US"/>
        </w:rPr>
        <w:t xml:space="preserve"> </w:t>
      </w:r>
      <w:proofErr w:type="gramStart"/>
      <w:r w:rsidRPr="007D7831">
        <w:rPr>
          <w:rFonts w:cs="Arial"/>
          <w:sz w:val="24"/>
          <w:lang w:val="en-US"/>
        </w:rPr>
        <w:t>Role of soil microorganisms in improving P nutrition of plants.</w:t>
      </w:r>
      <w:proofErr w:type="gramEnd"/>
      <w:r w:rsidRPr="007D7831">
        <w:rPr>
          <w:rFonts w:cs="Arial"/>
          <w:sz w:val="24"/>
          <w:lang w:val="en-US"/>
        </w:rPr>
        <w:t xml:space="preserve"> In </w:t>
      </w:r>
      <w:r w:rsidRPr="007D7831">
        <w:rPr>
          <w:rFonts w:cs="Arial"/>
          <w:i/>
          <w:iCs/>
          <w:sz w:val="24"/>
          <w:lang w:val="en-US"/>
        </w:rPr>
        <w:t>Food Security in Nutrient-Stressed Environments: Exploiting Plants’ Genetic Capabilities</w:t>
      </w:r>
      <w:r w:rsidRPr="007D7831">
        <w:rPr>
          <w:rFonts w:cs="Arial"/>
          <w:sz w:val="24"/>
          <w:lang w:val="en-US"/>
        </w:rPr>
        <w:t xml:space="preserve"> (pp. 133-143). </w:t>
      </w:r>
      <w:proofErr w:type="gramStart"/>
      <w:r w:rsidRPr="007D7831">
        <w:rPr>
          <w:rFonts w:cs="Arial"/>
          <w:sz w:val="24"/>
          <w:lang w:val="en-US"/>
        </w:rPr>
        <w:t>Springer Netherlands.</w:t>
      </w:r>
      <w:proofErr w:type="gramEnd"/>
    </w:p>
    <w:p w:rsidR="005D24E4" w:rsidRPr="007D7831" w:rsidRDefault="005D24E4" w:rsidP="005D24E4">
      <w:pPr>
        <w:pStyle w:val="Prrafodelista"/>
        <w:ind w:left="426" w:hanging="426"/>
        <w:rPr>
          <w:rFonts w:cs="Arial"/>
          <w:sz w:val="24"/>
          <w:lang w:val="en-US"/>
        </w:rPr>
      </w:pPr>
      <w:proofErr w:type="gramStart"/>
      <w:r w:rsidRPr="007D7831">
        <w:rPr>
          <w:rFonts w:cs="Arial"/>
          <w:sz w:val="24"/>
          <w:lang w:val="en-US"/>
        </w:rPr>
        <w:t>Hammond, L. L., &amp; Day, D. P. (1992).</w:t>
      </w:r>
      <w:proofErr w:type="gramEnd"/>
      <w:r w:rsidRPr="007D7831">
        <w:rPr>
          <w:rFonts w:cs="Arial"/>
          <w:sz w:val="24"/>
          <w:lang w:val="en-US"/>
        </w:rPr>
        <w:t xml:space="preserve"> </w:t>
      </w:r>
      <w:proofErr w:type="gramStart"/>
      <w:r w:rsidRPr="007D7831">
        <w:rPr>
          <w:rFonts w:cs="Arial"/>
          <w:sz w:val="24"/>
          <w:lang w:val="en-US"/>
        </w:rPr>
        <w:t>Phosphate rock standardization and product quality.</w:t>
      </w:r>
      <w:proofErr w:type="gramEnd"/>
      <w:r w:rsidRPr="007D7831">
        <w:rPr>
          <w:rFonts w:cs="Arial"/>
          <w:sz w:val="24"/>
          <w:lang w:val="en-US"/>
        </w:rPr>
        <w:t xml:space="preserve"> </w:t>
      </w:r>
      <w:proofErr w:type="gramStart"/>
      <w:r w:rsidRPr="007D7831">
        <w:rPr>
          <w:rFonts w:cs="Arial"/>
          <w:sz w:val="24"/>
          <w:lang w:val="en-US"/>
        </w:rPr>
        <w:t>In </w:t>
      </w:r>
      <w:r w:rsidRPr="007D7831">
        <w:rPr>
          <w:rFonts w:cs="Arial"/>
          <w:i/>
          <w:iCs/>
          <w:sz w:val="24"/>
          <w:lang w:val="en-US"/>
        </w:rPr>
        <w:t>Workshop on Phosphate Sources for Acid Soils in the Humid Tropics of Asia, Kuala Lumpur (Malaysia), 6-7 Nov 1990</w:t>
      </w:r>
      <w:r w:rsidRPr="007D7831">
        <w:rPr>
          <w:rFonts w:cs="Arial"/>
          <w:sz w:val="24"/>
          <w:lang w:val="en-US"/>
        </w:rPr>
        <w:t>.</w:t>
      </w:r>
      <w:proofErr w:type="gramEnd"/>
      <w:r w:rsidRPr="007D7831">
        <w:rPr>
          <w:rFonts w:cs="Arial"/>
          <w:sz w:val="24"/>
          <w:lang w:val="en-US"/>
        </w:rPr>
        <w:t xml:space="preserve"> </w:t>
      </w:r>
      <w:proofErr w:type="gramStart"/>
      <w:r w:rsidRPr="007D7831">
        <w:rPr>
          <w:rFonts w:cs="Arial"/>
          <w:sz w:val="24"/>
          <w:lang w:val="en-US"/>
        </w:rPr>
        <w:t>Malaysian Society of Soil Science.</w:t>
      </w:r>
      <w:proofErr w:type="gramEnd"/>
    </w:p>
    <w:p w:rsidR="001D3AFB" w:rsidRPr="007D7831" w:rsidRDefault="005D24E4" w:rsidP="005D24E4">
      <w:pPr>
        <w:pStyle w:val="Prrafodelista"/>
        <w:ind w:left="426" w:hanging="426"/>
        <w:rPr>
          <w:rFonts w:cs="Arial"/>
          <w:sz w:val="24"/>
          <w:lang w:val="en-US"/>
        </w:rPr>
      </w:pPr>
      <w:r w:rsidRPr="005D24E4">
        <w:rPr>
          <w:rFonts w:cs="Arial"/>
          <w:sz w:val="24"/>
          <w:lang w:val="en-US"/>
        </w:rPr>
        <w:t xml:space="preserve"> </w:t>
      </w:r>
      <w:proofErr w:type="spellStart"/>
      <w:proofErr w:type="gramStart"/>
      <w:r w:rsidR="00F35108" w:rsidRPr="007D7831">
        <w:rPr>
          <w:rFonts w:cs="Arial"/>
          <w:sz w:val="24"/>
          <w:lang w:val="en-US"/>
        </w:rPr>
        <w:t>Ivanova</w:t>
      </w:r>
      <w:proofErr w:type="spellEnd"/>
      <w:r w:rsidR="00F35108" w:rsidRPr="007D7831">
        <w:rPr>
          <w:rFonts w:cs="Arial"/>
          <w:sz w:val="24"/>
          <w:lang w:val="en-US"/>
        </w:rPr>
        <w:t xml:space="preserve">, R., </w:t>
      </w:r>
      <w:proofErr w:type="spellStart"/>
      <w:r w:rsidR="00F35108" w:rsidRPr="007D7831">
        <w:rPr>
          <w:rFonts w:cs="Arial"/>
          <w:sz w:val="24"/>
          <w:lang w:val="en-US"/>
        </w:rPr>
        <w:t>Bojinova</w:t>
      </w:r>
      <w:proofErr w:type="spellEnd"/>
      <w:r w:rsidR="00F35108" w:rsidRPr="007D7831">
        <w:rPr>
          <w:rFonts w:cs="Arial"/>
          <w:sz w:val="24"/>
          <w:lang w:val="en-US"/>
        </w:rPr>
        <w:t xml:space="preserve">, D., &amp; </w:t>
      </w:r>
      <w:proofErr w:type="spellStart"/>
      <w:r w:rsidR="00F35108" w:rsidRPr="007D7831">
        <w:rPr>
          <w:rFonts w:cs="Arial"/>
          <w:sz w:val="24"/>
          <w:lang w:val="en-US"/>
        </w:rPr>
        <w:t>Nedialkova</w:t>
      </w:r>
      <w:proofErr w:type="spellEnd"/>
      <w:r w:rsidR="00F35108" w:rsidRPr="007D7831">
        <w:rPr>
          <w:rFonts w:cs="Arial"/>
          <w:sz w:val="24"/>
          <w:lang w:val="en-US"/>
        </w:rPr>
        <w:t>, K. (2006).</w:t>
      </w:r>
      <w:proofErr w:type="gramEnd"/>
      <w:r w:rsidR="00F35108" w:rsidRPr="007D7831">
        <w:rPr>
          <w:rFonts w:cs="Arial"/>
          <w:sz w:val="24"/>
          <w:lang w:val="en-US"/>
        </w:rPr>
        <w:t xml:space="preserve"> </w:t>
      </w:r>
      <w:proofErr w:type="gramStart"/>
      <w:r w:rsidR="00F35108" w:rsidRPr="007D7831">
        <w:rPr>
          <w:rFonts w:cs="Arial"/>
          <w:sz w:val="24"/>
          <w:lang w:val="en-US"/>
        </w:rPr>
        <w:t xml:space="preserve">Rock phosphate </w:t>
      </w:r>
      <w:proofErr w:type="spellStart"/>
      <w:r w:rsidR="00F35108" w:rsidRPr="007D7831">
        <w:rPr>
          <w:rFonts w:cs="Arial"/>
          <w:sz w:val="24"/>
          <w:lang w:val="en-US"/>
        </w:rPr>
        <w:t>solubilization</w:t>
      </w:r>
      <w:proofErr w:type="spellEnd"/>
      <w:r w:rsidR="00F35108" w:rsidRPr="007D7831">
        <w:rPr>
          <w:rFonts w:cs="Arial"/>
          <w:sz w:val="24"/>
          <w:lang w:val="en-US"/>
        </w:rPr>
        <w:t xml:space="preserve"> by soil bacteria.</w:t>
      </w:r>
      <w:proofErr w:type="gramEnd"/>
      <w:r w:rsidR="00F35108" w:rsidRPr="007D7831">
        <w:rPr>
          <w:rFonts w:cs="Arial"/>
          <w:sz w:val="24"/>
          <w:lang w:val="en-US"/>
        </w:rPr>
        <w:t> </w:t>
      </w:r>
      <w:r w:rsidR="00F35108" w:rsidRPr="007D7831">
        <w:rPr>
          <w:rFonts w:cs="Arial"/>
          <w:i/>
          <w:iCs/>
          <w:sz w:val="24"/>
          <w:lang w:val="en-US"/>
        </w:rPr>
        <w:t>Journal of the University of Chemical Technology and Metallurgy</w:t>
      </w:r>
      <w:r w:rsidR="00F35108" w:rsidRPr="007D7831">
        <w:rPr>
          <w:rFonts w:cs="Arial"/>
          <w:sz w:val="24"/>
          <w:lang w:val="en-US"/>
        </w:rPr>
        <w:t>, </w:t>
      </w:r>
      <w:r w:rsidR="00F35108" w:rsidRPr="007D7831">
        <w:rPr>
          <w:rFonts w:cs="Arial"/>
          <w:i/>
          <w:iCs/>
          <w:sz w:val="24"/>
          <w:lang w:val="en-US"/>
        </w:rPr>
        <w:t>41</w:t>
      </w:r>
      <w:r w:rsidR="00F35108" w:rsidRPr="007D7831">
        <w:rPr>
          <w:rFonts w:cs="Arial"/>
          <w:sz w:val="24"/>
          <w:lang w:val="en-US"/>
        </w:rPr>
        <w:t>(3), 297-302.</w:t>
      </w:r>
    </w:p>
    <w:p w:rsidR="00F35108" w:rsidRPr="007D7831" w:rsidRDefault="00F35108" w:rsidP="00F35108">
      <w:pPr>
        <w:pStyle w:val="Prrafodelista"/>
        <w:ind w:left="426" w:hanging="426"/>
        <w:rPr>
          <w:rFonts w:cs="Arial"/>
          <w:sz w:val="24"/>
          <w:lang w:val="en-US"/>
        </w:rPr>
      </w:pPr>
      <w:proofErr w:type="gramStart"/>
      <w:r w:rsidRPr="007D7831">
        <w:rPr>
          <w:rFonts w:cs="Arial"/>
          <w:sz w:val="24"/>
          <w:lang w:val="en-US"/>
        </w:rPr>
        <w:t xml:space="preserve">Jain, R., </w:t>
      </w:r>
      <w:proofErr w:type="spellStart"/>
      <w:r w:rsidRPr="007D7831">
        <w:rPr>
          <w:rFonts w:cs="Arial"/>
          <w:sz w:val="24"/>
          <w:lang w:val="en-US"/>
        </w:rPr>
        <w:t>Saxena</w:t>
      </w:r>
      <w:proofErr w:type="spellEnd"/>
      <w:r w:rsidRPr="007D7831">
        <w:rPr>
          <w:rFonts w:cs="Arial"/>
          <w:sz w:val="24"/>
          <w:lang w:val="en-US"/>
        </w:rPr>
        <w:t>, J., &amp; Sharma, V. (2012).</w:t>
      </w:r>
      <w:proofErr w:type="gramEnd"/>
      <w:r w:rsidRPr="007D7831">
        <w:rPr>
          <w:rFonts w:cs="Arial"/>
          <w:sz w:val="24"/>
          <w:lang w:val="en-US"/>
        </w:rPr>
        <w:t xml:space="preserve"> </w:t>
      </w:r>
      <w:proofErr w:type="gramStart"/>
      <w:r w:rsidRPr="007D7831">
        <w:rPr>
          <w:rFonts w:cs="Arial"/>
          <w:sz w:val="24"/>
          <w:lang w:val="en-US"/>
        </w:rPr>
        <w:t>Effect of phosphate-</w:t>
      </w:r>
      <w:proofErr w:type="spellStart"/>
      <w:r w:rsidRPr="007D7831">
        <w:rPr>
          <w:rFonts w:cs="Arial"/>
          <w:sz w:val="24"/>
          <w:lang w:val="en-US"/>
        </w:rPr>
        <w:t>solubilizing</w:t>
      </w:r>
      <w:proofErr w:type="spellEnd"/>
      <w:r w:rsidRPr="007D7831">
        <w:rPr>
          <w:rFonts w:cs="Arial"/>
          <w:sz w:val="24"/>
          <w:lang w:val="en-US"/>
        </w:rPr>
        <w:t xml:space="preserve"> fungi </w:t>
      </w:r>
      <w:proofErr w:type="spellStart"/>
      <w:r w:rsidRPr="007D7831">
        <w:rPr>
          <w:rFonts w:cs="Arial"/>
          <w:sz w:val="24"/>
          <w:lang w:val="en-US"/>
        </w:rPr>
        <w:t>Aspergillus</w:t>
      </w:r>
      <w:proofErr w:type="spellEnd"/>
      <w:r w:rsidRPr="007D7831">
        <w:rPr>
          <w:rFonts w:cs="Arial"/>
          <w:sz w:val="24"/>
          <w:lang w:val="en-US"/>
        </w:rPr>
        <w:t xml:space="preserve"> </w:t>
      </w:r>
      <w:proofErr w:type="spellStart"/>
      <w:r w:rsidRPr="007D7831">
        <w:rPr>
          <w:rFonts w:cs="Arial"/>
          <w:sz w:val="24"/>
          <w:lang w:val="en-US"/>
        </w:rPr>
        <w:t>awamori</w:t>
      </w:r>
      <w:proofErr w:type="spellEnd"/>
      <w:r w:rsidRPr="007D7831">
        <w:rPr>
          <w:rFonts w:cs="Arial"/>
          <w:sz w:val="24"/>
          <w:lang w:val="en-US"/>
        </w:rPr>
        <w:t xml:space="preserve"> S29 on </w:t>
      </w:r>
      <w:proofErr w:type="spellStart"/>
      <w:r w:rsidRPr="007D7831">
        <w:rPr>
          <w:rFonts w:cs="Arial"/>
          <w:sz w:val="24"/>
          <w:lang w:val="en-US"/>
        </w:rPr>
        <w:t>mungbean</w:t>
      </w:r>
      <w:proofErr w:type="spellEnd"/>
      <w:r w:rsidRPr="007D7831">
        <w:rPr>
          <w:rFonts w:cs="Arial"/>
          <w:sz w:val="24"/>
          <w:lang w:val="en-US"/>
        </w:rPr>
        <w:t xml:space="preserve"> (</w:t>
      </w:r>
      <w:proofErr w:type="spellStart"/>
      <w:r w:rsidRPr="007D7831">
        <w:rPr>
          <w:rFonts w:cs="Arial"/>
          <w:sz w:val="24"/>
          <w:lang w:val="en-US"/>
        </w:rPr>
        <w:t>Vigna</w:t>
      </w:r>
      <w:proofErr w:type="spellEnd"/>
      <w:r w:rsidRPr="007D7831">
        <w:rPr>
          <w:rFonts w:cs="Arial"/>
          <w:sz w:val="24"/>
          <w:lang w:val="en-US"/>
        </w:rPr>
        <w:t xml:space="preserve"> </w:t>
      </w:r>
      <w:proofErr w:type="spellStart"/>
      <w:r w:rsidRPr="007D7831">
        <w:rPr>
          <w:rFonts w:cs="Arial"/>
          <w:sz w:val="24"/>
          <w:lang w:val="en-US"/>
        </w:rPr>
        <w:t>radiata</w:t>
      </w:r>
      <w:proofErr w:type="spellEnd"/>
      <w:r w:rsidRPr="007D7831">
        <w:rPr>
          <w:rFonts w:cs="Arial"/>
          <w:sz w:val="24"/>
          <w:lang w:val="en-US"/>
        </w:rPr>
        <w:t xml:space="preserve"> cv. RMG 492) growth.</w:t>
      </w:r>
      <w:proofErr w:type="gramEnd"/>
      <w:r w:rsidRPr="007D7831">
        <w:rPr>
          <w:rFonts w:cs="Arial"/>
          <w:sz w:val="24"/>
          <w:lang w:val="en-US"/>
        </w:rPr>
        <w:t> </w:t>
      </w:r>
      <w:r w:rsidRPr="007D7831">
        <w:rPr>
          <w:rFonts w:cs="Arial"/>
          <w:i/>
          <w:iCs/>
          <w:sz w:val="24"/>
          <w:lang w:val="en-US"/>
        </w:rPr>
        <w:t xml:space="preserve">Folia </w:t>
      </w:r>
      <w:proofErr w:type="spellStart"/>
      <w:r w:rsidRPr="007D7831">
        <w:rPr>
          <w:rFonts w:cs="Arial"/>
          <w:i/>
          <w:iCs/>
          <w:sz w:val="24"/>
          <w:lang w:val="en-US"/>
        </w:rPr>
        <w:t>microbiologica</w:t>
      </w:r>
      <w:proofErr w:type="spellEnd"/>
      <w:r w:rsidRPr="007D7831">
        <w:rPr>
          <w:rFonts w:cs="Arial"/>
          <w:sz w:val="24"/>
          <w:lang w:val="en-US"/>
        </w:rPr>
        <w:t>, </w:t>
      </w:r>
      <w:r w:rsidRPr="007D7831">
        <w:rPr>
          <w:rFonts w:cs="Arial"/>
          <w:i/>
          <w:iCs/>
          <w:sz w:val="24"/>
          <w:lang w:val="en-US"/>
        </w:rPr>
        <w:t>57</w:t>
      </w:r>
      <w:r w:rsidRPr="007D7831">
        <w:rPr>
          <w:rFonts w:cs="Arial"/>
          <w:sz w:val="24"/>
          <w:lang w:val="en-US"/>
        </w:rPr>
        <w:t>(6), 533-541.</w:t>
      </w:r>
    </w:p>
    <w:p w:rsidR="00F35108" w:rsidRPr="007D7831" w:rsidRDefault="00F35108" w:rsidP="00F35108">
      <w:pPr>
        <w:pStyle w:val="Prrafodelista"/>
        <w:ind w:left="426" w:hanging="426"/>
        <w:rPr>
          <w:rFonts w:cs="Arial"/>
          <w:sz w:val="24"/>
          <w:lang w:val="en-US"/>
        </w:rPr>
      </w:pPr>
      <w:proofErr w:type="spellStart"/>
      <w:proofErr w:type="gramStart"/>
      <w:r w:rsidRPr="007D7831">
        <w:rPr>
          <w:rFonts w:cs="Arial"/>
          <w:sz w:val="24"/>
          <w:lang w:val="en-US"/>
        </w:rPr>
        <w:t>Jayasinghearachchi</w:t>
      </w:r>
      <w:proofErr w:type="spellEnd"/>
      <w:r w:rsidRPr="007D7831">
        <w:rPr>
          <w:rFonts w:cs="Arial"/>
          <w:sz w:val="24"/>
          <w:lang w:val="en-US"/>
        </w:rPr>
        <w:t xml:space="preserve">, H. S., &amp; </w:t>
      </w:r>
      <w:proofErr w:type="spellStart"/>
      <w:r w:rsidRPr="007D7831">
        <w:rPr>
          <w:rFonts w:cs="Arial"/>
          <w:sz w:val="24"/>
          <w:lang w:val="en-US"/>
        </w:rPr>
        <w:t>Seneviratne</w:t>
      </w:r>
      <w:proofErr w:type="spellEnd"/>
      <w:r w:rsidRPr="007D7831">
        <w:rPr>
          <w:rFonts w:cs="Arial"/>
          <w:sz w:val="24"/>
          <w:lang w:val="en-US"/>
        </w:rPr>
        <w:t>, G. (2006).</w:t>
      </w:r>
      <w:proofErr w:type="gramEnd"/>
      <w:r w:rsidRPr="007D7831">
        <w:rPr>
          <w:rFonts w:cs="Arial"/>
          <w:sz w:val="24"/>
          <w:lang w:val="en-US"/>
        </w:rPr>
        <w:t xml:space="preserve"> Fungal </w:t>
      </w:r>
      <w:proofErr w:type="spellStart"/>
      <w:r w:rsidRPr="007D7831">
        <w:rPr>
          <w:rFonts w:cs="Arial"/>
          <w:sz w:val="24"/>
          <w:lang w:val="en-US"/>
        </w:rPr>
        <w:t>solubilization</w:t>
      </w:r>
      <w:proofErr w:type="spellEnd"/>
      <w:r w:rsidRPr="007D7831">
        <w:rPr>
          <w:rFonts w:cs="Arial"/>
          <w:sz w:val="24"/>
          <w:lang w:val="en-US"/>
        </w:rPr>
        <w:t xml:space="preserve"> of rock phosphate is enhanced by forming fungal–</w:t>
      </w:r>
      <w:proofErr w:type="spellStart"/>
      <w:r w:rsidRPr="007D7831">
        <w:rPr>
          <w:rFonts w:cs="Arial"/>
          <w:sz w:val="24"/>
          <w:lang w:val="en-US"/>
        </w:rPr>
        <w:t>rhizobial</w:t>
      </w:r>
      <w:proofErr w:type="spellEnd"/>
      <w:r w:rsidRPr="007D7831">
        <w:rPr>
          <w:rFonts w:cs="Arial"/>
          <w:sz w:val="24"/>
          <w:lang w:val="en-US"/>
        </w:rPr>
        <w:t xml:space="preserve"> </w:t>
      </w:r>
      <w:proofErr w:type="spellStart"/>
      <w:r w:rsidRPr="007D7831">
        <w:rPr>
          <w:rFonts w:cs="Arial"/>
          <w:sz w:val="24"/>
          <w:lang w:val="en-US"/>
        </w:rPr>
        <w:t>biofilms</w:t>
      </w:r>
      <w:proofErr w:type="spellEnd"/>
      <w:r w:rsidRPr="007D7831">
        <w:rPr>
          <w:rFonts w:cs="Arial"/>
          <w:sz w:val="24"/>
          <w:lang w:val="en-US"/>
        </w:rPr>
        <w:t>. </w:t>
      </w:r>
      <w:r w:rsidRPr="007D7831">
        <w:rPr>
          <w:rFonts w:cs="Arial"/>
          <w:i/>
          <w:iCs/>
          <w:sz w:val="24"/>
          <w:lang w:val="en-US"/>
        </w:rPr>
        <w:t>Soil Biology and Biochemistry</w:t>
      </w:r>
      <w:r w:rsidRPr="007D7831">
        <w:rPr>
          <w:rFonts w:cs="Arial"/>
          <w:sz w:val="24"/>
          <w:lang w:val="en-US"/>
        </w:rPr>
        <w:t>, </w:t>
      </w:r>
      <w:r w:rsidRPr="007D7831">
        <w:rPr>
          <w:rFonts w:cs="Arial"/>
          <w:i/>
          <w:iCs/>
          <w:sz w:val="24"/>
          <w:lang w:val="en-US"/>
        </w:rPr>
        <w:t>38</w:t>
      </w:r>
      <w:r w:rsidRPr="007D7831">
        <w:rPr>
          <w:rFonts w:cs="Arial"/>
          <w:sz w:val="24"/>
          <w:lang w:val="en-US"/>
        </w:rPr>
        <w:t>(2), 405-408.</w:t>
      </w:r>
    </w:p>
    <w:p w:rsidR="000C297D" w:rsidRPr="000C297D" w:rsidRDefault="000C297D" w:rsidP="000C297D">
      <w:pPr>
        <w:pStyle w:val="Prrafodelista"/>
        <w:ind w:left="426" w:hanging="426"/>
        <w:rPr>
          <w:rFonts w:cs="Arial"/>
          <w:sz w:val="24"/>
          <w:lang w:val="es-ES_tradnl"/>
        </w:rPr>
      </w:pPr>
      <w:proofErr w:type="spellStart"/>
      <w:r w:rsidRPr="007D7831">
        <w:rPr>
          <w:rFonts w:cs="Arial"/>
          <w:sz w:val="24"/>
          <w:lang w:val="en-US"/>
        </w:rPr>
        <w:t>Kucey</w:t>
      </w:r>
      <w:proofErr w:type="spellEnd"/>
      <w:r w:rsidRPr="007D7831">
        <w:rPr>
          <w:rFonts w:cs="Arial"/>
          <w:sz w:val="24"/>
          <w:lang w:val="en-US"/>
        </w:rPr>
        <w:t xml:space="preserve">, R. M. N. (1983). </w:t>
      </w:r>
      <w:proofErr w:type="gramStart"/>
      <w:r w:rsidRPr="007D7831">
        <w:rPr>
          <w:rFonts w:cs="Arial"/>
          <w:sz w:val="24"/>
          <w:lang w:val="en-US"/>
        </w:rPr>
        <w:t>Phosphate-</w:t>
      </w:r>
      <w:proofErr w:type="spellStart"/>
      <w:r w:rsidRPr="007D7831">
        <w:rPr>
          <w:rFonts w:cs="Arial"/>
          <w:sz w:val="24"/>
          <w:lang w:val="en-US"/>
        </w:rPr>
        <w:t>solubilizing</w:t>
      </w:r>
      <w:proofErr w:type="spellEnd"/>
      <w:r w:rsidRPr="007D7831">
        <w:rPr>
          <w:rFonts w:cs="Arial"/>
          <w:sz w:val="24"/>
          <w:lang w:val="en-US"/>
        </w:rPr>
        <w:t xml:space="preserve"> bacteria and fungi in various cultivated and virgin Alberta soils.</w:t>
      </w:r>
      <w:proofErr w:type="gramEnd"/>
      <w:r w:rsidRPr="007D7831">
        <w:rPr>
          <w:rFonts w:cs="Arial"/>
          <w:sz w:val="24"/>
          <w:lang w:val="en-US"/>
        </w:rPr>
        <w:t> </w:t>
      </w:r>
      <w:r w:rsidRPr="000C297D">
        <w:rPr>
          <w:rFonts w:cs="Arial"/>
          <w:i/>
          <w:iCs/>
          <w:sz w:val="24"/>
          <w:lang w:val="es-ES_tradnl"/>
        </w:rPr>
        <w:t xml:space="preserve">Canadian </w:t>
      </w:r>
      <w:proofErr w:type="spellStart"/>
      <w:r w:rsidRPr="000C297D">
        <w:rPr>
          <w:rFonts w:cs="Arial"/>
          <w:i/>
          <w:iCs/>
          <w:sz w:val="24"/>
          <w:lang w:val="es-ES_tradnl"/>
        </w:rPr>
        <w:t>Journal</w:t>
      </w:r>
      <w:proofErr w:type="spellEnd"/>
      <w:r w:rsidRPr="000C297D">
        <w:rPr>
          <w:rFonts w:cs="Arial"/>
          <w:i/>
          <w:iCs/>
          <w:sz w:val="24"/>
          <w:lang w:val="es-ES_tradnl"/>
        </w:rPr>
        <w:t xml:space="preserve"> of </w:t>
      </w:r>
      <w:proofErr w:type="spellStart"/>
      <w:r w:rsidRPr="000C297D">
        <w:rPr>
          <w:rFonts w:cs="Arial"/>
          <w:i/>
          <w:iCs/>
          <w:sz w:val="24"/>
          <w:lang w:val="es-ES_tradnl"/>
        </w:rPr>
        <w:t>Soil</w:t>
      </w:r>
      <w:proofErr w:type="spellEnd"/>
      <w:r w:rsidRPr="000C297D">
        <w:rPr>
          <w:rFonts w:cs="Arial"/>
          <w:i/>
          <w:iCs/>
          <w:sz w:val="24"/>
          <w:lang w:val="es-ES_tradnl"/>
        </w:rPr>
        <w:t xml:space="preserve"> </w:t>
      </w:r>
      <w:proofErr w:type="spellStart"/>
      <w:r w:rsidRPr="000C297D">
        <w:rPr>
          <w:rFonts w:cs="Arial"/>
          <w:i/>
          <w:iCs/>
          <w:sz w:val="24"/>
          <w:lang w:val="es-ES_tradnl"/>
        </w:rPr>
        <w:t>Science</w:t>
      </w:r>
      <w:proofErr w:type="spellEnd"/>
      <w:r w:rsidRPr="000C297D">
        <w:rPr>
          <w:rFonts w:cs="Arial"/>
          <w:sz w:val="24"/>
          <w:lang w:val="es-ES_tradnl"/>
        </w:rPr>
        <w:t>, </w:t>
      </w:r>
      <w:r w:rsidRPr="000C297D">
        <w:rPr>
          <w:rFonts w:cs="Arial"/>
          <w:i/>
          <w:iCs/>
          <w:sz w:val="24"/>
          <w:lang w:val="es-ES_tradnl"/>
        </w:rPr>
        <w:t>63</w:t>
      </w:r>
      <w:r w:rsidRPr="000C297D">
        <w:rPr>
          <w:rFonts w:cs="Arial"/>
          <w:sz w:val="24"/>
          <w:lang w:val="es-ES_tradnl"/>
        </w:rPr>
        <w:t>(4), 671-678.</w:t>
      </w:r>
    </w:p>
    <w:p w:rsidR="001D3AFB" w:rsidRPr="00D247A3" w:rsidRDefault="00F65D21" w:rsidP="005836FE">
      <w:pPr>
        <w:pStyle w:val="Prrafodelista"/>
        <w:ind w:left="426" w:hanging="426"/>
        <w:rPr>
          <w:rFonts w:cs="Arial"/>
          <w:sz w:val="24"/>
          <w:lang w:val="en-US"/>
        </w:rPr>
      </w:pPr>
      <w:proofErr w:type="gramStart"/>
      <w:r w:rsidRPr="00D247A3">
        <w:rPr>
          <w:rFonts w:cs="Arial"/>
          <w:sz w:val="24"/>
          <w:lang w:val="en-US"/>
        </w:rPr>
        <w:lastRenderedPageBreak/>
        <w:t>Madigan</w:t>
      </w:r>
      <w:r w:rsidR="000C297D">
        <w:rPr>
          <w:rFonts w:cs="Arial"/>
          <w:sz w:val="24"/>
          <w:lang w:val="en-US"/>
        </w:rPr>
        <w:t>,</w:t>
      </w:r>
      <w:r w:rsidRPr="00D247A3">
        <w:rPr>
          <w:rFonts w:cs="Arial"/>
          <w:sz w:val="24"/>
          <w:lang w:val="en-US"/>
        </w:rPr>
        <w:t xml:space="preserve"> M., </w:t>
      </w:r>
      <w:proofErr w:type="spellStart"/>
      <w:r w:rsidRPr="00D247A3">
        <w:rPr>
          <w:rFonts w:cs="Arial"/>
          <w:sz w:val="24"/>
          <w:lang w:val="en-US"/>
        </w:rPr>
        <w:t>Martinko</w:t>
      </w:r>
      <w:proofErr w:type="spellEnd"/>
      <w:r w:rsidR="000C297D">
        <w:rPr>
          <w:rFonts w:cs="Arial"/>
          <w:sz w:val="24"/>
          <w:lang w:val="en-US"/>
        </w:rPr>
        <w:t>,</w:t>
      </w:r>
      <w:r w:rsidRPr="00D247A3">
        <w:rPr>
          <w:rFonts w:cs="Arial"/>
          <w:sz w:val="24"/>
          <w:lang w:val="en-US"/>
        </w:rPr>
        <w:t xml:space="preserve"> J.,</w:t>
      </w:r>
      <w:r w:rsidR="001D3AFB" w:rsidRPr="00D247A3">
        <w:rPr>
          <w:rFonts w:cs="Arial"/>
          <w:sz w:val="24"/>
          <w:lang w:val="en-US"/>
        </w:rPr>
        <w:t xml:space="preserve"> </w:t>
      </w:r>
      <w:r w:rsidR="000C297D">
        <w:rPr>
          <w:rFonts w:cs="Arial"/>
          <w:sz w:val="24"/>
          <w:lang w:val="en-US"/>
        </w:rPr>
        <w:t xml:space="preserve">&amp; </w:t>
      </w:r>
      <w:r w:rsidR="001D3AFB" w:rsidRPr="00D247A3">
        <w:rPr>
          <w:rFonts w:cs="Arial"/>
          <w:sz w:val="24"/>
          <w:lang w:val="en-US"/>
        </w:rPr>
        <w:t>Parker</w:t>
      </w:r>
      <w:r w:rsidR="000C297D">
        <w:rPr>
          <w:rFonts w:cs="Arial"/>
          <w:sz w:val="24"/>
          <w:lang w:val="en-US"/>
        </w:rPr>
        <w:t>,</w:t>
      </w:r>
      <w:r w:rsidR="001D3AFB" w:rsidRPr="00D247A3">
        <w:rPr>
          <w:rFonts w:cs="Arial"/>
          <w:sz w:val="24"/>
          <w:lang w:val="en-US"/>
        </w:rPr>
        <w:t xml:space="preserve"> J. </w:t>
      </w:r>
      <w:r w:rsidR="000C297D">
        <w:rPr>
          <w:rFonts w:cs="Arial"/>
          <w:sz w:val="24"/>
          <w:lang w:val="en-US"/>
        </w:rPr>
        <w:t>(</w:t>
      </w:r>
      <w:r w:rsidR="001D3AFB" w:rsidRPr="00D247A3">
        <w:rPr>
          <w:rFonts w:cs="Arial"/>
          <w:sz w:val="24"/>
          <w:lang w:val="en-US"/>
        </w:rPr>
        <w:t>2004</w:t>
      </w:r>
      <w:r w:rsidR="000C297D">
        <w:rPr>
          <w:rFonts w:cs="Arial"/>
          <w:sz w:val="24"/>
          <w:lang w:val="en-US"/>
        </w:rPr>
        <w:t>)</w:t>
      </w:r>
      <w:r w:rsidR="001D3AFB" w:rsidRPr="00D247A3">
        <w:rPr>
          <w:rFonts w:cs="Arial"/>
          <w:sz w:val="24"/>
          <w:lang w:val="en-US"/>
        </w:rPr>
        <w:t>.</w:t>
      </w:r>
      <w:proofErr w:type="gramEnd"/>
      <w:r w:rsidR="001D3AFB" w:rsidRPr="00D247A3">
        <w:rPr>
          <w:rFonts w:cs="Arial"/>
          <w:sz w:val="24"/>
          <w:lang w:val="en-US"/>
        </w:rPr>
        <w:t xml:space="preserve"> </w:t>
      </w:r>
      <w:proofErr w:type="spellStart"/>
      <w:r w:rsidR="001D3AFB" w:rsidRPr="00D247A3">
        <w:rPr>
          <w:rFonts w:cs="Arial"/>
          <w:sz w:val="24"/>
          <w:lang w:val="es-CO"/>
        </w:rPr>
        <w:t>Brock</w:t>
      </w:r>
      <w:proofErr w:type="spellEnd"/>
      <w:r w:rsidR="001D3AFB" w:rsidRPr="00D247A3">
        <w:rPr>
          <w:rFonts w:cs="Arial"/>
          <w:sz w:val="24"/>
          <w:lang w:val="es-CO"/>
        </w:rPr>
        <w:t xml:space="preserve"> Biología de los microorganismos. </w:t>
      </w:r>
      <w:proofErr w:type="spellStart"/>
      <w:proofErr w:type="gramStart"/>
      <w:r w:rsidR="001D3AFB" w:rsidRPr="007D7831">
        <w:rPr>
          <w:rFonts w:cs="Arial"/>
          <w:sz w:val="24"/>
          <w:lang w:val="en-US"/>
        </w:rPr>
        <w:t>Décima</w:t>
      </w:r>
      <w:proofErr w:type="spellEnd"/>
      <w:r w:rsidR="001D3AFB" w:rsidRPr="007D7831">
        <w:rPr>
          <w:rFonts w:cs="Arial"/>
          <w:sz w:val="24"/>
          <w:lang w:val="en-US"/>
        </w:rPr>
        <w:t xml:space="preserve"> </w:t>
      </w:r>
      <w:proofErr w:type="spellStart"/>
      <w:r w:rsidR="001D3AFB" w:rsidRPr="007D7831">
        <w:rPr>
          <w:rFonts w:cs="Arial"/>
          <w:sz w:val="24"/>
          <w:lang w:val="en-US"/>
        </w:rPr>
        <w:t>edición</w:t>
      </w:r>
      <w:proofErr w:type="spellEnd"/>
      <w:r w:rsidR="001D3AFB" w:rsidRPr="007D7831">
        <w:rPr>
          <w:rFonts w:cs="Arial"/>
          <w:sz w:val="24"/>
          <w:lang w:val="en-US"/>
        </w:rPr>
        <w:t>.</w:t>
      </w:r>
      <w:proofErr w:type="gramEnd"/>
      <w:r w:rsidR="001D3AFB" w:rsidRPr="007D7831">
        <w:rPr>
          <w:rFonts w:cs="Arial"/>
          <w:sz w:val="24"/>
          <w:lang w:val="en-US"/>
        </w:rPr>
        <w:t xml:space="preserve"> </w:t>
      </w:r>
      <w:proofErr w:type="gramStart"/>
      <w:r w:rsidR="001D3AFB" w:rsidRPr="00D247A3">
        <w:rPr>
          <w:rFonts w:cs="Arial"/>
          <w:sz w:val="24"/>
          <w:lang w:val="en-US"/>
        </w:rPr>
        <w:t>Pearson education S.A. Madrid</w:t>
      </w:r>
      <w:r w:rsidR="000C297D">
        <w:rPr>
          <w:rFonts w:cs="Arial"/>
          <w:sz w:val="24"/>
          <w:lang w:val="en-US"/>
        </w:rPr>
        <w:t>.</w:t>
      </w:r>
      <w:proofErr w:type="gramEnd"/>
    </w:p>
    <w:p w:rsidR="000C297D" w:rsidRPr="007D7831" w:rsidRDefault="000C297D" w:rsidP="000C297D">
      <w:pPr>
        <w:pStyle w:val="Prrafodelista"/>
        <w:ind w:left="426" w:hanging="426"/>
        <w:rPr>
          <w:rFonts w:cs="Arial"/>
          <w:sz w:val="24"/>
          <w:lang w:val="en-US"/>
        </w:rPr>
      </w:pPr>
      <w:proofErr w:type="spellStart"/>
      <w:proofErr w:type="gramStart"/>
      <w:r w:rsidRPr="007D7831">
        <w:rPr>
          <w:rFonts w:cs="Arial"/>
          <w:sz w:val="24"/>
          <w:lang w:val="en-US"/>
        </w:rPr>
        <w:t>Mattey</w:t>
      </w:r>
      <w:proofErr w:type="spellEnd"/>
      <w:r w:rsidRPr="007D7831">
        <w:rPr>
          <w:rFonts w:cs="Arial"/>
          <w:sz w:val="24"/>
          <w:lang w:val="en-US"/>
        </w:rPr>
        <w:t>, M., &amp; Bowes, I. (1978).</w:t>
      </w:r>
      <w:proofErr w:type="gramEnd"/>
      <w:r w:rsidRPr="007D7831">
        <w:rPr>
          <w:rFonts w:cs="Arial"/>
          <w:sz w:val="24"/>
          <w:lang w:val="en-US"/>
        </w:rPr>
        <w:t xml:space="preserve"> Citrate regulation of NADP+-specific </w:t>
      </w:r>
      <w:proofErr w:type="spellStart"/>
      <w:r w:rsidRPr="007D7831">
        <w:rPr>
          <w:rFonts w:cs="Arial"/>
          <w:sz w:val="24"/>
          <w:lang w:val="en-US"/>
        </w:rPr>
        <w:t>isocitrate</w:t>
      </w:r>
      <w:proofErr w:type="spellEnd"/>
      <w:r w:rsidRPr="007D7831">
        <w:rPr>
          <w:rFonts w:cs="Arial"/>
          <w:sz w:val="24"/>
          <w:lang w:val="en-US"/>
        </w:rPr>
        <w:t xml:space="preserve"> </w:t>
      </w:r>
      <w:proofErr w:type="spellStart"/>
      <w:r w:rsidRPr="007D7831">
        <w:rPr>
          <w:rFonts w:cs="Arial"/>
          <w:sz w:val="24"/>
          <w:lang w:val="en-US"/>
        </w:rPr>
        <w:t>dehydrogenase</w:t>
      </w:r>
      <w:proofErr w:type="spellEnd"/>
      <w:r w:rsidRPr="007D7831">
        <w:rPr>
          <w:rFonts w:cs="Arial"/>
          <w:sz w:val="24"/>
          <w:lang w:val="en-US"/>
        </w:rPr>
        <w:t xml:space="preserve"> of </w:t>
      </w:r>
      <w:proofErr w:type="spellStart"/>
      <w:r w:rsidRPr="007D7831">
        <w:rPr>
          <w:rFonts w:cs="Arial"/>
          <w:sz w:val="24"/>
          <w:lang w:val="en-US"/>
        </w:rPr>
        <w:t>Aspergillus</w:t>
      </w:r>
      <w:proofErr w:type="spellEnd"/>
      <w:r w:rsidRPr="007D7831">
        <w:rPr>
          <w:rFonts w:cs="Arial"/>
          <w:sz w:val="24"/>
          <w:lang w:val="en-US"/>
        </w:rPr>
        <w:t xml:space="preserve"> </w:t>
      </w:r>
      <w:proofErr w:type="spellStart"/>
      <w:proofErr w:type="gramStart"/>
      <w:r w:rsidRPr="007D7831">
        <w:rPr>
          <w:rFonts w:cs="Arial"/>
          <w:sz w:val="24"/>
          <w:lang w:val="en-US"/>
        </w:rPr>
        <w:t>niger</w:t>
      </w:r>
      <w:proofErr w:type="spellEnd"/>
      <w:proofErr w:type="gramEnd"/>
      <w:r w:rsidRPr="007D7831">
        <w:rPr>
          <w:rFonts w:cs="Arial"/>
          <w:sz w:val="24"/>
          <w:lang w:val="en-US"/>
        </w:rPr>
        <w:t>.</w:t>
      </w:r>
    </w:p>
    <w:p w:rsidR="000C297D" w:rsidRPr="007D7831" w:rsidRDefault="000C297D" w:rsidP="000C297D">
      <w:pPr>
        <w:pStyle w:val="Prrafodelista"/>
        <w:ind w:left="426" w:hanging="426"/>
        <w:rPr>
          <w:rFonts w:cs="Arial"/>
          <w:sz w:val="24"/>
          <w:lang w:val="en-US"/>
        </w:rPr>
      </w:pPr>
      <w:r w:rsidRPr="000C297D">
        <w:rPr>
          <w:rFonts w:cs="Arial"/>
          <w:sz w:val="24"/>
          <w:lang w:val="es-ES_tradnl"/>
        </w:rPr>
        <w:t xml:space="preserve">Max, B., Salgado, J. M., Rodríguez, N., Cortés, S., </w:t>
      </w:r>
      <w:proofErr w:type="spellStart"/>
      <w:r w:rsidRPr="000C297D">
        <w:rPr>
          <w:rFonts w:cs="Arial"/>
          <w:sz w:val="24"/>
          <w:lang w:val="es-ES_tradnl"/>
        </w:rPr>
        <w:t>Converti</w:t>
      </w:r>
      <w:proofErr w:type="spellEnd"/>
      <w:r w:rsidRPr="000C297D">
        <w:rPr>
          <w:rFonts w:cs="Arial"/>
          <w:sz w:val="24"/>
          <w:lang w:val="es-ES_tradnl"/>
        </w:rPr>
        <w:t xml:space="preserve">, A., &amp; Domínguez, J. M. (2010). </w:t>
      </w:r>
      <w:proofErr w:type="gramStart"/>
      <w:r w:rsidRPr="007D7831">
        <w:rPr>
          <w:rFonts w:cs="Arial"/>
          <w:sz w:val="24"/>
          <w:lang w:val="en-US"/>
        </w:rPr>
        <w:t>Biotechnological production of citric acid.</w:t>
      </w:r>
      <w:proofErr w:type="gramEnd"/>
      <w:r w:rsidRPr="007D7831">
        <w:rPr>
          <w:rFonts w:cs="Arial"/>
          <w:sz w:val="24"/>
          <w:lang w:val="en-US"/>
        </w:rPr>
        <w:t> </w:t>
      </w:r>
      <w:r w:rsidRPr="007D7831">
        <w:rPr>
          <w:rFonts w:cs="Arial"/>
          <w:i/>
          <w:iCs/>
          <w:sz w:val="24"/>
          <w:lang w:val="en-US"/>
        </w:rPr>
        <w:t>Brazilian Journal of Microbiology</w:t>
      </w:r>
      <w:r w:rsidRPr="007D7831">
        <w:rPr>
          <w:rFonts w:cs="Arial"/>
          <w:sz w:val="24"/>
          <w:lang w:val="en-US"/>
        </w:rPr>
        <w:t>, </w:t>
      </w:r>
      <w:r w:rsidRPr="007D7831">
        <w:rPr>
          <w:rFonts w:cs="Arial"/>
          <w:i/>
          <w:iCs/>
          <w:sz w:val="24"/>
          <w:lang w:val="en-US"/>
        </w:rPr>
        <w:t>41</w:t>
      </w:r>
      <w:r w:rsidRPr="007D7831">
        <w:rPr>
          <w:rFonts w:cs="Arial"/>
          <w:sz w:val="24"/>
          <w:lang w:val="en-US"/>
        </w:rPr>
        <w:t>(4), 862-875.</w:t>
      </w:r>
    </w:p>
    <w:p w:rsidR="001D3AFB" w:rsidRPr="007D7831" w:rsidRDefault="000C297D" w:rsidP="000C297D">
      <w:pPr>
        <w:pStyle w:val="Prrafodelista"/>
        <w:ind w:left="426" w:hanging="426"/>
        <w:rPr>
          <w:rFonts w:cs="Arial"/>
          <w:sz w:val="24"/>
          <w:lang w:val="en-US"/>
        </w:rPr>
      </w:pPr>
      <w:r w:rsidRPr="000C297D">
        <w:rPr>
          <w:rFonts w:cs="Arial"/>
          <w:sz w:val="24"/>
          <w:lang w:val="en-US"/>
        </w:rPr>
        <w:t xml:space="preserve"> </w:t>
      </w:r>
      <w:proofErr w:type="spellStart"/>
      <w:proofErr w:type="gramStart"/>
      <w:r w:rsidR="00F40313" w:rsidRPr="007D7831">
        <w:rPr>
          <w:rFonts w:cs="Arial"/>
          <w:sz w:val="24"/>
          <w:lang w:val="en-US"/>
        </w:rPr>
        <w:t>Msolla</w:t>
      </w:r>
      <w:proofErr w:type="spellEnd"/>
      <w:r w:rsidR="00F40313" w:rsidRPr="007D7831">
        <w:rPr>
          <w:rFonts w:cs="Arial"/>
          <w:sz w:val="24"/>
          <w:lang w:val="en-US"/>
        </w:rPr>
        <w:t xml:space="preserve">, M. M., </w:t>
      </w:r>
      <w:proofErr w:type="spellStart"/>
      <w:r w:rsidR="00F40313" w:rsidRPr="007D7831">
        <w:rPr>
          <w:rFonts w:cs="Arial"/>
          <w:sz w:val="24"/>
          <w:lang w:val="en-US"/>
        </w:rPr>
        <w:t>Semoka</w:t>
      </w:r>
      <w:proofErr w:type="spellEnd"/>
      <w:r w:rsidR="00F40313" w:rsidRPr="007D7831">
        <w:rPr>
          <w:rFonts w:cs="Arial"/>
          <w:sz w:val="24"/>
          <w:lang w:val="en-US"/>
        </w:rPr>
        <w:t xml:space="preserve">, J. M. R., </w:t>
      </w:r>
      <w:proofErr w:type="spellStart"/>
      <w:r w:rsidR="00F40313" w:rsidRPr="007D7831">
        <w:rPr>
          <w:rFonts w:cs="Arial"/>
          <w:sz w:val="24"/>
          <w:lang w:val="en-US"/>
        </w:rPr>
        <w:t>Szilas</w:t>
      </w:r>
      <w:proofErr w:type="spellEnd"/>
      <w:r w:rsidR="00F40313" w:rsidRPr="007D7831">
        <w:rPr>
          <w:rFonts w:cs="Arial"/>
          <w:sz w:val="24"/>
          <w:lang w:val="en-US"/>
        </w:rPr>
        <w:t xml:space="preserve">, C., &amp; </w:t>
      </w:r>
      <w:proofErr w:type="spellStart"/>
      <w:r w:rsidR="00F40313" w:rsidRPr="007D7831">
        <w:rPr>
          <w:rFonts w:cs="Arial"/>
          <w:sz w:val="24"/>
          <w:lang w:val="en-US"/>
        </w:rPr>
        <w:t>Borggaard</w:t>
      </w:r>
      <w:proofErr w:type="spellEnd"/>
      <w:r w:rsidR="00F40313" w:rsidRPr="007D7831">
        <w:rPr>
          <w:rFonts w:cs="Arial"/>
          <w:sz w:val="24"/>
          <w:lang w:val="en-US"/>
        </w:rPr>
        <w:t>, O. K. (2007).</w:t>
      </w:r>
      <w:proofErr w:type="gramEnd"/>
      <w:r w:rsidR="00F40313" w:rsidRPr="007D7831">
        <w:rPr>
          <w:rFonts w:cs="Arial"/>
          <w:sz w:val="24"/>
          <w:lang w:val="en-US"/>
        </w:rPr>
        <w:t xml:space="preserve"> Crop (Maize) response to direct application of local phosphate rock on selected acid soils of Tanzania. </w:t>
      </w:r>
      <w:proofErr w:type="gramStart"/>
      <w:r w:rsidR="00F40313" w:rsidRPr="007D7831">
        <w:rPr>
          <w:rFonts w:cs="Arial"/>
          <w:i/>
          <w:iCs/>
          <w:sz w:val="24"/>
          <w:lang w:val="en-US"/>
        </w:rPr>
        <w:t>Communications in soil science and plant analysis</w:t>
      </w:r>
      <w:r w:rsidR="00F40313" w:rsidRPr="007D7831">
        <w:rPr>
          <w:rFonts w:cs="Arial"/>
          <w:sz w:val="24"/>
          <w:lang w:val="en-US"/>
        </w:rPr>
        <w:t>, </w:t>
      </w:r>
      <w:r w:rsidR="00F40313" w:rsidRPr="007D7831">
        <w:rPr>
          <w:rFonts w:cs="Arial"/>
          <w:i/>
          <w:iCs/>
          <w:sz w:val="24"/>
          <w:lang w:val="en-US"/>
        </w:rPr>
        <w:t>38</w:t>
      </w:r>
      <w:r w:rsidR="00F40313" w:rsidRPr="007D7831">
        <w:rPr>
          <w:rFonts w:cs="Arial"/>
          <w:sz w:val="24"/>
          <w:lang w:val="en-US"/>
        </w:rPr>
        <w:t>(1-2), 93-106.</w:t>
      </w:r>
      <w:proofErr w:type="gramEnd"/>
    </w:p>
    <w:p w:rsidR="00F40313" w:rsidRPr="007D7831" w:rsidRDefault="00F40313" w:rsidP="00F40313">
      <w:pPr>
        <w:pStyle w:val="Prrafodelista"/>
        <w:ind w:left="426" w:hanging="426"/>
        <w:rPr>
          <w:rFonts w:cs="Arial"/>
          <w:sz w:val="24"/>
          <w:lang w:val="en-US"/>
        </w:rPr>
      </w:pPr>
      <w:proofErr w:type="gramStart"/>
      <w:r w:rsidRPr="007D7831">
        <w:rPr>
          <w:rFonts w:cs="Arial"/>
          <w:sz w:val="24"/>
          <w:lang w:val="en-US"/>
        </w:rPr>
        <w:t>Murphy, J. A. M. E. S., &amp; Riley, J. P. (1962).</w:t>
      </w:r>
      <w:proofErr w:type="gramEnd"/>
      <w:r w:rsidRPr="007D7831">
        <w:rPr>
          <w:rFonts w:cs="Arial"/>
          <w:sz w:val="24"/>
          <w:lang w:val="en-US"/>
        </w:rPr>
        <w:t xml:space="preserve"> </w:t>
      </w:r>
      <w:proofErr w:type="gramStart"/>
      <w:r w:rsidRPr="007D7831">
        <w:rPr>
          <w:rFonts w:cs="Arial"/>
          <w:sz w:val="24"/>
          <w:lang w:val="en-US"/>
        </w:rPr>
        <w:t>A modified single solution method for the determination of phosphate in natural waters.</w:t>
      </w:r>
      <w:proofErr w:type="gramEnd"/>
      <w:r w:rsidRPr="007D7831">
        <w:rPr>
          <w:rFonts w:cs="Arial"/>
          <w:sz w:val="24"/>
          <w:lang w:val="en-US"/>
        </w:rPr>
        <w:t> </w:t>
      </w:r>
      <w:proofErr w:type="spellStart"/>
      <w:r w:rsidRPr="007D7831">
        <w:rPr>
          <w:rFonts w:cs="Arial"/>
          <w:i/>
          <w:iCs/>
          <w:sz w:val="24"/>
          <w:lang w:val="en-US"/>
        </w:rPr>
        <w:t>Analytica</w:t>
      </w:r>
      <w:proofErr w:type="spellEnd"/>
      <w:r w:rsidRPr="007D7831">
        <w:rPr>
          <w:rFonts w:cs="Arial"/>
          <w:i/>
          <w:iCs/>
          <w:sz w:val="24"/>
          <w:lang w:val="en-US"/>
        </w:rPr>
        <w:t xml:space="preserve"> </w:t>
      </w:r>
      <w:proofErr w:type="spellStart"/>
      <w:r w:rsidRPr="007D7831">
        <w:rPr>
          <w:rFonts w:cs="Arial"/>
          <w:i/>
          <w:iCs/>
          <w:sz w:val="24"/>
          <w:lang w:val="en-US"/>
        </w:rPr>
        <w:t>chimica</w:t>
      </w:r>
      <w:proofErr w:type="spellEnd"/>
      <w:r w:rsidRPr="007D7831">
        <w:rPr>
          <w:rFonts w:cs="Arial"/>
          <w:i/>
          <w:iCs/>
          <w:sz w:val="24"/>
          <w:lang w:val="en-US"/>
        </w:rPr>
        <w:t xml:space="preserve"> </w:t>
      </w:r>
      <w:proofErr w:type="spellStart"/>
      <w:r w:rsidRPr="007D7831">
        <w:rPr>
          <w:rFonts w:cs="Arial"/>
          <w:i/>
          <w:iCs/>
          <w:sz w:val="24"/>
          <w:lang w:val="en-US"/>
        </w:rPr>
        <w:t>acta</w:t>
      </w:r>
      <w:proofErr w:type="spellEnd"/>
      <w:r w:rsidRPr="007D7831">
        <w:rPr>
          <w:rFonts w:cs="Arial"/>
          <w:sz w:val="24"/>
          <w:lang w:val="en-US"/>
        </w:rPr>
        <w:t>, </w:t>
      </w:r>
      <w:r w:rsidRPr="007D7831">
        <w:rPr>
          <w:rFonts w:cs="Arial"/>
          <w:i/>
          <w:iCs/>
          <w:sz w:val="24"/>
          <w:lang w:val="en-US"/>
        </w:rPr>
        <w:t>27</w:t>
      </w:r>
      <w:r w:rsidRPr="007D7831">
        <w:rPr>
          <w:rFonts w:cs="Arial"/>
          <w:sz w:val="24"/>
          <w:lang w:val="en-US"/>
        </w:rPr>
        <w:t>, 31-36.</w:t>
      </w:r>
    </w:p>
    <w:p w:rsidR="00397613" w:rsidRPr="007D7831" w:rsidRDefault="00397613" w:rsidP="00397613">
      <w:pPr>
        <w:pStyle w:val="Prrafodelista"/>
        <w:ind w:left="426" w:hanging="426"/>
        <w:rPr>
          <w:rFonts w:cs="Arial"/>
          <w:sz w:val="24"/>
          <w:lang w:val="en-US"/>
        </w:rPr>
      </w:pPr>
      <w:proofErr w:type="spellStart"/>
      <w:proofErr w:type="gramStart"/>
      <w:r w:rsidRPr="007D7831">
        <w:rPr>
          <w:rFonts w:cs="Arial"/>
          <w:sz w:val="24"/>
          <w:lang w:val="en-US"/>
        </w:rPr>
        <w:t>Narsian</w:t>
      </w:r>
      <w:proofErr w:type="spellEnd"/>
      <w:r w:rsidRPr="007D7831">
        <w:rPr>
          <w:rFonts w:cs="Arial"/>
          <w:sz w:val="24"/>
          <w:lang w:val="en-US"/>
        </w:rPr>
        <w:t>, V., &amp; Patel, H. H. (2000).</w:t>
      </w:r>
      <w:proofErr w:type="gramEnd"/>
      <w:r w:rsidRPr="007D7831">
        <w:rPr>
          <w:rFonts w:cs="Arial"/>
          <w:sz w:val="24"/>
          <w:lang w:val="en-US"/>
        </w:rPr>
        <w:t xml:space="preserve"> </w:t>
      </w:r>
      <w:proofErr w:type="spellStart"/>
      <w:proofErr w:type="gramStart"/>
      <w:r w:rsidRPr="007D7831">
        <w:rPr>
          <w:rFonts w:cs="Arial"/>
          <w:sz w:val="24"/>
          <w:lang w:val="en-US"/>
        </w:rPr>
        <w:t>Aspergillus</w:t>
      </w:r>
      <w:proofErr w:type="spellEnd"/>
      <w:r w:rsidRPr="007D7831">
        <w:rPr>
          <w:rFonts w:cs="Arial"/>
          <w:sz w:val="24"/>
          <w:lang w:val="en-US"/>
        </w:rPr>
        <w:t xml:space="preserve"> </w:t>
      </w:r>
      <w:proofErr w:type="spellStart"/>
      <w:r w:rsidRPr="007D7831">
        <w:rPr>
          <w:rFonts w:cs="Arial"/>
          <w:sz w:val="24"/>
          <w:lang w:val="en-US"/>
        </w:rPr>
        <w:t>aculeatus</w:t>
      </w:r>
      <w:proofErr w:type="spellEnd"/>
      <w:r w:rsidRPr="007D7831">
        <w:rPr>
          <w:rFonts w:cs="Arial"/>
          <w:sz w:val="24"/>
          <w:lang w:val="en-US"/>
        </w:rPr>
        <w:t xml:space="preserve"> as a rock phosphate </w:t>
      </w:r>
      <w:proofErr w:type="spellStart"/>
      <w:r w:rsidRPr="007D7831">
        <w:rPr>
          <w:rFonts w:cs="Arial"/>
          <w:sz w:val="24"/>
          <w:lang w:val="en-US"/>
        </w:rPr>
        <w:t>solubilizer</w:t>
      </w:r>
      <w:proofErr w:type="spellEnd"/>
      <w:r w:rsidRPr="007D7831">
        <w:rPr>
          <w:rFonts w:cs="Arial"/>
          <w:sz w:val="24"/>
          <w:lang w:val="en-US"/>
        </w:rPr>
        <w:t>.</w:t>
      </w:r>
      <w:proofErr w:type="gramEnd"/>
      <w:r w:rsidRPr="007D7831">
        <w:rPr>
          <w:rFonts w:cs="Arial"/>
          <w:sz w:val="24"/>
          <w:lang w:val="en-US"/>
        </w:rPr>
        <w:t> </w:t>
      </w:r>
      <w:r w:rsidRPr="007D7831">
        <w:rPr>
          <w:rFonts w:cs="Arial"/>
          <w:i/>
          <w:iCs/>
          <w:sz w:val="24"/>
          <w:lang w:val="en-US"/>
        </w:rPr>
        <w:t>Soil Biology and Biochemistry</w:t>
      </w:r>
      <w:r w:rsidRPr="007D7831">
        <w:rPr>
          <w:rFonts w:cs="Arial"/>
          <w:sz w:val="24"/>
          <w:lang w:val="en-US"/>
        </w:rPr>
        <w:t>, </w:t>
      </w:r>
      <w:r w:rsidRPr="007D7831">
        <w:rPr>
          <w:rFonts w:cs="Arial"/>
          <w:i/>
          <w:iCs/>
          <w:sz w:val="24"/>
          <w:lang w:val="en-US"/>
        </w:rPr>
        <w:t>32</w:t>
      </w:r>
      <w:r w:rsidRPr="007D7831">
        <w:rPr>
          <w:rFonts w:cs="Arial"/>
          <w:sz w:val="24"/>
          <w:lang w:val="en-US"/>
        </w:rPr>
        <w:t>(4), 559-565.</w:t>
      </w:r>
    </w:p>
    <w:p w:rsidR="00397613" w:rsidRPr="007D7831" w:rsidRDefault="00397613" w:rsidP="00397613">
      <w:pPr>
        <w:pStyle w:val="Prrafodelista"/>
        <w:ind w:left="426" w:hanging="426"/>
        <w:rPr>
          <w:rFonts w:cs="Arial"/>
          <w:sz w:val="24"/>
          <w:lang w:val="en-US"/>
        </w:rPr>
      </w:pPr>
      <w:proofErr w:type="spellStart"/>
      <w:r w:rsidRPr="007D7831">
        <w:rPr>
          <w:rFonts w:cs="Arial"/>
          <w:sz w:val="24"/>
          <w:lang w:val="en-US"/>
        </w:rPr>
        <w:t>Nahas</w:t>
      </w:r>
      <w:proofErr w:type="spellEnd"/>
      <w:r w:rsidRPr="007D7831">
        <w:rPr>
          <w:rFonts w:cs="Arial"/>
          <w:sz w:val="24"/>
          <w:lang w:val="en-US"/>
        </w:rPr>
        <w:t xml:space="preserve">, E. (1996). Factors determining rock phosphate </w:t>
      </w:r>
      <w:proofErr w:type="spellStart"/>
      <w:r w:rsidRPr="007D7831">
        <w:rPr>
          <w:rFonts w:cs="Arial"/>
          <w:sz w:val="24"/>
          <w:lang w:val="en-US"/>
        </w:rPr>
        <w:t>solubilization</w:t>
      </w:r>
      <w:proofErr w:type="spellEnd"/>
      <w:r w:rsidRPr="007D7831">
        <w:rPr>
          <w:rFonts w:cs="Arial"/>
          <w:sz w:val="24"/>
          <w:lang w:val="en-US"/>
        </w:rPr>
        <w:t xml:space="preserve"> by microorganisms isolated from soil. </w:t>
      </w:r>
      <w:r w:rsidRPr="007D7831">
        <w:rPr>
          <w:rFonts w:cs="Arial"/>
          <w:i/>
          <w:iCs/>
          <w:sz w:val="24"/>
          <w:lang w:val="en-US"/>
        </w:rPr>
        <w:t>World Journal of Microbiology and Biotechnology</w:t>
      </w:r>
      <w:r w:rsidRPr="007D7831">
        <w:rPr>
          <w:rFonts w:cs="Arial"/>
          <w:sz w:val="24"/>
          <w:lang w:val="en-US"/>
        </w:rPr>
        <w:t>, </w:t>
      </w:r>
      <w:r w:rsidRPr="007D7831">
        <w:rPr>
          <w:rFonts w:cs="Arial"/>
          <w:i/>
          <w:iCs/>
          <w:sz w:val="24"/>
          <w:lang w:val="en-US"/>
        </w:rPr>
        <w:t>12</w:t>
      </w:r>
      <w:r w:rsidRPr="007D7831">
        <w:rPr>
          <w:rFonts w:cs="Arial"/>
          <w:sz w:val="24"/>
          <w:lang w:val="en-US"/>
        </w:rPr>
        <w:t>(6), 567-572.</w:t>
      </w:r>
    </w:p>
    <w:p w:rsidR="00397613" w:rsidRPr="00397613" w:rsidRDefault="00397613" w:rsidP="00397613">
      <w:pPr>
        <w:pStyle w:val="Prrafodelista"/>
        <w:ind w:left="426" w:hanging="426"/>
        <w:rPr>
          <w:rFonts w:cs="Arial"/>
          <w:sz w:val="24"/>
          <w:lang w:val="es-ES_tradnl"/>
        </w:rPr>
      </w:pPr>
      <w:proofErr w:type="spellStart"/>
      <w:proofErr w:type="gramStart"/>
      <w:r w:rsidRPr="007D7831">
        <w:rPr>
          <w:rFonts w:cs="Arial"/>
          <w:sz w:val="24"/>
          <w:lang w:val="en-US"/>
        </w:rPr>
        <w:t>Netik</w:t>
      </w:r>
      <w:proofErr w:type="spellEnd"/>
      <w:r w:rsidRPr="007D7831">
        <w:rPr>
          <w:rFonts w:cs="Arial"/>
          <w:sz w:val="24"/>
          <w:lang w:val="en-US"/>
        </w:rPr>
        <w:t xml:space="preserve">, A., Torres, N. V., </w:t>
      </w:r>
      <w:proofErr w:type="spellStart"/>
      <w:r w:rsidRPr="007D7831">
        <w:rPr>
          <w:rFonts w:cs="Arial"/>
          <w:sz w:val="24"/>
          <w:lang w:val="en-US"/>
        </w:rPr>
        <w:t>Riol</w:t>
      </w:r>
      <w:proofErr w:type="spellEnd"/>
      <w:r w:rsidRPr="007D7831">
        <w:rPr>
          <w:rFonts w:cs="Arial"/>
          <w:sz w:val="24"/>
          <w:lang w:val="en-US"/>
        </w:rPr>
        <w:t xml:space="preserve">, J. M., &amp; </w:t>
      </w:r>
      <w:proofErr w:type="spellStart"/>
      <w:r w:rsidRPr="007D7831">
        <w:rPr>
          <w:rFonts w:cs="Arial"/>
          <w:sz w:val="24"/>
          <w:lang w:val="en-US"/>
        </w:rPr>
        <w:t>Kubicek</w:t>
      </w:r>
      <w:proofErr w:type="spellEnd"/>
      <w:r w:rsidRPr="007D7831">
        <w:rPr>
          <w:rFonts w:cs="Arial"/>
          <w:sz w:val="24"/>
          <w:lang w:val="en-US"/>
        </w:rPr>
        <w:t>, C. P. (1997).</w:t>
      </w:r>
      <w:proofErr w:type="gramEnd"/>
      <w:r w:rsidRPr="007D7831">
        <w:rPr>
          <w:rFonts w:cs="Arial"/>
          <w:sz w:val="24"/>
          <w:lang w:val="en-US"/>
        </w:rPr>
        <w:t xml:space="preserve"> Uptake and export of citric acid by </w:t>
      </w:r>
      <w:proofErr w:type="spellStart"/>
      <w:r w:rsidRPr="007D7831">
        <w:rPr>
          <w:rFonts w:cs="Arial"/>
          <w:sz w:val="24"/>
          <w:lang w:val="en-US"/>
        </w:rPr>
        <w:t>Aspergillus</w:t>
      </w:r>
      <w:proofErr w:type="spellEnd"/>
      <w:r w:rsidRPr="007D7831">
        <w:rPr>
          <w:rFonts w:cs="Arial"/>
          <w:sz w:val="24"/>
          <w:lang w:val="en-US"/>
        </w:rPr>
        <w:t xml:space="preserve"> </w:t>
      </w:r>
      <w:proofErr w:type="spellStart"/>
      <w:proofErr w:type="gramStart"/>
      <w:r w:rsidRPr="007D7831">
        <w:rPr>
          <w:rFonts w:cs="Arial"/>
          <w:sz w:val="24"/>
          <w:lang w:val="en-US"/>
        </w:rPr>
        <w:t>niger</w:t>
      </w:r>
      <w:proofErr w:type="spellEnd"/>
      <w:proofErr w:type="gramEnd"/>
      <w:r w:rsidRPr="007D7831">
        <w:rPr>
          <w:rFonts w:cs="Arial"/>
          <w:sz w:val="24"/>
          <w:lang w:val="en-US"/>
        </w:rPr>
        <w:t xml:space="preserve"> is reciprocally regulated by manganese ions. </w:t>
      </w:r>
      <w:proofErr w:type="spellStart"/>
      <w:r w:rsidRPr="00397613">
        <w:rPr>
          <w:rFonts w:cs="Arial"/>
          <w:i/>
          <w:iCs/>
          <w:sz w:val="24"/>
          <w:lang w:val="es-ES_tradnl"/>
        </w:rPr>
        <w:t>Biochimica</w:t>
      </w:r>
      <w:proofErr w:type="spellEnd"/>
      <w:r w:rsidRPr="00397613">
        <w:rPr>
          <w:rFonts w:cs="Arial"/>
          <w:i/>
          <w:iCs/>
          <w:sz w:val="24"/>
          <w:lang w:val="es-ES_tradnl"/>
        </w:rPr>
        <w:t xml:space="preserve"> et </w:t>
      </w:r>
      <w:proofErr w:type="spellStart"/>
      <w:r w:rsidRPr="00397613">
        <w:rPr>
          <w:rFonts w:cs="Arial"/>
          <w:i/>
          <w:iCs/>
          <w:sz w:val="24"/>
          <w:lang w:val="es-ES_tradnl"/>
        </w:rPr>
        <w:t>Biophysica</w:t>
      </w:r>
      <w:proofErr w:type="spellEnd"/>
      <w:r w:rsidRPr="00397613">
        <w:rPr>
          <w:rFonts w:cs="Arial"/>
          <w:i/>
          <w:iCs/>
          <w:sz w:val="24"/>
          <w:lang w:val="es-ES_tradnl"/>
        </w:rPr>
        <w:t xml:space="preserve"> Acta (BBA)-</w:t>
      </w:r>
      <w:proofErr w:type="spellStart"/>
      <w:r w:rsidRPr="00397613">
        <w:rPr>
          <w:rFonts w:cs="Arial"/>
          <w:i/>
          <w:iCs/>
          <w:sz w:val="24"/>
          <w:lang w:val="es-ES_tradnl"/>
        </w:rPr>
        <w:t>Biomembranes</w:t>
      </w:r>
      <w:proofErr w:type="spellEnd"/>
      <w:r w:rsidRPr="00397613">
        <w:rPr>
          <w:rFonts w:cs="Arial"/>
          <w:sz w:val="24"/>
          <w:lang w:val="es-ES_tradnl"/>
        </w:rPr>
        <w:t>, </w:t>
      </w:r>
      <w:r w:rsidRPr="00397613">
        <w:rPr>
          <w:rFonts w:cs="Arial"/>
          <w:i/>
          <w:iCs/>
          <w:sz w:val="24"/>
          <w:lang w:val="es-ES_tradnl"/>
        </w:rPr>
        <w:t>1326</w:t>
      </w:r>
      <w:r w:rsidRPr="00397613">
        <w:rPr>
          <w:rFonts w:cs="Arial"/>
          <w:sz w:val="24"/>
          <w:lang w:val="es-ES_tradnl"/>
        </w:rPr>
        <w:t>(2), 287-294.</w:t>
      </w:r>
    </w:p>
    <w:p w:rsidR="00A33CD5" w:rsidRPr="00D247A3" w:rsidRDefault="00A33CD5" w:rsidP="005836FE">
      <w:pPr>
        <w:pStyle w:val="Prrafodelista"/>
        <w:ind w:left="426" w:hanging="426"/>
        <w:rPr>
          <w:rFonts w:cs="Arial"/>
          <w:sz w:val="24"/>
          <w:lang w:val="en-US"/>
        </w:rPr>
      </w:pPr>
      <w:r w:rsidRPr="00E17255">
        <w:rPr>
          <w:rFonts w:cs="Arial"/>
          <w:sz w:val="24"/>
          <w:lang w:val="en-US"/>
        </w:rPr>
        <w:t>Osorio</w:t>
      </w:r>
      <w:r w:rsidR="00E17255" w:rsidRPr="00E17255">
        <w:rPr>
          <w:rFonts w:cs="Arial"/>
          <w:sz w:val="24"/>
          <w:lang w:val="en-US"/>
        </w:rPr>
        <w:t>,</w:t>
      </w:r>
      <w:r w:rsidR="008E5BE9" w:rsidRPr="00D247A3">
        <w:rPr>
          <w:rFonts w:cs="Arial"/>
          <w:sz w:val="24"/>
          <w:lang w:val="en-US"/>
        </w:rPr>
        <w:t xml:space="preserve"> N.W. </w:t>
      </w:r>
      <w:r w:rsidR="00E17255">
        <w:rPr>
          <w:rFonts w:cs="Arial"/>
          <w:sz w:val="24"/>
          <w:lang w:val="en-US"/>
        </w:rPr>
        <w:t>(</w:t>
      </w:r>
      <w:r w:rsidR="008E5BE9" w:rsidRPr="00D247A3">
        <w:rPr>
          <w:rFonts w:cs="Arial"/>
          <w:sz w:val="24"/>
          <w:lang w:val="en-US"/>
        </w:rPr>
        <w:t>2008</w:t>
      </w:r>
      <w:r w:rsidR="00E17255">
        <w:rPr>
          <w:rFonts w:cs="Arial"/>
          <w:sz w:val="24"/>
          <w:lang w:val="en-US"/>
        </w:rPr>
        <w:t>)</w:t>
      </w:r>
      <w:r w:rsidR="008E5BE9" w:rsidRPr="00D247A3">
        <w:rPr>
          <w:rFonts w:cs="Arial"/>
          <w:sz w:val="24"/>
          <w:lang w:val="en-US"/>
        </w:rPr>
        <w:t xml:space="preserve">. </w:t>
      </w:r>
      <w:proofErr w:type="gramStart"/>
      <w:r w:rsidR="008E5BE9" w:rsidRPr="00D247A3">
        <w:rPr>
          <w:rFonts w:cs="Arial"/>
          <w:sz w:val="24"/>
          <w:lang w:val="en-US"/>
        </w:rPr>
        <w:t xml:space="preserve">Effectiveness of microbial </w:t>
      </w:r>
      <w:proofErr w:type="spellStart"/>
      <w:r w:rsidR="008E5BE9" w:rsidRPr="00D247A3">
        <w:rPr>
          <w:rFonts w:cs="Arial"/>
          <w:sz w:val="24"/>
          <w:lang w:val="en-US"/>
        </w:rPr>
        <w:t>solubilization</w:t>
      </w:r>
      <w:proofErr w:type="spellEnd"/>
      <w:r w:rsidR="008E5BE9" w:rsidRPr="00D247A3">
        <w:rPr>
          <w:rFonts w:cs="Arial"/>
          <w:sz w:val="24"/>
          <w:lang w:val="en-US"/>
        </w:rPr>
        <w:t xml:space="preserve"> of phosphate in enhancing plant phosphate uptake in tropical soils and assessment of the mechanisms of </w:t>
      </w:r>
      <w:proofErr w:type="spellStart"/>
      <w:r w:rsidR="008E5BE9" w:rsidRPr="00D247A3">
        <w:rPr>
          <w:rFonts w:cs="Arial"/>
          <w:sz w:val="24"/>
          <w:lang w:val="en-US"/>
        </w:rPr>
        <w:t>solubilization</w:t>
      </w:r>
      <w:proofErr w:type="spellEnd"/>
      <w:r w:rsidR="008E5BE9" w:rsidRPr="00D247A3">
        <w:rPr>
          <w:rFonts w:cs="Arial"/>
          <w:sz w:val="24"/>
          <w:lang w:val="en-US"/>
        </w:rPr>
        <w:t>.</w:t>
      </w:r>
      <w:proofErr w:type="gramEnd"/>
      <w:r w:rsidR="008E5BE9" w:rsidRPr="00D247A3">
        <w:rPr>
          <w:rFonts w:cs="Arial"/>
          <w:sz w:val="24"/>
          <w:lang w:val="en-US"/>
        </w:rPr>
        <w:t xml:space="preserve"> </w:t>
      </w:r>
      <w:proofErr w:type="gramStart"/>
      <w:r w:rsidR="008E5BE9" w:rsidRPr="00D247A3">
        <w:rPr>
          <w:rFonts w:cs="Arial"/>
          <w:sz w:val="24"/>
          <w:lang w:val="en-US"/>
        </w:rPr>
        <w:t xml:space="preserve">Thesis (Ph.D.) University of Hawaii at </w:t>
      </w:r>
      <w:proofErr w:type="spellStart"/>
      <w:r w:rsidR="008E5BE9" w:rsidRPr="00D247A3">
        <w:rPr>
          <w:rFonts w:cs="Arial"/>
          <w:sz w:val="24"/>
          <w:lang w:val="en-US"/>
        </w:rPr>
        <w:t>Manoa</w:t>
      </w:r>
      <w:proofErr w:type="spellEnd"/>
      <w:r w:rsidR="008E5BE9" w:rsidRPr="00D247A3">
        <w:rPr>
          <w:rFonts w:cs="Arial"/>
          <w:sz w:val="24"/>
          <w:lang w:val="en-US"/>
        </w:rPr>
        <w:t>.</w:t>
      </w:r>
      <w:proofErr w:type="gramEnd"/>
    </w:p>
    <w:p w:rsidR="001D3AFB" w:rsidRPr="00D247A3" w:rsidRDefault="00F65D21" w:rsidP="005836FE">
      <w:pPr>
        <w:pStyle w:val="Prrafodelista"/>
        <w:ind w:left="426" w:hanging="426"/>
        <w:rPr>
          <w:rFonts w:cs="Arial"/>
          <w:sz w:val="24"/>
          <w:lang w:val="en-US"/>
        </w:rPr>
      </w:pPr>
      <w:r w:rsidRPr="007D7831">
        <w:rPr>
          <w:rFonts w:cs="Arial"/>
          <w:sz w:val="24"/>
          <w:lang w:val="es-CO"/>
        </w:rPr>
        <w:t>Osorio</w:t>
      </w:r>
      <w:r w:rsidR="00D36BC0" w:rsidRPr="007D7831">
        <w:rPr>
          <w:rFonts w:cs="Arial"/>
          <w:sz w:val="24"/>
          <w:lang w:val="es-CO"/>
        </w:rPr>
        <w:t>,</w:t>
      </w:r>
      <w:r w:rsidR="001D3AFB" w:rsidRPr="007D7831">
        <w:rPr>
          <w:rFonts w:cs="Arial"/>
          <w:sz w:val="24"/>
          <w:lang w:val="es-CO"/>
        </w:rPr>
        <w:t xml:space="preserve"> N.W.</w:t>
      </w:r>
      <w:r w:rsidRPr="007D7831">
        <w:rPr>
          <w:rFonts w:cs="Arial"/>
          <w:sz w:val="24"/>
          <w:lang w:val="es-CO"/>
        </w:rPr>
        <w:t>,</w:t>
      </w:r>
      <w:r w:rsidR="001D3AFB" w:rsidRPr="007D7831">
        <w:rPr>
          <w:rFonts w:cs="Arial"/>
          <w:sz w:val="24"/>
          <w:lang w:val="es-CO"/>
        </w:rPr>
        <w:t xml:space="preserve"> </w:t>
      </w:r>
      <w:r w:rsidR="00D36BC0" w:rsidRPr="007D7831">
        <w:rPr>
          <w:rFonts w:cs="Arial"/>
          <w:sz w:val="24"/>
          <w:lang w:val="es-CO"/>
        </w:rPr>
        <w:t>&amp; Pérez,</w:t>
      </w:r>
      <w:r w:rsidR="001D3AFB" w:rsidRPr="007D7831">
        <w:rPr>
          <w:rFonts w:cs="Arial"/>
          <w:sz w:val="24"/>
          <w:lang w:val="es-CO"/>
        </w:rPr>
        <w:t xml:space="preserve"> J.C. </w:t>
      </w:r>
      <w:r w:rsidR="00D36BC0" w:rsidRPr="007D7831">
        <w:rPr>
          <w:rFonts w:cs="Arial"/>
          <w:sz w:val="24"/>
          <w:lang w:val="es-CO"/>
        </w:rPr>
        <w:t>(</w:t>
      </w:r>
      <w:r w:rsidR="001D3AFB" w:rsidRPr="007D7831">
        <w:rPr>
          <w:rFonts w:cs="Arial"/>
          <w:sz w:val="24"/>
          <w:lang w:val="es-CO"/>
        </w:rPr>
        <w:t>2000</w:t>
      </w:r>
      <w:r w:rsidR="00D36BC0" w:rsidRPr="007D7831">
        <w:rPr>
          <w:rFonts w:cs="Arial"/>
          <w:sz w:val="24"/>
          <w:lang w:val="es-CO"/>
        </w:rPr>
        <w:t>)</w:t>
      </w:r>
      <w:r w:rsidR="001D3AFB" w:rsidRPr="007D7831">
        <w:rPr>
          <w:rFonts w:cs="Arial"/>
          <w:sz w:val="24"/>
          <w:lang w:val="es-CO"/>
        </w:rPr>
        <w:t xml:space="preserve">. </w:t>
      </w:r>
      <w:proofErr w:type="gramStart"/>
      <w:r w:rsidR="001D3AFB" w:rsidRPr="00D247A3">
        <w:rPr>
          <w:rFonts w:cs="Arial"/>
          <w:sz w:val="24"/>
          <w:lang w:val="en-US"/>
        </w:rPr>
        <w:t xml:space="preserve">Microbial </w:t>
      </w:r>
      <w:proofErr w:type="spellStart"/>
      <w:r w:rsidR="001D3AFB" w:rsidRPr="00D247A3">
        <w:rPr>
          <w:rFonts w:cs="Arial"/>
          <w:sz w:val="24"/>
          <w:lang w:val="en-US"/>
        </w:rPr>
        <w:t>solubilization</w:t>
      </w:r>
      <w:proofErr w:type="spellEnd"/>
      <w:r w:rsidR="001D3AFB" w:rsidRPr="00D247A3">
        <w:rPr>
          <w:rFonts w:cs="Arial"/>
          <w:sz w:val="24"/>
          <w:lang w:val="en-US"/>
        </w:rPr>
        <w:t xml:space="preserve"> of phosphates in soils.</w:t>
      </w:r>
      <w:proofErr w:type="gramEnd"/>
      <w:r w:rsidR="001D3AFB" w:rsidRPr="00D247A3">
        <w:rPr>
          <w:rFonts w:cs="Arial"/>
          <w:sz w:val="24"/>
          <w:lang w:val="en-US"/>
        </w:rPr>
        <w:t xml:space="preserve"> </w:t>
      </w:r>
      <w:r w:rsidR="001D3AFB" w:rsidRPr="00D247A3">
        <w:rPr>
          <w:rFonts w:cs="Arial"/>
          <w:sz w:val="24"/>
          <w:lang w:val="es-CO"/>
        </w:rPr>
        <w:t xml:space="preserve">A </w:t>
      </w:r>
      <w:proofErr w:type="spellStart"/>
      <w:r w:rsidR="001D3AFB" w:rsidRPr="00D247A3">
        <w:rPr>
          <w:rFonts w:cs="Arial"/>
          <w:sz w:val="24"/>
          <w:lang w:val="es-CO"/>
        </w:rPr>
        <w:t>review</w:t>
      </w:r>
      <w:proofErr w:type="spellEnd"/>
      <w:r w:rsidR="001D3AFB" w:rsidRPr="00D247A3">
        <w:rPr>
          <w:rFonts w:cs="Arial"/>
          <w:sz w:val="24"/>
          <w:lang w:val="es-CO"/>
        </w:rPr>
        <w:t xml:space="preserve">. En: Uso de microorganismos en la agricultura, materia orgánica mito o realidad memorias del X Congreso de la Sociedad Colombiana de la Ciencia del Suelo. </w:t>
      </w:r>
      <w:r w:rsidR="00AB583A" w:rsidRPr="00D247A3">
        <w:rPr>
          <w:rFonts w:cs="Arial"/>
          <w:sz w:val="24"/>
          <w:lang w:val="en-US"/>
        </w:rPr>
        <w:t>103-116</w:t>
      </w:r>
      <w:r w:rsidR="001D3AFB" w:rsidRPr="00D247A3">
        <w:rPr>
          <w:rFonts w:cs="Arial"/>
          <w:sz w:val="24"/>
          <w:lang w:val="en-US"/>
        </w:rPr>
        <w:t>.</w:t>
      </w:r>
    </w:p>
    <w:p w:rsidR="00D36BC0" w:rsidRPr="007D7831" w:rsidRDefault="00D36BC0" w:rsidP="00D36BC0">
      <w:pPr>
        <w:pStyle w:val="Prrafodelista"/>
        <w:ind w:left="426" w:hanging="426"/>
        <w:rPr>
          <w:rFonts w:cs="Arial"/>
          <w:sz w:val="24"/>
          <w:lang w:val="en-US"/>
        </w:rPr>
      </w:pPr>
      <w:proofErr w:type="gramStart"/>
      <w:r w:rsidRPr="007D7831">
        <w:rPr>
          <w:rFonts w:cs="Arial"/>
          <w:sz w:val="24"/>
          <w:lang w:val="en-US"/>
        </w:rPr>
        <w:t xml:space="preserve">Osorio, N. W., &amp; </w:t>
      </w:r>
      <w:proofErr w:type="spellStart"/>
      <w:r w:rsidRPr="007D7831">
        <w:rPr>
          <w:rFonts w:cs="Arial"/>
          <w:sz w:val="24"/>
          <w:lang w:val="en-US"/>
        </w:rPr>
        <w:t>Habte</w:t>
      </w:r>
      <w:proofErr w:type="spellEnd"/>
      <w:r w:rsidRPr="007D7831">
        <w:rPr>
          <w:rFonts w:cs="Arial"/>
          <w:sz w:val="24"/>
          <w:lang w:val="en-US"/>
        </w:rPr>
        <w:t>, M. (2001).</w:t>
      </w:r>
      <w:proofErr w:type="gramEnd"/>
      <w:r w:rsidRPr="007D7831">
        <w:rPr>
          <w:rFonts w:cs="Arial"/>
          <w:sz w:val="24"/>
          <w:lang w:val="en-US"/>
        </w:rPr>
        <w:t xml:space="preserve"> </w:t>
      </w:r>
      <w:proofErr w:type="gramStart"/>
      <w:r w:rsidRPr="007D7831">
        <w:rPr>
          <w:rFonts w:cs="Arial"/>
          <w:sz w:val="24"/>
          <w:lang w:val="en-US"/>
        </w:rPr>
        <w:t xml:space="preserve">Synergistic influence of an </w:t>
      </w:r>
      <w:proofErr w:type="spellStart"/>
      <w:r w:rsidRPr="007D7831">
        <w:rPr>
          <w:rFonts w:cs="Arial"/>
          <w:sz w:val="24"/>
          <w:lang w:val="en-US"/>
        </w:rPr>
        <w:t>arbuscular</w:t>
      </w:r>
      <w:proofErr w:type="spellEnd"/>
      <w:r w:rsidRPr="007D7831">
        <w:rPr>
          <w:rFonts w:cs="Arial"/>
          <w:sz w:val="24"/>
          <w:lang w:val="en-US"/>
        </w:rPr>
        <w:t xml:space="preserve"> </w:t>
      </w:r>
      <w:proofErr w:type="spellStart"/>
      <w:r w:rsidRPr="007D7831">
        <w:rPr>
          <w:rFonts w:cs="Arial"/>
          <w:sz w:val="24"/>
          <w:lang w:val="en-US"/>
        </w:rPr>
        <w:t>mycorrhizal</w:t>
      </w:r>
      <w:proofErr w:type="spellEnd"/>
      <w:r w:rsidRPr="007D7831">
        <w:rPr>
          <w:rFonts w:cs="Arial"/>
          <w:sz w:val="24"/>
          <w:lang w:val="en-US"/>
        </w:rPr>
        <w:t xml:space="preserve"> fungus and a P </w:t>
      </w:r>
      <w:proofErr w:type="spellStart"/>
      <w:r w:rsidRPr="007D7831">
        <w:rPr>
          <w:rFonts w:cs="Arial"/>
          <w:sz w:val="24"/>
          <w:lang w:val="en-US"/>
        </w:rPr>
        <w:t>solubilizing</w:t>
      </w:r>
      <w:proofErr w:type="spellEnd"/>
      <w:r w:rsidRPr="007D7831">
        <w:rPr>
          <w:rFonts w:cs="Arial"/>
          <w:sz w:val="24"/>
          <w:lang w:val="en-US"/>
        </w:rPr>
        <w:t xml:space="preserve"> fungus on growth and P uptake of </w:t>
      </w:r>
      <w:proofErr w:type="spellStart"/>
      <w:r w:rsidRPr="007D7831">
        <w:rPr>
          <w:rFonts w:cs="Arial"/>
          <w:sz w:val="24"/>
          <w:lang w:val="en-US"/>
        </w:rPr>
        <w:t>Leucaena</w:t>
      </w:r>
      <w:proofErr w:type="spellEnd"/>
      <w:r w:rsidRPr="007D7831">
        <w:rPr>
          <w:rFonts w:cs="Arial"/>
          <w:sz w:val="24"/>
          <w:lang w:val="en-US"/>
        </w:rPr>
        <w:t xml:space="preserve"> </w:t>
      </w:r>
      <w:proofErr w:type="spellStart"/>
      <w:r w:rsidRPr="007D7831">
        <w:rPr>
          <w:rFonts w:cs="Arial"/>
          <w:sz w:val="24"/>
          <w:lang w:val="en-US"/>
        </w:rPr>
        <w:t>leucocephala</w:t>
      </w:r>
      <w:proofErr w:type="spellEnd"/>
      <w:r w:rsidRPr="007D7831">
        <w:rPr>
          <w:rFonts w:cs="Arial"/>
          <w:sz w:val="24"/>
          <w:lang w:val="en-US"/>
        </w:rPr>
        <w:t xml:space="preserve"> in an </w:t>
      </w:r>
      <w:proofErr w:type="spellStart"/>
      <w:r w:rsidRPr="007D7831">
        <w:rPr>
          <w:rFonts w:cs="Arial"/>
          <w:sz w:val="24"/>
          <w:lang w:val="en-US"/>
        </w:rPr>
        <w:t>Oxisol</w:t>
      </w:r>
      <w:proofErr w:type="spellEnd"/>
      <w:r w:rsidRPr="007D7831">
        <w:rPr>
          <w:rFonts w:cs="Arial"/>
          <w:sz w:val="24"/>
          <w:lang w:val="en-US"/>
        </w:rPr>
        <w:t>.</w:t>
      </w:r>
      <w:proofErr w:type="gramEnd"/>
      <w:r w:rsidRPr="007D7831">
        <w:rPr>
          <w:rFonts w:cs="Arial"/>
          <w:sz w:val="24"/>
          <w:lang w:val="en-US"/>
        </w:rPr>
        <w:t> </w:t>
      </w:r>
      <w:r w:rsidRPr="007D7831">
        <w:rPr>
          <w:rFonts w:cs="Arial"/>
          <w:i/>
          <w:iCs/>
          <w:sz w:val="24"/>
          <w:lang w:val="en-US"/>
        </w:rPr>
        <w:t>Arid Land Research and Management</w:t>
      </w:r>
      <w:r w:rsidRPr="007D7831">
        <w:rPr>
          <w:rFonts w:cs="Arial"/>
          <w:sz w:val="24"/>
          <w:lang w:val="en-US"/>
        </w:rPr>
        <w:t>, </w:t>
      </w:r>
      <w:r w:rsidRPr="007D7831">
        <w:rPr>
          <w:rFonts w:cs="Arial"/>
          <w:i/>
          <w:iCs/>
          <w:sz w:val="24"/>
          <w:lang w:val="en-US"/>
        </w:rPr>
        <w:t>15</w:t>
      </w:r>
      <w:r w:rsidRPr="007D7831">
        <w:rPr>
          <w:rFonts w:cs="Arial"/>
          <w:sz w:val="24"/>
          <w:lang w:val="en-US"/>
        </w:rPr>
        <w:t>(3), 263-274.</w:t>
      </w:r>
    </w:p>
    <w:p w:rsidR="00D36BC0" w:rsidRPr="007D7831" w:rsidRDefault="00D36BC0" w:rsidP="00D36BC0">
      <w:pPr>
        <w:pStyle w:val="Prrafodelista"/>
        <w:ind w:left="426" w:hanging="426"/>
        <w:rPr>
          <w:rFonts w:cs="Arial"/>
          <w:sz w:val="24"/>
          <w:lang w:val="en-US"/>
        </w:rPr>
      </w:pPr>
      <w:proofErr w:type="gramStart"/>
      <w:r w:rsidRPr="007D7831">
        <w:rPr>
          <w:rFonts w:cs="Arial"/>
          <w:sz w:val="24"/>
          <w:lang w:val="en-US"/>
        </w:rPr>
        <w:lastRenderedPageBreak/>
        <w:t xml:space="preserve">Osorio, N. W., &amp; </w:t>
      </w:r>
      <w:proofErr w:type="spellStart"/>
      <w:r w:rsidRPr="007D7831">
        <w:rPr>
          <w:rFonts w:cs="Arial"/>
          <w:sz w:val="24"/>
          <w:lang w:val="en-US"/>
        </w:rPr>
        <w:t>Habte</w:t>
      </w:r>
      <w:proofErr w:type="spellEnd"/>
      <w:r w:rsidRPr="007D7831">
        <w:rPr>
          <w:rFonts w:cs="Arial"/>
          <w:sz w:val="24"/>
          <w:lang w:val="en-US"/>
        </w:rPr>
        <w:t>, M. (2012).</w:t>
      </w:r>
      <w:proofErr w:type="gramEnd"/>
      <w:r w:rsidRPr="007D7831">
        <w:rPr>
          <w:rFonts w:cs="Arial"/>
          <w:sz w:val="24"/>
          <w:lang w:val="en-US"/>
        </w:rPr>
        <w:t xml:space="preserve"> Phosphate desorption from the surface of soil mineral particles by a phosphate-</w:t>
      </w:r>
      <w:proofErr w:type="spellStart"/>
      <w:r w:rsidRPr="007D7831">
        <w:rPr>
          <w:rFonts w:cs="Arial"/>
          <w:sz w:val="24"/>
          <w:lang w:val="en-US"/>
        </w:rPr>
        <w:t>solubilizing</w:t>
      </w:r>
      <w:proofErr w:type="spellEnd"/>
      <w:r w:rsidRPr="007D7831">
        <w:rPr>
          <w:rFonts w:cs="Arial"/>
          <w:sz w:val="24"/>
          <w:lang w:val="en-US"/>
        </w:rPr>
        <w:t xml:space="preserve"> fungus. </w:t>
      </w:r>
      <w:r w:rsidRPr="007D7831">
        <w:rPr>
          <w:rFonts w:cs="Arial"/>
          <w:i/>
          <w:iCs/>
          <w:sz w:val="24"/>
          <w:lang w:val="en-US"/>
        </w:rPr>
        <w:t>Biology and fertility of soils</w:t>
      </w:r>
      <w:r w:rsidRPr="007D7831">
        <w:rPr>
          <w:rFonts w:cs="Arial"/>
          <w:sz w:val="24"/>
          <w:lang w:val="en-US"/>
        </w:rPr>
        <w:t>, </w:t>
      </w:r>
      <w:r w:rsidRPr="007D7831">
        <w:rPr>
          <w:rFonts w:cs="Arial"/>
          <w:i/>
          <w:iCs/>
          <w:sz w:val="24"/>
          <w:lang w:val="en-US"/>
        </w:rPr>
        <w:t>49</w:t>
      </w:r>
      <w:r w:rsidRPr="007D7831">
        <w:rPr>
          <w:rFonts w:cs="Arial"/>
          <w:sz w:val="24"/>
          <w:lang w:val="en-US"/>
        </w:rPr>
        <w:t>(4), 481-486.</w:t>
      </w:r>
    </w:p>
    <w:p w:rsidR="00D36BC0" w:rsidRPr="007D7831" w:rsidRDefault="00D36BC0" w:rsidP="00D36BC0">
      <w:pPr>
        <w:pStyle w:val="Prrafodelista"/>
        <w:ind w:left="426" w:hanging="426"/>
        <w:rPr>
          <w:rFonts w:cs="Arial"/>
          <w:sz w:val="24"/>
          <w:lang w:val="en-US"/>
        </w:rPr>
      </w:pPr>
      <w:proofErr w:type="gramStart"/>
      <w:r w:rsidRPr="007D7831">
        <w:rPr>
          <w:rFonts w:cs="Arial"/>
          <w:sz w:val="24"/>
          <w:lang w:val="en-US"/>
        </w:rPr>
        <w:t xml:space="preserve">Osorio, N. W., &amp; </w:t>
      </w:r>
      <w:proofErr w:type="spellStart"/>
      <w:r w:rsidRPr="007D7831">
        <w:rPr>
          <w:rFonts w:cs="Arial"/>
          <w:sz w:val="24"/>
          <w:lang w:val="en-US"/>
        </w:rPr>
        <w:t>Habte</w:t>
      </w:r>
      <w:proofErr w:type="spellEnd"/>
      <w:r w:rsidRPr="007D7831">
        <w:rPr>
          <w:rFonts w:cs="Arial"/>
          <w:sz w:val="24"/>
          <w:lang w:val="en-US"/>
        </w:rPr>
        <w:t>, M. (2009).</w:t>
      </w:r>
      <w:proofErr w:type="gramEnd"/>
      <w:r w:rsidRPr="007D7831">
        <w:rPr>
          <w:rFonts w:cs="Arial"/>
          <w:sz w:val="24"/>
          <w:lang w:val="en-US"/>
        </w:rPr>
        <w:t xml:space="preserve"> </w:t>
      </w:r>
      <w:proofErr w:type="gramStart"/>
      <w:r w:rsidRPr="007D7831">
        <w:rPr>
          <w:rFonts w:cs="Arial"/>
          <w:sz w:val="24"/>
          <w:lang w:val="en-US"/>
        </w:rPr>
        <w:t xml:space="preserve">Strategies for utilizing </w:t>
      </w:r>
      <w:proofErr w:type="spellStart"/>
      <w:r w:rsidRPr="007D7831">
        <w:rPr>
          <w:rFonts w:cs="Arial"/>
          <w:sz w:val="24"/>
          <w:lang w:val="en-US"/>
        </w:rPr>
        <w:t>arbuscular</w:t>
      </w:r>
      <w:proofErr w:type="spellEnd"/>
      <w:r w:rsidRPr="007D7831">
        <w:rPr>
          <w:rFonts w:cs="Arial"/>
          <w:sz w:val="24"/>
          <w:lang w:val="en-US"/>
        </w:rPr>
        <w:t xml:space="preserve"> </w:t>
      </w:r>
      <w:proofErr w:type="spellStart"/>
      <w:r w:rsidRPr="007D7831">
        <w:rPr>
          <w:rFonts w:cs="Arial"/>
          <w:sz w:val="24"/>
          <w:lang w:val="en-US"/>
        </w:rPr>
        <w:t>mycorrhizal</w:t>
      </w:r>
      <w:proofErr w:type="spellEnd"/>
      <w:r w:rsidRPr="007D7831">
        <w:rPr>
          <w:rFonts w:cs="Arial"/>
          <w:sz w:val="24"/>
          <w:lang w:val="en-US"/>
        </w:rPr>
        <w:t xml:space="preserve"> fungi and phosphate-</w:t>
      </w:r>
      <w:proofErr w:type="spellStart"/>
      <w:r w:rsidRPr="007D7831">
        <w:rPr>
          <w:rFonts w:cs="Arial"/>
          <w:sz w:val="24"/>
          <w:lang w:val="en-US"/>
        </w:rPr>
        <w:t>solubilizing</w:t>
      </w:r>
      <w:proofErr w:type="spellEnd"/>
      <w:r w:rsidRPr="007D7831">
        <w:rPr>
          <w:rFonts w:cs="Arial"/>
          <w:sz w:val="24"/>
          <w:lang w:val="en-US"/>
        </w:rPr>
        <w:t xml:space="preserve"> microorganisms for enhanced phosphate uptake and growth of plants in the soils of the tropics.</w:t>
      </w:r>
      <w:proofErr w:type="gramEnd"/>
      <w:r w:rsidRPr="007D7831">
        <w:rPr>
          <w:rFonts w:cs="Arial"/>
          <w:sz w:val="24"/>
          <w:lang w:val="en-US"/>
        </w:rPr>
        <w:t xml:space="preserve"> </w:t>
      </w:r>
      <w:proofErr w:type="gramStart"/>
      <w:r w:rsidRPr="007D7831">
        <w:rPr>
          <w:rFonts w:cs="Arial"/>
          <w:sz w:val="24"/>
          <w:lang w:val="en-US"/>
        </w:rPr>
        <w:t>In </w:t>
      </w:r>
      <w:r w:rsidRPr="007D7831">
        <w:rPr>
          <w:rFonts w:cs="Arial"/>
          <w:i/>
          <w:iCs/>
          <w:sz w:val="24"/>
          <w:lang w:val="en-US"/>
        </w:rPr>
        <w:t>Microbial Strategies for Crop Improvement</w:t>
      </w:r>
      <w:r w:rsidRPr="007D7831">
        <w:rPr>
          <w:rFonts w:cs="Arial"/>
          <w:sz w:val="24"/>
          <w:lang w:val="en-US"/>
        </w:rPr>
        <w:t> (pp. 325-351).</w:t>
      </w:r>
      <w:proofErr w:type="gramEnd"/>
      <w:r w:rsidRPr="007D7831">
        <w:rPr>
          <w:rFonts w:cs="Arial"/>
          <w:sz w:val="24"/>
          <w:lang w:val="en-US"/>
        </w:rPr>
        <w:t xml:space="preserve"> </w:t>
      </w:r>
      <w:proofErr w:type="gramStart"/>
      <w:r w:rsidRPr="007D7831">
        <w:rPr>
          <w:rFonts w:cs="Arial"/>
          <w:sz w:val="24"/>
          <w:lang w:val="en-US"/>
        </w:rPr>
        <w:t>Springer Berlin Heidelberg.</w:t>
      </w:r>
      <w:proofErr w:type="gramEnd"/>
    </w:p>
    <w:p w:rsidR="00D36BC0" w:rsidRPr="007D7831" w:rsidRDefault="00D36BC0" w:rsidP="00D36BC0">
      <w:pPr>
        <w:pStyle w:val="Prrafodelista"/>
        <w:ind w:left="426" w:hanging="426"/>
        <w:rPr>
          <w:rFonts w:cs="Arial"/>
          <w:sz w:val="24"/>
          <w:lang w:val="en-US"/>
        </w:rPr>
      </w:pPr>
      <w:r w:rsidRPr="00D36BC0">
        <w:rPr>
          <w:rFonts w:cs="Arial"/>
          <w:sz w:val="24"/>
          <w:lang w:val="es-ES_tradnl"/>
        </w:rPr>
        <w:t xml:space="preserve">Osorno, L., &amp; Osorio, N. W. (2014). </w:t>
      </w:r>
      <w:proofErr w:type="gramStart"/>
      <w:r w:rsidRPr="007D7831">
        <w:rPr>
          <w:rFonts w:cs="Arial"/>
          <w:sz w:val="24"/>
          <w:lang w:val="en-US"/>
        </w:rPr>
        <w:t>Effect of carbon and nitrogen source and concentration on rock phosphate dissolution induced by fungi.</w:t>
      </w:r>
      <w:proofErr w:type="gramEnd"/>
      <w:r w:rsidRPr="007D7831">
        <w:rPr>
          <w:rFonts w:cs="Arial"/>
          <w:sz w:val="24"/>
          <w:lang w:val="en-US"/>
        </w:rPr>
        <w:t> </w:t>
      </w:r>
      <w:proofErr w:type="gramStart"/>
      <w:r w:rsidRPr="007D7831">
        <w:rPr>
          <w:rFonts w:cs="Arial"/>
          <w:i/>
          <w:iCs/>
          <w:sz w:val="24"/>
          <w:lang w:val="en-US"/>
        </w:rPr>
        <w:t>Journal of Applied Biotechnology</w:t>
      </w:r>
      <w:r w:rsidRPr="007D7831">
        <w:rPr>
          <w:rFonts w:cs="Arial"/>
          <w:sz w:val="24"/>
          <w:lang w:val="en-US"/>
        </w:rPr>
        <w:t>, </w:t>
      </w:r>
      <w:r w:rsidRPr="007D7831">
        <w:rPr>
          <w:rFonts w:cs="Arial"/>
          <w:i/>
          <w:iCs/>
          <w:sz w:val="24"/>
          <w:lang w:val="en-US"/>
        </w:rPr>
        <w:t>2</w:t>
      </w:r>
      <w:r w:rsidRPr="007D7831">
        <w:rPr>
          <w:rFonts w:cs="Arial"/>
          <w:sz w:val="24"/>
          <w:lang w:val="en-US"/>
        </w:rPr>
        <w:t>(2), 32.</w:t>
      </w:r>
      <w:proofErr w:type="gramEnd"/>
    </w:p>
    <w:p w:rsidR="0046224A" w:rsidRPr="007D7831" w:rsidRDefault="0046224A" w:rsidP="0046224A">
      <w:pPr>
        <w:pStyle w:val="Prrafodelista"/>
        <w:ind w:left="426" w:hanging="426"/>
        <w:rPr>
          <w:rFonts w:cs="Arial"/>
          <w:sz w:val="24"/>
          <w:lang w:val="en-US"/>
        </w:rPr>
      </w:pPr>
      <w:proofErr w:type="spellStart"/>
      <w:proofErr w:type="gramStart"/>
      <w:r w:rsidRPr="007D7831">
        <w:rPr>
          <w:rFonts w:cs="Arial"/>
          <w:sz w:val="24"/>
          <w:lang w:val="en-US"/>
        </w:rPr>
        <w:t>Pramanik</w:t>
      </w:r>
      <w:proofErr w:type="spellEnd"/>
      <w:r w:rsidRPr="007D7831">
        <w:rPr>
          <w:rFonts w:cs="Arial"/>
          <w:sz w:val="24"/>
          <w:lang w:val="en-US"/>
        </w:rPr>
        <w:t xml:space="preserve">, P., Bhattacharya, S., Bhattacharyya, P., &amp; </w:t>
      </w:r>
      <w:proofErr w:type="spellStart"/>
      <w:r w:rsidRPr="007D7831">
        <w:rPr>
          <w:rFonts w:cs="Arial"/>
          <w:sz w:val="24"/>
          <w:lang w:val="en-US"/>
        </w:rPr>
        <w:t>Banik</w:t>
      </w:r>
      <w:proofErr w:type="spellEnd"/>
      <w:r w:rsidRPr="007D7831">
        <w:rPr>
          <w:rFonts w:cs="Arial"/>
          <w:sz w:val="24"/>
          <w:lang w:val="en-US"/>
        </w:rPr>
        <w:t>, P. (2009).</w:t>
      </w:r>
      <w:proofErr w:type="gramEnd"/>
      <w:r w:rsidRPr="007D7831">
        <w:rPr>
          <w:rFonts w:cs="Arial"/>
          <w:sz w:val="24"/>
          <w:lang w:val="en-US"/>
        </w:rPr>
        <w:t xml:space="preserve"> </w:t>
      </w:r>
      <w:proofErr w:type="gramStart"/>
      <w:r w:rsidRPr="007D7831">
        <w:rPr>
          <w:rFonts w:cs="Arial"/>
          <w:sz w:val="24"/>
          <w:lang w:val="en-US"/>
        </w:rPr>
        <w:t xml:space="preserve">Phosphorous </w:t>
      </w:r>
      <w:proofErr w:type="spellStart"/>
      <w:r w:rsidRPr="007D7831">
        <w:rPr>
          <w:rFonts w:cs="Arial"/>
          <w:sz w:val="24"/>
          <w:lang w:val="en-US"/>
        </w:rPr>
        <w:t>solubilization</w:t>
      </w:r>
      <w:proofErr w:type="spellEnd"/>
      <w:r w:rsidRPr="007D7831">
        <w:rPr>
          <w:rFonts w:cs="Arial"/>
          <w:sz w:val="24"/>
          <w:lang w:val="en-US"/>
        </w:rPr>
        <w:t xml:space="preserve"> from rock phosphate in presence of </w:t>
      </w:r>
      <w:proofErr w:type="spellStart"/>
      <w:r w:rsidRPr="007D7831">
        <w:rPr>
          <w:rFonts w:cs="Arial"/>
          <w:sz w:val="24"/>
          <w:lang w:val="en-US"/>
        </w:rPr>
        <w:t>vermicomposts</w:t>
      </w:r>
      <w:proofErr w:type="spellEnd"/>
      <w:r w:rsidRPr="007D7831">
        <w:rPr>
          <w:rFonts w:cs="Arial"/>
          <w:sz w:val="24"/>
          <w:lang w:val="en-US"/>
        </w:rPr>
        <w:t xml:space="preserve"> in </w:t>
      </w:r>
      <w:proofErr w:type="spellStart"/>
      <w:r w:rsidRPr="007D7831">
        <w:rPr>
          <w:rFonts w:cs="Arial"/>
          <w:sz w:val="24"/>
          <w:lang w:val="en-US"/>
        </w:rPr>
        <w:t>Aqualfs</w:t>
      </w:r>
      <w:proofErr w:type="spellEnd"/>
      <w:r w:rsidRPr="007D7831">
        <w:rPr>
          <w:rFonts w:cs="Arial"/>
          <w:sz w:val="24"/>
          <w:lang w:val="en-US"/>
        </w:rPr>
        <w:t>.</w:t>
      </w:r>
      <w:proofErr w:type="gramEnd"/>
      <w:r w:rsidRPr="007D7831">
        <w:rPr>
          <w:rFonts w:cs="Arial"/>
          <w:sz w:val="24"/>
          <w:lang w:val="en-US"/>
        </w:rPr>
        <w:t> </w:t>
      </w:r>
      <w:proofErr w:type="spellStart"/>
      <w:r w:rsidRPr="007D7831">
        <w:rPr>
          <w:rFonts w:cs="Arial"/>
          <w:i/>
          <w:iCs/>
          <w:sz w:val="24"/>
          <w:lang w:val="en-US"/>
        </w:rPr>
        <w:t>Geoderma</w:t>
      </w:r>
      <w:proofErr w:type="spellEnd"/>
      <w:r w:rsidRPr="007D7831">
        <w:rPr>
          <w:rFonts w:cs="Arial"/>
          <w:sz w:val="24"/>
          <w:lang w:val="en-US"/>
        </w:rPr>
        <w:t>, </w:t>
      </w:r>
      <w:r w:rsidRPr="007D7831">
        <w:rPr>
          <w:rFonts w:cs="Arial"/>
          <w:i/>
          <w:iCs/>
          <w:sz w:val="24"/>
          <w:lang w:val="en-US"/>
        </w:rPr>
        <w:t>152</w:t>
      </w:r>
      <w:r w:rsidRPr="007D7831">
        <w:rPr>
          <w:rFonts w:cs="Arial"/>
          <w:sz w:val="24"/>
          <w:lang w:val="en-US"/>
        </w:rPr>
        <w:t>(1), 16-22.</w:t>
      </w:r>
    </w:p>
    <w:p w:rsidR="001D3AFB" w:rsidRPr="0046224A" w:rsidRDefault="0046224A" w:rsidP="0046224A">
      <w:pPr>
        <w:pStyle w:val="Prrafodelista"/>
        <w:ind w:left="426" w:hanging="426"/>
        <w:rPr>
          <w:rFonts w:cs="Arial"/>
          <w:sz w:val="24"/>
          <w:lang w:val="es-ES_tradnl"/>
        </w:rPr>
      </w:pPr>
      <w:r w:rsidRPr="0046224A">
        <w:rPr>
          <w:rFonts w:cs="Arial"/>
          <w:sz w:val="24"/>
          <w:lang w:val="en-US"/>
        </w:rPr>
        <w:t xml:space="preserve"> </w:t>
      </w:r>
      <w:proofErr w:type="spellStart"/>
      <w:proofErr w:type="gramStart"/>
      <w:r w:rsidRPr="007D7831">
        <w:rPr>
          <w:rFonts w:cs="Arial"/>
          <w:sz w:val="24"/>
          <w:lang w:val="en-US"/>
        </w:rPr>
        <w:t>Rajan</w:t>
      </w:r>
      <w:proofErr w:type="spellEnd"/>
      <w:r w:rsidRPr="007D7831">
        <w:rPr>
          <w:rFonts w:cs="Arial"/>
          <w:sz w:val="24"/>
          <w:lang w:val="en-US"/>
        </w:rPr>
        <w:t>, S. S. S., Watkinson, J. H., &amp; Sinclair, A. G. (1996).</w:t>
      </w:r>
      <w:proofErr w:type="gramEnd"/>
      <w:r w:rsidRPr="007D7831">
        <w:rPr>
          <w:rFonts w:cs="Arial"/>
          <w:sz w:val="24"/>
          <w:lang w:val="en-US"/>
        </w:rPr>
        <w:t xml:space="preserve"> Phosphate rocks for direct application to soils. </w:t>
      </w:r>
      <w:proofErr w:type="spellStart"/>
      <w:r w:rsidRPr="0046224A">
        <w:rPr>
          <w:rFonts w:cs="Arial"/>
          <w:i/>
          <w:iCs/>
          <w:sz w:val="24"/>
          <w:lang w:val="es-ES_tradnl"/>
        </w:rPr>
        <w:t>Advances</w:t>
      </w:r>
      <w:proofErr w:type="spellEnd"/>
      <w:r w:rsidRPr="0046224A">
        <w:rPr>
          <w:rFonts w:cs="Arial"/>
          <w:i/>
          <w:iCs/>
          <w:sz w:val="24"/>
          <w:lang w:val="es-ES_tradnl"/>
        </w:rPr>
        <w:t xml:space="preserve"> in </w:t>
      </w:r>
      <w:proofErr w:type="spellStart"/>
      <w:r w:rsidRPr="0046224A">
        <w:rPr>
          <w:rFonts w:cs="Arial"/>
          <w:i/>
          <w:iCs/>
          <w:sz w:val="24"/>
          <w:lang w:val="es-ES_tradnl"/>
        </w:rPr>
        <w:t>agronomy</w:t>
      </w:r>
      <w:proofErr w:type="spellEnd"/>
      <w:r w:rsidRPr="0046224A">
        <w:rPr>
          <w:rFonts w:cs="Arial"/>
          <w:sz w:val="24"/>
          <w:lang w:val="es-ES_tradnl"/>
        </w:rPr>
        <w:t>, </w:t>
      </w:r>
      <w:r w:rsidRPr="0046224A">
        <w:rPr>
          <w:rFonts w:cs="Arial"/>
          <w:i/>
          <w:iCs/>
          <w:sz w:val="24"/>
          <w:lang w:val="es-ES_tradnl"/>
        </w:rPr>
        <w:t>57</w:t>
      </w:r>
      <w:r w:rsidRPr="0046224A">
        <w:rPr>
          <w:rFonts w:cs="Arial"/>
          <w:sz w:val="24"/>
          <w:lang w:val="es-ES_tradnl"/>
        </w:rPr>
        <w:t>, 77-159.</w:t>
      </w:r>
    </w:p>
    <w:p w:rsidR="00623D6C" w:rsidRPr="001C4C05" w:rsidRDefault="00362916" w:rsidP="001C4C05">
      <w:pPr>
        <w:pStyle w:val="Prrafodelista"/>
        <w:ind w:left="426" w:hanging="426"/>
        <w:rPr>
          <w:rFonts w:cs="Arial"/>
          <w:sz w:val="24"/>
          <w:lang w:val="es-ES_tradnl"/>
        </w:rPr>
      </w:pPr>
      <w:r w:rsidRPr="00362916">
        <w:rPr>
          <w:rFonts w:cs="Arial"/>
          <w:sz w:val="24"/>
          <w:lang w:val="es-ES_tradnl"/>
        </w:rPr>
        <w:t>Ramírez, C. A. (2005). </w:t>
      </w:r>
      <w:r w:rsidRPr="00362916">
        <w:rPr>
          <w:rFonts w:cs="Arial"/>
          <w:i/>
          <w:iCs/>
          <w:sz w:val="24"/>
          <w:lang w:val="es-ES_tradnl"/>
        </w:rPr>
        <w:t xml:space="preserve">Aislamiento y evaluación de </w:t>
      </w:r>
      <w:proofErr w:type="spellStart"/>
      <w:r w:rsidRPr="00362916">
        <w:rPr>
          <w:rFonts w:cs="Arial"/>
          <w:i/>
          <w:iCs/>
          <w:sz w:val="24"/>
          <w:lang w:val="es-ES_tradnl"/>
        </w:rPr>
        <w:t>rizobacterias</w:t>
      </w:r>
      <w:proofErr w:type="spellEnd"/>
      <w:r w:rsidRPr="00362916">
        <w:rPr>
          <w:rFonts w:cs="Arial"/>
          <w:i/>
          <w:iCs/>
          <w:sz w:val="24"/>
          <w:lang w:val="es-ES_tradnl"/>
        </w:rPr>
        <w:t xml:space="preserve"> con potencial </w:t>
      </w:r>
      <w:proofErr w:type="spellStart"/>
      <w:r w:rsidRPr="00362916">
        <w:rPr>
          <w:rFonts w:cs="Arial"/>
          <w:i/>
          <w:iCs/>
          <w:sz w:val="24"/>
          <w:lang w:val="es-ES_tradnl"/>
        </w:rPr>
        <w:t>biocontrolador</w:t>
      </w:r>
      <w:proofErr w:type="spellEnd"/>
      <w:r w:rsidRPr="00362916">
        <w:rPr>
          <w:rFonts w:cs="Arial"/>
          <w:i/>
          <w:iCs/>
          <w:sz w:val="24"/>
          <w:lang w:val="es-ES_tradnl"/>
        </w:rPr>
        <w:t xml:space="preserve"> y promotor de crecimiento en plantas en banano</w:t>
      </w:r>
      <w:r w:rsidRPr="00362916">
        <w:rPr>
          <w:rFonts w:cs="Arial"/>
          <w:sz w:val="24"/>
          <w:lang w:val="es-ES_tradnl"/>
        </w:rPr>
        <w:t xml:space="preserve"> (Doctoral </w:t>
      </w:r>
      <w:proofErr w:type="spellStart"/>
      <w:r w:rsidRPr="00362916">
        <w:rPr>
          <w:rFonts w:cs="Arial"/>
          <w:sz w:val="24"/>
          <w:lang w:val="es-ES_tradnl"/>
        </w:rPr>
        <w:t>dissertation</w:t>
      </w:r>
      <w:proofErr w:type="spellEnd"/>
      <w:r w:rsidRPr="00362916">
        <w:rPr>
          <w:rFonts w:cs="Arial"/>
          <w:sz w:val="24"/>
          <w:lang w:val="es-ES_tradnl"/>
        </w:rPr>
        <w:t>, Tesis de Maestría. Universidad Nacional de Colombia, Medellín. 169p).</w:t>
      </w:r>
    </w:p>
    <w:p w:rsidR="001D3AFB" w:rsidRPr="007D7831" w:rsidRDefault="00623D6C" w:rsidP="00362916">
      <w:pPr>
        <w:pStyle w:val="Prrafodelista"/>
        <w:ind w:left="426" w:hanging="426"/>
        <w:rPr>
          <w:rFonts w:cs="Arial"/>
          <w:sz w:val="24"/>
          <w:lang w:val="en-US"/>
        </w:rPr>
      </w:pPr>
      <w:proofErr w:type="spellStart"/>
      <w:r w:rsidRPr="00623D6C">
        <w:rPr>
          <w:rFonts w:cs="Arial"/>
          <w:sz w:val="24"/>
          <w:lang w:val="es-ES_tradnl"/>
        </w:rPr>
        <w:t>Reddy</w:t>
      </w:r>
      <w:proofErr w:type="spellEnd"/>
      <w:r w:rsidRPr="00623D6C">
        <w:rPr>
          <w:rFonts w:cs="Arial"/>
          <w:sz w:val="24"/>
          <w:lang w:val="es-ES_tradnl"/>
        </w:rPr>
        <w:t xml:space="preserve">, M. S., </w:t>
      </w:r>
      <w:proofErr w:type="spellStart"/>
      <w:r w:rsidRPr="00623D6C">
        <w:rPr>
          <w:rFonts w:cs="Arial"/>
          <w:sz w:val="24"/>
          <w:lang w:val="es-ES_tradnl"/>
        </w:rPr>
        <w:t>Kumar</w:t>
      </w:r>
      <w:proofErr w:type="spellEnd"/>
      <w:r w:rsidRPr="00623D6C">
        <w:rPr>
          <w:rFonts w:cs="Arial"/>
          <w:sz w:val="24"/>
          <w:lang w:val="es-ES_tradnl"/>
        </w:rPr>
        <w:t xml:space="preserve">, S., Babita, K., &amp; </w:t>
      </w:r>
      <w:proofErr w:type="spellStart"/>
      <w:r w:rsidRPr="00623D6C">
        <w:rPr>
          <w:rFonts w:cs="Arial"/>
          <w:sz w:val="24"/>
          <w:lang w:val="es-ES_tradnl"/>
        </w:rPr>
        <w:t>Reddy</w:t>
      </w:r>
      <w:proofErr w:type="spellEnd"/>
      <w:r w:rsidRPr="00623D6C">
        <w:rPr>
          <w:rFonts w:cs="Arial"/>
          <w:sz w:val="24"/>
          <w:lang w:val="es-ES_tradnl"/>
        </w:rPr>
        <w:t xml:space="preserve">, M. S. (2002). </w:t>
      </w:r>
      <w:proofErr w:type="spellStart"/>
      <w:r w:rsidRPr="007D7831">
        <w:rPr>
          <w:rFonts w:cs="Arial"/>
          <w:sz w:val="24"/>
          <w:lang w:val="en-US"/>
        </w:rPr>
        <w:t>Biosolubilization</w:t>
      </w:r>
      <w:proofErr w:type="spellEnd"/>
      <w:r w:rsidRPr="007D7831">
        <w:rPr>
          <w:rFonts w:cs="Arial"/>
          <w:sz w:val="24"/>
          <w:lang w:val="en-US"/>
        </w:rPr>
        <w:t xml:space="preserve"> of poorly soluble rock phosphates by </w:t>
      </w:r>
      <w:proofErr w:type="spellStart"/>
      <w:r w:rsidRPr="007D7831">
        <w:rPr>
          <w:rFonts w:cs="Arial"/>
          <w:sz w:val="24"/>
          <w:lang w:val="en-US"/>
        </w:rPr>
        <w:t>Aspergillus</w:t>
      </w:r>
      <w:proofErr w:type="spellEnd"/>
      <w:r w:rsidRPr="007D7831">
        <w:rPr>
          <w:rFonts w:cs="Arial"/>
          <w:sz w:val="24"/>
          <w:lang w:val="en-US"/>
        </w:rPr>
        <w:t xml:space="preserve"> </w:t>
      </w:r>
      <w:proofErr w:type="spellStart"/>
      <w:r w:rsidRPr="007D7831">
        <w:rPr>
          <w:rFonts w:cs="Arial"/>
          <w:sz w:val="24"/>
          <w:lang w:val="en-US"/>
        </w:rPr>
        <w:t>tubingensis</w:t>
      </w:r>
      <w:proofErr w:type="spellEnd"/>
      <w:r w:rsidRPr="007D7831">
        <w:rPr>
          <w:rFonts w:cs="Arial"/>
          <w:sz w:val="24"/>
          <w:lang w:val="en-US"/>
        </w:rPr>
        <w:t xml:space="preserve"> and </w:t>
      </w:r>
      <w:proofErr w:type="spellStart"/>
      <w:r w:rsidRPr="007D7831">
        <w:rPr>
          <w:rFonts w:cs="Arial"/>
          <w:sz w:val="24"/>
          <w:lang w:val="en-US"/>
        </w:rPr>
        <w:t>Aspergillus</w:t>
      </w:r>
      <w:proofErr w:type="spellEnd"/>
      <w:r w:rsidRPr="007D7831">
        <w:rPr>
          <w:rFonts w:cs="Arial"/>
          <w:sz w:val="24"/>
          <w:lang w:val="en-US"/>
        </w:rPr>
        <w:t xml:space="preserve"> </w:t>
      </w:r>
      <w:proofErr w:type="spellStart"/>
      <w:proofErr w:type="gramStart"/>
      <w:r w:rsidRPr="007D7831">
        <w:rPr>
          <w:rFonts w:cs="Arial"/>
          <w:sz w:val="24"/>
          <w:lang w:val="en-US"/>
        </w:rPr>
        <w:t>niger</w:t>
      </w:r>
      <w:proofErr w:type="spellEnd"/>
      <w:proofErr w:type="gramEnd"/>
      <w:r w:rsidRPr="007D7831">
        <w:rPr>
          <w:rFonts w:cs="Arial"/>
          <w:sz w:val="24"/>
          <w:lang w:val="en-US"/>
        </w:rPr>
        <w:t>. </w:t>
      </w:r>
      <w:proofErr w:type="spellStart"/>
      <w:r w:rsidRPr="007D7831">
        <w:rPr>
          <w:rFonts w:cs="Arial"/>
          <w:i/>
          <w:iCs/>
          <w:sz w:val="24"/>
          <w:lang w:val="en-US"/>
        </w:rPr>
        <w:t>Bioresource</w:t>
      </w:r>
      <w:proofErr w:type="spellEnd"/>
      <w:r w:rsidRPr="007D7831">
        <w:rPr>
          <w:rFonts w:cs="Arial"/>
          <w:i/>
          <w:iCs/>
          <w:sz w:val="24"/>
          <w:lang w:val="en-US"/>
        </w:rPr>
        <w:t xml:space="preserve"> Technology</w:t>
      </w:r>
      <w:r w:rsidRPr="007D7831">
        <w:rPr>
          <w:rFonts w:cs="Arial"/>
          <w:sz w:val="24"/>
          <w:lang w:val="en-US"/>
        </w:rPr>
        <w:t>, </w:t>
      </w:r>
      <w:r w:rsidRPr="007D7831">
        <w:rPr>
          <w:rFonts w:cs="Arial"/>
          <w:i/>
          <w:iCs/>
          <w:sz w:val="24"/>
          <w:lang w:val="en-US"/>
        </w:rPr>
        <w:t>84</w:t>
      </w:r>
      <w:r w:rsidRPr="007D7831">
        <w:rPr>
          <w:rFonts w:cs="Arial"/>
          <w:sz w:val="24"/>
          <w:lang w:val="en-US"/>
        </w:rPr>
        <w:t>(2), 187-189.</w:t>
      </w:r>
    </w:p>
    <w:p w:rsidR="001517AE" w:rsidRPr="001517AE" w:rsidRDefault="001517AE" w:rsidP="001517AE">
      <w:pPr>
        <w:pStyle w:val="Prrafodelista"/>
        <w:ind w:left="426" w:hanging="426"/>
        <w:rPr>
          <w:rFonts w:cs="Arial"/>
          <w:sz w:val="24"/>
          <w:lang w:val="es-ES_tradnl"/>
        </w:rPr>
      </w:pPr>
      <w:proofErr w:type="spellStart"/>
      <w:proofErr w:type="gramStart"/>
      <w:r w:rsidRPr="007D7831">
        <w:rPr>
          <w:rFonts w:cs="Arial"/>
          <w:sz w:val="24"/>
          <w:lang w:val="en-US"/>
        </w:rPr>
        <w:t>Relwani</w:t>
      </w:r>
      <w:proofErr w:type="spellEnd"/>
      <w:r w:rsidRPr="007D7831">
        <w:rPr>
          <w:rFonts w:cs="Arial"/>
          <w:sz w:val="24"/>
          <w:lang w:val="en-US"/>
        </w:rPr>
        <w:t>, L., Krishna, P., &amp; Reddy, M. S. (2008).</w:t>
      </w:r>
      <w:proofErr w:type="gramEnd"/>
      <w:r w:rsidRPr="007D7831">
        <w:rPr>
          <w:rFonts w:cs="Arial"/>
          <w:sz w:val="24"/>
          <w:lang w:val="en-US"/>
        </w:rPr>
        <w:t xml:space="preserve"> </w:t>
      </w:r>
      <w:proofErr w:type="gramStart"/>
      <w:r w:rsidRPr="007D7831">
        <w:rPr>
          <w:rFonts w:cs="Arial"/>
          <w:sz w:val="24"/>
          <w:lang w:val="en-US"/>
        </w:rPr>
        <w:t xml:space="preserve">Effect of carbon and nitrogen sources on phosphate </w:t>
      </w:r>
      <w:proofErr w:type="spellStart"/>
      <w:r w:rsidRPr="007D7831">
        <w:rPr>
          <w:rFonts w:cs="Arial"/>
          <w:sz w:val="24"/>
          <w:lang w:val="en-US"/>
        </w:rPr>
        <w:t>solubilization</w:t>
      </w:r>
      <w:proofErr w:type="spellEnd"/>
      <w:r w:rsidRPr="007D7831">
        <w:rPr>
          <w:rFonts w:cs="Arial"/>
          <w:sz w:val="24"/>
          <w:lang w:val="en-US"/>
        </w:rPr>
        <w:t xml:space="preserve"> by a wild-type strain and UV-induced mutants of </w:t>
      </w:r>
      <w:proofErr w:type="spellStart"/>
      <w:r w:rsidRPr="007D7831">
        <w:rPr>
          <w:rFonts w:cs="Arial"/>
          <w:sz w:val="24"/>
          <w:lang w:val="en-US"/>
        </w:rPr>
        <w:t>Aspergillus</w:t>
      </w:r>
      <w:proofErr w:type="spellEnd"/>
      <w:r w:rsidRPr="007D7831">
        <w:rPr>
          <w:rFonts w:cs="Arial"/>
          <w:sz w:val="24"/>
          <w:lang w:val="en-US"/>
        </w:rPr>
        <w:t xml:space="preserve"> </w:t>
      </w:r>
      <w:proofErr w:type="spellStart"/>
      <w:r w:rsidRPr="007D7831">
        <w:rPr>
          <w:rFonts w:cs="Arial"/>
          <w:sz w:val="24"/>
          <w:lang w:val="en-US"/>
        </w:rPr>
        <w:t>tubingensis</w:t>
      </w:r>
      <w:proofErr w:type="spellEnd"/>
      <w:r w:rsidRPr="007D7831">
        <w:rPr>
          <w:rFonts w:cs="Arial"/>
          <w:sz w:val="24"/>
          <w:lang w:val="en-US"/>
        </w:rPr>
        <w:t>.</w:t>
      </w:r>
      <w:proofErr w:type="gramEnd"/>
      <w:r w:rsidRPr="007D7831">
        <w:rPr>
          <w:rFonts w:cs="Arial"/>
          <w:sz w:val="24"/>
          <w:lang w:val="en-US"/>
        </w:rPr>
        <w:t> </w:t>
      </w:r>
      <w:proofErr w:type="spellStart"/>
      <w:r w:rsidRPr="001517AE">
        <w:rPr>
          <w:rFonts w:cs="Arial"/>
          <w:i/>
          <w:iCs/>
          <w:sz w:val="24"/>
          <w:lang w:val="es-ES_tradnl"/>
        </w:rPr>
        <w:t>Current</w:t>
      </w:r>
      <w:proofErr w:type="spellEnd"/>
      <w:r w:rsidRPr="001517AE">
        <w:rPr>
          <w:rFonts w:cs="Arial"/>
          <w:i/>
          <w:iCs/>
          <w:sz w:val="24"/>
          <w:lang w:val="es-ES_tradnl"/>
        </w:rPr>
        <w:t xml:space="preserve"> </w:t>
      </w:r>
      <w:proofErr w:type="spellStart"/>
      <w:r w:rsidRPr="001517AE">
        <w:rPr>
          <w:rFonts w:cs="Arial"/>
          <w:i/>
          <w:iCs/>
          <w:sz w:val="24"/>
          <w:lang w:val="es-ES_tradnl"/>
        </w:rPr>
        <w:t>microbiology</w:t>
      </w:r>
      <w:proofErr w:type="spellEnd"/>
      <w:r w:rsidRPr="001517AE">
        <w:rPr>
          <w:rFonts w:cs="Arial"/>
          <w:sz w:val="24"/>
          <w:lang w:val="es-ES_tradnl"/>
        </w:rPr>
        <w:t>, </w:t>
      </w:r>
      <w:r w:rsidRPr="001517AE">
        <w:rPr>
          <w:rFonts w:cs="Arial"/>
          <w:i/>
          <w:iCs/>
          <w:sz w:val="24"/>
          <w:lang w:val="es-ES_tradnl"/>
        </w:rPr>
        <w:t>57</w:t>
      </w:r>
      <w:r w:rsidRPr="001517AE">
        <w:rPr>
          <w:rFonts w:cs="Arial"/>
          <w:sz w:val="24"/>
          <w:lang w:val="es-ES_tradnl"/>
        </w:rPr>
        <w:t>(5), 401-406.</w:t>
      </w:r>
    </w:p>
    <w:p w:rsidR="001517AE" w:rsidRPr="001517AE" w:rsidRDefault="001517AE" w:rsidP="001517AE">
      <w:pPr>
        <w:pStyle w:val="Prrafodelista"/>
        <w:ind w:left="426" w:hanging="426"/>
        <w:rPr>
          <w:rFonts w:cs="Arial"/>
          <w:sz w:val="24"/>
          <w:lang w:val="es-ES_tradnl"/>
        </w:rPr>
      </w:pPr>
      <w:r w:rsidRPr="001517AE">
        <w:rPr>
          <w:rFonts w:cs="Arial"/>
          <w:sz w:val="24"/>
          <w:lang w:val="es-ES_tradnl"/>
        </w:rPr>
        <w:t>Restrepo-Franco, G. M., Marulanda-Moreno, S., de la Fe-Pérez, Y., Díaz-de la Osa, A., Lucia-</w:t>
      </w:r>
      <w:proofErr w:type="spellStart"/>
      <w:r w:rsidRPr="001517AE">
        <w:rPr>
          <w:rFonts w:cs="Arial"/>
          <w:sz w:val="24"/>
          <w:lang w:val="es-ES_tradnl"/>
        </w:rPr>
        <w:t>Baldani</w:t>
      </w:r>
      <w:proofErr w:type="spellEnd"/>
      <w:r w:rsidRPr="001517AE">
        <w:rPr>
          <w:rFonts w:cs="Arial"/>
          <w:sz w:val="24"/>
          <w:lang w:val="es-ES_tradnl"/>
        </w:rPr>
        <w:t xml:space="preserve">, V., &amp; Hernández-Rodríguez, A. (2015). Bacterias </w:t>
      </w:r>
      <w:proofErr w:type="spellStart"/>
      <w:r w:rsidRPr="001517AE">
        <w:rPr>
          <w:rFonts w:cs="Arial"/>
          <w:sz w:val="24"/>
          <w:lang w:val="es-ES_tradnl"/>
        </w:rPr>
        <w:t>solubilizadoras</w:t>
      </w:r>
      <w:proofErr w:type="spellEnd"/>
      <w:r w:rsidRPr="001517AE">
        <w:rPr>
          <w:rFonts w:cs="Arial"/>
          <w:sz w:val="24"/>
          <w:lang w:val="es-ES_tradnl"/>
        </w:rPr>
        <w:t xml:space="preserve"> de fosfato y sus potencialidades de uso en la promoción del crecimiento de cultivos de importancia económica. </w:t>
      </w:r>
      <w:r w:rsidRPr="001517AE">
        <w:rPr>
          <w:rFonts w:cs="Arial"/>
          <w:i/>
          <w:iCs/>
          <w:sz w:val="24"/>
          <w:lang w:val="es-ES_tradnl"/>
        </w:rPr>
        <w:t xml:space="preserve">Revista </w:t>
      </w:r>
      <w:proofErr w:type="spellStart"/>
      <w:r w:rsidRPr="001517AE">
        <w:rPr>
          <w:rFonts w:cs="Arial"/>
          <w:i/>
          <w:iCs/>
          <w:sz w:val="24"/>
          <w:lang w:val="es-ES_tradnl"/>
        </w:rPr>
        <w:t>Cenic</w:t>
      </w:r>
      <w:proofErr w:type="spellEnd"/>
      <w:r w:rsidRPr="001517AE">
        <w:rPr>
          <w:rFonts w:cs="Arial"/>
          <w:i/>
          <w:iCs/>
          <w:sz w:val="24"/>
          <w:lang w:val="es-ES_tradnl"/>
        </w:rPr>
        <w:t xml:space="preserve"> Ciencias Biológicas</w:t>
      </w:r>
      <w:r w:rsidRPr="001517AE">
        <w:rPr>
          <w:rFonts w:cs="Arial"/>
          <w:sz w:val="24"/>
          <w:lang w:val="es-ES_tradnl"/>
        </w:rPr>
        <w:t>, </w:t>
      </w:r>
      <w:r w:rsidRPr="001517AE">
        <w:rPr>
          <w:rFonts w:cs="Arial"/>
          <w:i/>
          <w:iCs/>
          <w:sz w:val="24"/>
          <w:lang w:val="es-ES_tradnl"/>
        </w:rPr>
        <w:t>46</w:t>
      </w:r>
      <w:r w:rsidRPr="001517AE">
        <w:rPr>
          <w:rFonts w:cs="Arial"/>
          <w:sz w:val="24"/>
          <w:lang w:val="es-ES_tradnl"/>
        </w:rPr>
        <w:t>(1), 63-76.</w:t>
      </w:r>
    </w:p>
    <w:p w:rsidR="001C4C05" w:rsidRPr="007D7831" w:rsidRDefault="001C4C05" w:rsidP="001C4C05">
      <w:pPr>
        <w:pStyle w:val="Prrafodelista"/>
        <w:ind w:left="426" w:hanging="426"/>
        <w:rPr>
          <w:rFonts w:cs="Arial"/>
          <w:sz w:val="24"/>
          <w:lang w:val="en-US"/>
        </w:rPr>
      </w:pPr>
      <w:r w:rsidRPr="001C4C05">
        <w:rPr>
          <w:rFonts w:cs="Arial"/>
          <w:sz w:val="24"/>
          <w:lang w:val="es-ES_tradnl"/>
        </w:rPr>
        <w:lastRenderedPageBreak/>
        <w:t xml:space="preserve">Reyes, I., </w:t>
      </w:r>
      <w:proofErr w:type="spellStart"/>
      <w:r w:rsidRPr="001C4C05">
        <w:rPr>
          <w:rFonts w:cs="Arial"/>
          <w:sz w:val="24"/>
          <w:lang w:val="es-ES_tradnl"/>
        </w:rPr>
        <w:t>Baziramakenga</w:t>
      </w:r>
      <w:proofErr w:type="spellEnd"/>
      <w:r w:rsidRPr="001C4C05">
        <w:rPr>
          <w:rFonts w:cs="Arial"/>
          <w:sz w:val="24"/>
          <w:lang w:val="es-ES_tradnl"/>
        </w:rPr>
        <w:t xml:space="preserve">, R., </w:t>
      </w:r>
      <w:proofErr w:type="spellStart"/>
      <w:r w:rsidRPr="001C4C05">
        <w:rPr>
          <w:rFonts w:cs="Arial"/>
          <w:sz w:val="24"/>
          <w:lang w:val="es-ES_tradnl"/>
        </w:rPr>
        <w:t>Bernier</w:t>
      </w:r>
      <w:proofErr w:type="spellEnd"/>
      <w:r w:rsidRPr="001C4C05">
        <w:rPr>
          <w:rFonts w:cs="Arial"/>
          <w:sz w:val="24"/>
          <w:lang w:val="es-ES_tradnl"/>
        </w:rPr>
        <w:t xml:space="preserve">, L., &amp; </w:t>
      </w:r>
      <w:proofErr w:type="spellStart"/>
      <w:r w:rsidRPr="001C4C05">
        <w:rPr>
          <w:rFonts w:cs="Arial"/>
          <w:sz w:val="24"/>
          <w:lang w:val="es-ES_tradnl"/>
        </w:rPr>
        <w:t>Antoun</w:t>
      </w:r>
      <w:proofErr w:type="spellEnd"/>
      <w:r w:rsidRPr="001C4C05">
        <w:rPr>
          <w:rFonts w:cs="Arial"/>
          <w:sz w:val="24"/>
          <w:lang w:val="es-ES_tradnl"/>
        </w:rPr>
        <w:t xml:space="preserve">, H. (2001). </w:t>
      </w:r>
      <w:proofErr w:type="spellStart"/>
      <w:proofErr w:type="gramStart"/>
      <w:r w:rsidRPr="007D7831">
        <w:rPr>
          <w:rFonts w:cs="Arial"/>
          <w:sz w:val="24"/>
          <w:lang w:val="en-US"/>
        </w:rPr>
        <w:t>Solubilization</w:t>
      </w:r>
      <w:proofErr w:type="spellEnd"/>
      <w:r w:rsidRPr="007D7831">
        <w:rPr>
          <w:rFonts w:cs="Arial"/>
          <w:sz w:val="24"/>
          <w:lang w:val="en-US"/>
        </w:rPr>
        <w:t xml:space="preserve"> of phosphate rocks and minerals by a wild-type strain and two UV-induced mutants of </w:t>
      </w:r>
      <w:proofErr w:type="spellStart"/>
      <w:r w:rsidRPr="007D7831">
        <w:rPr>
          <w:rFonts w:cs="Arial"/>
          <w:sz w:val="24"/>
          <w:lang w:val="en-US"/>
        </w:rPr>
        <w:t>Penicillium</w:t>
      </w:r>
      <w:proofErr w:type="spellEnd"/>
      <w:r w:rsidRPr="007D7831">
        <w:rPr>
          <w:rFonts w:cs="Arial"/>
          <w:sz w:val="24"/>
          <w:lang w:val="en-US"/>
        </w:rPr>
        <w:t xml:space="preserve"> </w:t>
      </w:r>
      <w:proofErr w:type="spellStart"/>
      <w:r w:rsidRPr="007D7831">
        <w:rPr>
          <w:rFonts w:cs="Arial"/>
          <w:sz w:val="24"/>
          <w:lang w:val="en-US"/>
        </w:rPr>
        <w:t>rugulosum</w:t>
      </w:r>
      <w:proofErr w:type="spellEnd"/>
      <w:r w:rsidRPr="007D7831">
        <w:rPr>
          <w:rFonts w:cs="Arial"/>
          <w:sz w:val="24"/>
          <w:lang w:val="en-US"/>
        </w:rPr>
        <w:t>.</w:t>
      </w:r>
      <w:proofErr w:type="gramEnd"/>
      <w:r w:rsidRPr="007D7831">
        <w:rPr>
          <w:rFonts w:cs="Arial"/>
          <w:sz w:val="24"/>
          <w:lang w:val="en-US"/>
        </w:rPr>
        <w:t> </w:t>
      </w:r>
      <w:r w:rsidRPr="007D7831">
        <w:rPr>
          <w:rFonts w:cs="Arial"/>
          <w:i/>
          <w:iCs/>
          <w:sz w:val="24"/>
          <w:lang w:val="en-US"/>
        </w:rPr>
        <w:t>Soil Biology and Biochemistry</w:t>
      </w:r>
      <w:r w:rsidRPr="007D7831">
        <w:rPr>
          <w:rFonts w:cs="Arial"/>
          <w:sz w:val="24"/>
          <w:lang w:val="en-US"/>
        </w:rPr>
        <w:t>, </w:t>
      </w:r>
      <w:r w:rsidRPr="007D7831">
        <w:rPr>
          <w:rFonts w:cs="Arial"/>
          <w:i/>
          <w:iCs/>
          <w:sz w:val="24"/>
          <w:lang w:val="en-US"/>
        </w:rPr>
        <w:t>33</w:t>
      </w:r>
      <w:r w:rsidRPr="007D7831">
        <w:rPr>
          <w:rFonts w:cs="Arial"/>
          <w:sz w:val="24"/>
          <w:lang w:val="en-US"/>
        </w:rPr>
        <w:t>(12), 1741-1747.</w:t>
      </w:r>
    </w:p>
    <w:p w:rsidR="001C4C05" w:rsidRPr="007D7831" w:rsidRDefault="001C4C05" w:rsidP="001C4C05">
      <w:pPr>
        <w:pStyle w:val="Prrafodelista"/>
        <w:ind w:left="426" w:hanging="426"/>
        <w:rPr>
          <w:rFonts w:cs="Arial"/>
          <w:sz w:val="24"/>
          <w:lang w:val="en-US"/>
        </w:rPr>
      </w:pPr>
      <w:proofErr w:type="spellStart"/>
      <w:proofErr w:type="gramStart"/>
      <w:r w:rsidRPr="007D7831">
        <w:rPr>
          <w:rFonts w:cs="Arial"/>
          <w:sz w:val="24"/>
          <w:lang w:val="en-US"/>
        </w:rPr>
        <w:t>Sahu</w:t>
      </w:r>
      <w:proofErr w:type="spellEnd"/>
      <w:r w:rsidRPr="007D7831">
        <w:rPr>
          <w:rFonts w:cs="Arial"/>
          <w:sz w:val="24"/>
          <w:lang w:val="en-US"/>
        </w:rPr>
        <w:t>, S. N., &amp; Jana, B. B. (2000).</w:t>
      </w:r>
      <w:proofErr w:type="gramEnd"/>
      <w:r w:rsidRPr="007D7831">
        <w:rPr>
          <w:rFonts w:cs="Arial"/>
          <w:sz w:val="24"/>
          <w:lang w:val="en-US"/>
        </w:rPr>
        <w:t xml:space="preserve"> Enhancement of the fertilizer value of rock phosphate engineered through phosphate-</w:t>
      </w:r>
      <w:proofErr w:type="spellStart"/>
      <w:r w:rsidRPr="007D7831">
        <w:rPr>
          <w:rFonts w:cs="Arial"/>
          <w:sz w:val="24"/>
          <w:lang w:val="en-US"/>
        </w:rPr>
        <w:t>solubilizing</w:t>
      </w:r>
      <w:proofErr w:type="spellEnd"/>
      <w:r w:rsidRPr="007D7831">
        <w:rPr>
          <w:rFonts w:cs="Arial"/>
          <w:sz w:val="24"/>
          <w:lang w:val="en-US"/>
        </w:rPr>
        <w:t xml:space="preserve"> bacteria. </w:t>
      </w:r>
      <w:r w:rsidRPr="007D7831">
        <w:rPr>
          <w:rFonts w:cs="Arial"/>
          <w:i/>
          <w:iCs/>
          <w:sz w:val="24"/>
          <w:lang w:val="en-US"/>
        </w:rPr>
        <w:t>Ecological Engineering</w:t>
      </w:r>
      <w:r w:rsidRPr="007D7831">
        <w:rPr>
          <w:rFonts w:cs="Arial"/>
          <w:sz w:val="24"/>
          <w:lang w:val="en-US"/>
        </w:rPr>
        <w:t>, </w:t>
      </w:r>
      <w:r w:rsidRPr="007D7831">
        <w:rPr>
          <w:rFonts w:cs="Arial"/>
          <w:i/>
          <w:iCs/>
          <w:sz w:val="24"/>
          <w:lang w:val="en-US"/>
        </w:rPr>
        <w:t>15</w:t>
      </w:r>
      <w:r w:rsidRPr="007D7831">
        <w:rPr>
          <w:rFonts w:cs="Arial"/>
          <w:sz w:val="24"/>
          <w:lang w:val="en-US"/>
        </w:rPr>
        <w:t>(1), 27-39.</w:t>
      </w:r>
    </w:p>
    <w:p w:rsidR="001D3AFB" w:rsidRPr="007D7831" w:rsidRDefault="001C4C05" w:rsidP="001C4C05">
      <w:pPr>
        <w:pStyle w:val="Prrafodelista"/>
        <w:ind w:left="426" w:hanging="426"/>
        <w:rPr>
          <w:rFonts w:cs="Arial"/>
          <w:sz w:val="24"/>
          <w:lang w:val="en-US"/>
        </w:rPr>
      </w:pPr>
      <w:r w:rsidRPr="001C4C05">
        <w:rPr>
          <w:rFonts w:cs="Arial"/>
          <w:sz w:val="24"/>
          <w:lang w:val="en-US"/>
        </w:rPr>
        <w:t xml:space="preserve"> </w:t>
      </w:r>
      <w:r w:rsidRPr="007D7831">
        <w:rPr>
          <w:rFonts w:cs="Arial"/>
          <w:sz w:val="24"/>
          <w:lang w:val="en-US"/>
        </w:rPr>
        <w:t xml:space="preserve">Schneider, K. D., Van </w:t>
      </w:r>
      <w:proofErr w:type="spellStart"/>
      <w:r w:rsidRPr="007D7831">
        <w:rPr>
          <w:rFonts w:cs="Arial"/>
          <w:sz w:val="24"/>
          <w:lang w:val="en-US"/>
        </w:rPr>
        <w:t>Straaten</w:t>
      </w:r>
      <w:proofErr w:type="spellEnd"/>
      <w:r w:rsidRPr="007D7831">
        <w:rPr>
          <w:rFonts w:cs="Arial"/>
          <w:sz w:val="24"/>
          <w:lang w:val="en-US"/>
        </w:rPr>
        <w:t xml:space="preserve">, P., </w:t>
      </w:r>
      <w:proofErr w:type="spellStart"/>
      <w:r w:rsidRPr="007D7831">
        <w:rPr>
          <w:rFonts w:cs="Arial"/>
          <w:sz w:val="24"/>
          <w:lang w:val="en-US"/>
        </w:rPr>
        <w:t>Orduña</w:t>
      </w:r>
      <w:proofErr w:type="spellEnd"/>
      <w:r w:rsidRPr="007D7831">
        <w:rPr>
          <w:rFonts w:cs="Arial"/>
          <w:sz w:val="24"/>
          <w:lang w:val="en-US"/>
        </w:rPr>
        <w:t xml:space="preserve">, D., Mira, R., </w:t>
      </w:r>
      <w:proofErr w:type="spellStart"/>
      <w:r w:rsidRPr="007D7831">
        <w:rPr>
          <w:rFonts w:cs="Arial"/>
          <w:sz w:val="24"/>
          <w:lang w:val="en-US"/>
        </w:rPr>
        <w:t>Glasauer</w:t>
      </w:r>
      <w:proofErr w:type="spellEnd"/>
      <w:r w:rsidRPr="007D7831">
        <w:rPr>
          <w:rFonts w:cs="Arial"/>
          <w:sz w:val="24"/>
          <w:lang w:val="en-US"/>
        </w:rPr>
        <w:t xml:space="preserve">, S., </w:t>
      </w:r>
      <w:proofErr w:type="spellStart"/>
      <w:r w:rsidRPr="007D7831">
        <w:rPr>
          <w:rFonts w:cs="Arial"/>
          <w:sz w:val="24"/>
          <w:lang w:val="en-US"/>
        </w:rPr>
        <w:t>Trevors</w:t>
      </w:r>
      <w:proofErr w:type="spellEnd"/>
      <w:r w:rsidRPr="007D7831">
        <w:rPr>
          <w:rFonts w:cs="Arial"/>
          <w:sz w:val="24"/>
          <w:lang w:val="en-US"/>
        </w:rPr>
        <w:t>, J</w:t>
      </w:r>
      <w:proofErr w:type="gramStart"/>
      <w:r w:rsidRPr="007D7831">
        <w:rPr>
          <w:rFonts w:cs="Arial"/>
          <w:sz w:val="24"/>
          <w:lang w:val="en-US"/>
        </w:rPr>
        <w:t>., ...</w:t>
      </w:r>
      <w:proofErr w:type="gramEnd"/>
      <w:r w:rsidRPr="007D7831">
        <w:rPr>
          <w:rFonts w:cs="Arial"/>
          <w:sz w:val="24"/>
          <w:lang w:val="en-US"/>
        </w:rPr>
        <w:t xml:space="preserve"> &amp; Smith, P. S. (2010). Comparing phosphorus mobilization strategies using </w:t>
      </w:r>
      <w:proofErr w:type="spellStart"/>
      <w:r w:rsidRPr="007D7831">
        <w:rPr>
          <w:rFonts w:cs="Arial"/>
          <w:sz w:val="24"/>
          <w:lang w:val="en-US"/>
        </w:rPr>
        <w:t>Aspergillus</w:t>
      </w:r>
      <w:proofErr w:type="spellEnd"/>
      <w:r w:rsidRPr="007D7831">
        <w:rPr>
          <w:rFonts w:cs="Arial"/>
          <w:sz w:val="24"/>
          <w:lang w:val="en-US"/>
        </w:rPr>
        <w:t xml:space="preserve"> </w:t>
      </w:r>
      <w:proofErr w:type="spellStart"/>
      <w:proofErr w:type="gramStart"/>
      <w:r w:rsidRPr="007D7831">
        <w:rPr>
          <w:rFonts w:cs="Arial"/>
          <w:sz w:val="24"/>
          <w:lang w:val="en-US"/>
        </w:rPr>
        <w:t>niger</w:t>
      </w:r>
      <w:proofErr w:type="spellEnd"/>
      <w:proofErr w:type="gramEnd"/>
      <w:r w:rsidRPr="007D7831">
        <w:rPr>
          <w:rFonts w:cs="Arial"/>
          <w:sz w:val="24"/>
          <w:lang w:val="en-US"/>
        </w:rPr>
        <w:t xml:space="preserve"> for the mineral dissolution of three phosphate rocks. </w:t>
      </w:r>
      <w:r w:rsidRPr="007D7831">
        <w:rPr>
          <w:rFonts w:cs="Arial"/>
          <w:i/>
          <w:iCs/>
          <w:sz w:val="24"/>
          <w:lang w:val="en-US"/>
        </w:rPr>
        <w:t>Journal of applied microbiology</w:t>
      </w:r>
      <w:r w:rsidRPr="007D7831">
        <w:rPr>
          <w:rFonts w:cs="Arial"/>
          <w:sz w:val="24"/>
          <w:lang w:val="en-US"/>
        </w:rPr>
        <w:t>, </w:t>
      </w:r>
      <w:r w:rsidRPr="007D7831">
        <w:rPr>
          <w:rFonts w:cs="Arial"/>
          <w:i/>
          <w:iCs/>
          <w:sz w:val="24"/>
          <w:lang w:val="en-US"/>
        </w:rPr>
        <w:t>108</w:t>
      </w:r>
      <w:r w:rsidRPr="007D7831">
        <w:rPr>
          <w:rFonts w:cs="Arial"/>
          <w:sz w:val="24"/>
          <w:lang w:val="en-US"/>
        </w:rPr>
        <w:t>(1), 366-374.</w:t>
      </w:r>
    </w:p>
    <w:p w:rsidR="001C4C05" w:rsidRPr="007D7831" w:rsidRDefault="001C4C05" w:rsidP="001C4C05">
      <w:pPr>
        <w:pStyle w:val="Prrafodelista"/>
        <w:ind w:left="426" w:hanging="426"/>
        <w:rPr>
          <w:rFonts w:cs="Arial"/>
          <w:sz w:val="24"/>
          <w:lang w:val="en-US"/>
        </w:rPr>
      </w:pPr>
      <w:proofErr w:type="spellStart"/>
      <w:proofErr w:type="gramStart"/>
      <w:r w:rsidRPr="007D7831">
        <w:rPr>
          <w:rFonts w:cs="Arial"/>
          <w:sz w:val="24"/>
          <w:lang w:val="en-US"/>
        </w:rPr>
        <w:t>Scervino</w:t>
      </w:r>
      <w:proofErr w:type="spellEnd"/>
      <w:r w:rsidRPr="007D7831">
        <w:rPr>
          <w:rFonts w:cs="Arial"/>
          <w:sz w:val="24"/>
          <w:lang w:val="en-US"/>
        </w:rPr>
        <w:t xml:space="preserve">, J. M., Mesa, M. P., Della Mónica, I., </w:t>
      </w:r>
      <w:proofErr w:type="spellStart"/>
      <w:r w:rsidRPr="007D7831">
        <w:rPr>
          <w:rFonts w:cs="Arial"/>
          <w:sz w:val="24"/>
          <w:lang w:val="en-US"/>
        </w:rPr>
        <w:t>Recchi</w:t>
      </w:r>
      <w:proofErr w:type="spellEnd"/>
      <w:r w:rsidRPr="007D7831">
        <w:rPr>
          <w:rFonts w:cs="Arial"/>
          <w:sz w:val="24"/>
          <w:lang w:val="en-US"/>
        </w:rPr>
        <w:t xml:space="preserve">, M., Moreno, N. S., &amp; </w:t>
      </w:r>
      <w:proofErr w:type="spellStart"/>
      <w:r w:rsidRPr="007D7831">
        <w:rPr>
          <w:rFonts w:cs="Arial"/>
          <w:sz w:val="24"/>
          <w:lang w:val="en-US"/>
        </w:rPr>
        <w:t>Godeas</w:t>
      </w:r>
      <w:proofErr w:type="spellEnd"/>
      <w:r w:rsidRPr="007D7831">
        <w:rPr>
          <w:rFonts w:cs="Arial"/>
          <w:sz w:val="24"/>
          <w:lang w:val="en-US"/>
        </w:rPr>
        <w:t>, A. (2010).</w:t>
      </w:r>
      <w:proofErr w:type="gramEnd"/>
      <w:r w:rsidRPr="007D7831">
        <w:rPr>
          <w:rFonts w:cs="Arial"/>
          <w:sz w:val="24"/>
          <w:lang w:val="en-US"/>
        </w:rPr>
        <w:t xml:space="preserve"> Soil fungal isolates produce different organic acid patterns involved in phosphate salts </w:t>
      </w:r>
      <w:proofErr w:type="spellStart"/>
      <w:r w:rsidRPr="007D7831">
        <w:rPr>
          <w:rFonts w:cs="Arial"/>
          <w:sz w:val="24"/>
          <w:lang w:val="en-US"/>
        </w:rPr>
        <w:t>solubilization</w:t>
      </w:r>
      <w:proofErr w:type="spellEnd"/>
      <w:r w:rsidRPr="007D7831">
        <w:rPr>
          <w:rFonts w:cs="Arial"/>
          <w:sz w:val="24"/>
          <w:lang w:val="en-US"/>
        </w:rPr>
        <w:t>. </w:t>
      </w:r>
      <w:r w:rsidRPr="007D7831">
        <w:rPr>
          <w:rFonts w:cs="Arial"/>
          <w:i/>
          <w:iCs/>
          <w:sz w:val="24"/>
          <w:lang w:val="en-US"/>
        </w:rPr>
        <w:t>Biology and fertility of soils</w:t>
      </w:r>
      <w:r w:rsidRPr="007D7831">
        <w:rPr>
          <w:rFonts w:cs="Arial"/>
          <w:sz w:val="24"/>
          <w:lang w:val="en-US"/>
        </w:rPr>
        <w:t>, </w:t>
      </w:r>
      <w:r w:rsidRPr="007D7831">
        <w:rPr>
          <w:rFonts w:cs="Arial"/>
          <w:i/>
          <w:iCs/>
          <w:sz w:val="24"/>
          <w:lang w:val="en-US"/>
        </w:rPr>
        <w:t>46</w:t>
      </w:r>
      <w:r w:rsidRPr="007D7831">
        <w:rPr>
          <w:rFonts w:cs="Arial"/>
          <w:sz w:val="24"/>
          <w:lang w:val="en-US"/>
        </w:rPr>
        <w:t>(7), 755-763.</w:t>
      </w:r>
    </w:p>
    <w:p w:rsidR="001C4C05" w:rsidRPr="007D7831" w:rsidRDefault="001C4C05" w:rsidP="001C4C05">
      <w:pPr>
        <w:pStyle w:val="Prrafodelista"/>
        <w:ind w:left="426" w:hanging="426"/>
        <w:rPr>
          <w:rFonts w:cs="Arial"/>
          <w:sz w:val="24"/>
          <w:lang w:val="en-US"/>
        </w:rPr>
      </w:pPr>
      <w:proofErr w:type="spellStart"/>
      <w:proofErr w:type="gramStart"/>
      <w:r w:rsidRPr="007D7831">
        <w:rPr>
          <w:rFonts w:cs="Arial"/>
          <w:sz w:val="24"/>
          <w:lang w:val="en-US"/>
        </w:rPr>
        <w:t>Sharan</w:t>
      </w:r>
      <w:proofErr w:type="spellEnd"/>
      <w:r w:rsidRPr="007D7831">
        <w:rPr>
          <w:rFonts w:cs="Arial"/>
          <w:sz w:val="24"/>
          <w:lang w:val="en-US"/>
        </w:rPr>
        <w:t xml:space="preserve">, A., &amp; </w:t>
      </w:r>
      <w:proofErr w:type="spellStart"/>
      <w:r w:rsidRPr="007D7831">
        <w:rPr>
          <w:rFonts w:cs="Arial"/>
          <w:sz w:val="24"/>
          <w:lang w:val="en-US"/>
        </w:rPr>
        <w:t>Darmwal</w:t>
      </w:r>
      <w:proofErr w:type="spellEnd"/>
      <w:r w:rsidRPr="007D7831">
        <w:rPr>
          <w:rFonts w:cs="Arial"/>
          <w:sz w:val="24"/>
          <w:lang w:val="en-US"/>
        </w:rPr>
        <w:t>, N. S. (2008).</w:t>
      </w:r>
      <w:proofErr w:type="gramEnd"/>
      <w:r w:rsidRPr="007D7831">
        <w:rPr>
          <w:rFonts w:cs="Arial"/>
          <w:sz w:val="24"/>
          <w:lang w:val="en-US"/>
        </w:rPr>
        <w:t xml:space="preserve"> </w:t>
      </w:r>
      <w:proofErr w:type="gramStart"/>
      <w:r w:rsidRPr="007D7831">
        <w:rPr>
          <w:rFonts w:cs="Arial"/>
          <w:sz w:val="24"/>
          <w:lang w:val="en-US"/>
        </w:rPr>
        <w:t xml:space="preserve">Efficient phosphorus </w:t>
      </w:r>
      <w:proofErr w:type="spellStart"/>
      <w:r w:rsidRPr="007D7831">
        <w:rPr>
          <w:rFonts w:cs="Arial"/>
          <w:sz w:val="24"/>
          <w:lang w:val="en-US"/>
        </w:rPr>
        <w:t>solubilization</w:t>
      </w:r>
      <w:proofErr w:type="spellEnd"/>
      <w:r w:rsidRPr="007D7831">
        <w:rPr>
          <w:rFonts w:cs="Arial"/>
          <w:sz w:val="24"/>
          <w:lang w:val="en-US"/>
        </w:rPr>
        <w:t xml:space="preserve"> by mutant strain of </w:t>
      </w:r>
      <w:proofErr w:type="spellStart"/>
      <w:r w:rsidRPr="007D7831">
        <w:rPr>
          <w:rFonts w:cs="Arial"/>
          <w:sz w:val="24"/>
          <w:lang w:val="en-US"/>
        </w:rPr>
        <w:t>Xanthomonas</w:t>
      </w:r>
      <w:proofErr w:type="spellEnd"/>
      <w:r w:rsidRPr="007D7831">
        <w:rPr>
          <w:rFonts w:cs="Arial"/>
          <w:sz w:val="24"/>
          <w:lang w:val="en-US"/>
        </w:rPr>
        <w:t xml:space="preserve"> </w:t>
      </w:r>
      <w:proofErr w:type="spellStart"/>
      <w:r w:rsidRPr="007D7831">
        <w:rPr>
          <w:rFonts w:cs="Arial"/>
          <w:sz w:val="24"/>
          <w:lang w:val="en-US"/>
        </w:rPr>
        <w:t>campestris</w:t>
      </w:r>
      <w:proofErr w:type="spellEnd"/>
      <w:r w:rsidRPr="007D7831">
        <w:rPr>
          <w:rFonts w:cs="Arial"/>
          <w:sz w:val="24"/>
          <w:lang w:val="en-US"/>
        </w:rPr>
        <w:t xml:space="preserve"> using different carbon, nitrogen and phosphorus sources.</w:t>
      </w:r>
      <w:proofErr w:type="gramEnd"/>
      <w:r w:rsidRPr="007D7831">
        <w:rPr>
          <w:rFonts w:cs="Arial"/>
          <w:sz w:val="24"/>
          <w:lang w:val="en-US"/>
        </w:rPr>
        <w:t> </w:t>
      </w:r>
      <w:r w:rsidRPr="007D7831">
        <w:rPr>
          <w:rFonts w:cs="Arial"/>
          <w:i/>
          <w:iCs/>
          <w:sz w:val="24"/>
          <w:lang w:val="en-US"/>
        </w:rPr>
        <w:t>World Journal of Microbiology and Biotechnology</w:t>
      </w:r>
      <w:r w:rsidRPr="007D7831">
        <w:rPr>
          <w:rFonts w:cs="Arial"/>
          <w:sz w:val="24"/>
          <w:lang w:val="en-US"/>
        </w:rPr>
        <w:t>, </w:t>
      </w:r>
      <w:r w:rsidRPr="007D7831">
        <w:rPr>
          <w:rFonts w:cs="Arial"/>
          <w:i/>
          <w:iCs/>
          <w:sz w:val="24"/>
          <w:lang w:val="en-US"/>
        </w:rPr>
        <w:t>24</w:t>
      </w:r>
      <w:r w:rsidRPr="007D7831">
        <w:rPr>
          <w:rFonts w:cs="Arial"/>
          <w:sz w:val="24"/>
          <w:lang w:val="en-US"/>
        </w:rPr>
        <w:t>(12), 3087-3090.</w:t>
      </w:r>
    </w:p>
    <w:p w:rsidR="001C4C05" w:rsidRPr="001C4C05" w:rsidRDefault="001C4C05" w:rsidP="001C4C05">
      <w:pPr>
        <w:pStyle w:val="Prrafodelista"/>
        <w:ind w:left="426" w:hanging="426"/>
        <w:rPr>
          <w:rFonts w:cs="Arial"/>
          <w:sz w:val="24"/>
          <w:lang w:val="es-ES_tradnl"/>
        </w:rPr>
      </w:pPr>
      <w:proofErr w:type="spellStart"/>
      <w:r w:rsidRPr="007D7831">
        <w:rPr>
          <w:rFonts w:cs="Arial"/>
          <w:sz w:val="24"/>
          <w:lang w:val="en-US"/>
        </w:rPr>
        <w:t>Shrivastava</w:t>
      </w:r>
      <w:proofErr w:type="spellEnd"/>
      <w:r w:rsidRPr="007D7831">
        <w:rPr>
          <w:rFonts w:cs="Arial"/>
          <w:sz w:val="24"/>
          <w:lang w:val="en-US"/>
        </w:rPr>
        <w:t xml:space="preserve">, M., </w:t>
      </w:r>
      <w:proofErr w:type="spellStart"/>
      <w:r w:rsidRPr="007D7831">
        <w:rPr>
          <w:rFonts w:cs="Arial"/>
          <w:sz w:val="24"/>
          <w:lang w:val="en-US"/>
        </w:rPr>
        <w:t>Bhujbal</w:t>
      </w:r>
      <w:proofErr w:type="spellEnd"/>
      <w:r w:rsidRPr="007D7831">
        <w:rPr>
          <w:rFonts w:cs="Arial"/>
          <w:sz w:val="24"/>
          <w:lang w:val="en-US"/>
        </w:rPr>
        <w:t xml:space="preserve">, B. M., &amp; </w:t>
      </w:r>
      <w:proofErr w:type="spellStart"/>
      <w:r w:rsidRPr="007D7831">
        <w:rPr>
          <w:rFonts w:cs="Arial"/>
          <w:sz w:val="24"/>
          <w:lang w:val="en-US"/>
        </w:rPr>
        <w:t>D'Souza</w:t>
      </w:r>
      <w:proofErr w:type="spellEnd"/>
      <w:r w:rsidRPr="007D7831">
        <w:rPr>
          <w:rFonts w:cs="Arial"/>
          <w:sz w:val="24"/>
          <w:lang w:val="en-US"/>
        </w:rPr>
        <w:t xml:space="preserve">, S. F. (2007). Agronomic efficiency of </w:t>
      </w:r>
      <w:proofErr w:type="spellStart"/>
      <w:proofErr w:type="gramStart"/>
      <w:r w:rsidRPr="007D7831">
        <w:rPr>
          <w:rFonts w:cs="Arial"/>
          <w:sz w:val="24"/>
          <w:lang w:val="en-US"/>
        </w:rPr>
        <w:t>indian</w:t>
      </w:r>
      <w:proofErr w:type="spellEnd"/>
      <w:proofErr w:type="gramEnd"/>
      <w:r w:rsidRPr="007D7831">
        <w:rPr>
          <w:rFonts w:cs="Arial"/>
          <w:sz w:val="24"/>
          <w:lang w:val="en-US"/>
        </w:rPr>
        <w:t xml:space="preserve"> rock phosphates in acidic soils employing radiotracer a</w:t>
      </w:r>
      <w:r w:rsidRPr="007D7831">
        <w:rPr>
          <w:rFonts w:ascii="American Typewriter" w:hAnsi="American Typewriter" w:cs="American Typewriter"/>
          <w:sz w:val="24"/>
          <w:lang w:val="en-US"/>
        </w:rPr>
        <w:t>‐</w:t>
      </w:r>
      <w:r w:rsidRPr="007D7831">
        <w:rPr>
          <w:rFonts w:cs="Arial"/>
          <w:sz w:val="24"/>
          <w:lang w:val="en-US"/>
        </w:rPr>
        <w:t>value technique. </w:t>
      </w:r>
      <w:proofErr w:type="spellStart"/>
      <w:r w:rsidRPr="001C4C05">
        <w:rPr>
          <w:rFonts w:cs="Arial"/>
          <w:i/>
          <w:iCs/>
          <w:sz w:val="24"/>
          <w:lang w:val="es-ES_tradnl"/>
        </w:rPr>
        <w:t>Communications</w:t>
      </w:r>
      <w:proofErr w:type="spellEnd"/>
      <w:r w:rsidRPr="001C4C05">
        <w:rPr>
          <w:rFonts w:cs="Arial"/>
          <w:i/>
          <w:iCs/>
          <w:sz w:val="24"/>
          <w:lang w:val="es-ES_tradnl"/>
        </w:rPr>
        <w:t xml:space="preserve"> in </w:t>
      </w:r>
      <w:proofErr w:type="spellStart"/>
      <w:r w:rsidRPr="001C4C05">
        <w:rPr>
          <w:rFonts w:cs="Arial"/>
          <w:i/>
          <w:iCs/>
          <w:sz w:val="24"/>
          <w:lang w:val="es-ES_tradnl"/>
        </w:rPr>
        <w:t>soil</w:t>
      </w:r>
      <w:proofErr w:type="spellEnd"/>
      <w:r w:rsidRPr="001C4C05">
        <w:rPr>
          <w:rFonts w:cs="Arial"/>
          <w:i/>
          <w:iCs/>
          <w:sz w:val="24"/>
          <w:lang w:val="es-ES_tradnl"/>
        </w:rPr>
        <w:t xml:space="preserve"> </w:t>
      </w:r>
      <w:proofErr w:type="spellStart"/>
      <w:r w:rsidRPr="001C4C05">
        <w:rPr>
          <w:rFonts w:cs="Arial"/>
          <w:i/>
          <w:iCs/>
          <w:sz w:val="24"/>
          <w:lang w:val="es-ES_tradnl"/>
        </w:rPr>
        <w:t>science</w:t>
      </w:r>
      <w:proofErr w:type="spellEnd"/>
      <w:r w:rsidRPr="001C4C05">
        <w:rPr>
          <w:rFonts w:cs="Arial"/>
          <w:i/>
          <w:iCs/>
          <w:sz w:val="24"/>
          <w:lang w:val="es-ES_tradnl"/>
        </w:rPr>
        <w:t xml:space="preserve"> and </w:t>
      </w:r>
      <w:proofErr w:type="spellStart"/>
      <w:r w:rsidRPr="001C4C05">
        <w:rPr>
          <w:rFonts w:cs="Arial"/>
          <w:i/>
          <w:iCs/>
          <w:sz w:val="24"/>
          <w:lang w:val="es-ES_tradnl"/>
        </w:rPr>
        <w:t>plant</w:t>
      </w:r>
      <w:proofErr w:type="spellEnd"/>
      <w:r w:rsidRPr="001C4C05">
        <w:rPr>
          <w:rFonts w:cs="Arial"/>
          <w:i/>
          <w:iCs/>
          <w:sz w:val="24"/>
          <w:lang w:val="es-ES_tradnl"/>
        </w:rPr>
        <w:t xml:space="preserve"> </w:t>
      </w:r>
      <w:proofErr w:type="spellStart"/>
      <w:r w:rsidRPr="001C4C05">
        <w:rPr>
          <w:rFonts w:cs="Arial"/>
          <w:i/>
          <w:iCs/>
          <w:sz w:val="24"/>
          <w:lang w:val="es-ES_tradnl"/>
        </w:rPr>
        <w:t>analysis</w:t>
      </w:r>
      <w:proofErr w:type="spellEnd"/>
      <w:r w:rsidRPr="001C4C05">
        <w:rPr>
          <w:rFonts w:cs="Arial"/>
          <w:sz w:val="24"/>
          <w:lang w:val="es-ES_tradnl"/>
        </w:rPr>
        <w:t>, </w:t>
      </w:r>
      <w:r w:rsidRPr="001C4C05">
        <w:rPr>
          <w:rFonts w:cs="Arial"/>
          <w:i/>
          <w:iCs/>
          <w:sz w:val="24"/>
          <w:lang w:val="es-ES_tradnl"/>
        </w:rPr>
        <w:t>38</w:t>
      </w:r>
      <w:r w:rsidRPr="001C4C05">
        <w:rPr>
          <w:rFonts w:cs="Arial"/>
          <w:sz w:val="24"/>
          <w:lang w:val="es-ES_tradnl"/>
        </w:rPr>
        <w:t>(3-4), 461-471.</w:t>
      </w:r>
    </w:p>
    <w:p w:rsidR="001D3AFB" w:rsidRPr="00D247A3" w:rsidRDefault="00D20B5A" w:rsidP="005836FE">
      <w:pPr>
        <w:pStyle w:val="Prrafodelista"/>
        <w:ind w:left="426" w:hanging="426"/>
        <w:rPr>
          <w:rFonts w:cs="Arial"/>
          <w:sz w:val="24"/>
          <w:lang w:val="en-US"/>
        </w:rPr>
      </w:pPr>
      <w:proofErr w:type="spellStart"/>
      <w:r w:rsidRPr="00D247A3">
        <w:rPr>
          <w:rFonts w:cs="Arial"/>
          <w:sz w:val="24"/>
          <w:lang w:val="en-US"/>
        </w:rPr>
        <w:t>Shu</w:t>
      </w:r>
      <w:proofErr w:type="spellEnd"/>
      <w:r w:rsidR="001C4C05">
        <w:rPr>
          <w:rFonts w:cs="Arial"/>
          <w:sz w:val="24"/>
          <w:lang w:val="en-US"/>
        </w:rPr>
        <w:t>,</w:t>
      </w:r>
      <w:r w:rsidR="002F6C02" w:rsidRPr="00D247A3">
        <w:rPr>
          <w:rFonts w:cs="Arial"/>
          <w:sz w:val="24"/>
          <w:lang w:val="en-US"/>
        </w:rPr>
        <w:t xml:space="preserve"> P</w:t>
      </w:r>
      <w:r w:rsidRPr="00D247A3">
        <w:rPr>
          <w:rFonts w:cs="Arial"/>
          <w:sz w:val="24"/>
          <w:lang w:val="en-US"/>
        </w:rPr>
        <w:t xml:space="preserve">., </w:t>
      </w:r>
      <w:r w:rsidR="001C4C05">
        <w:rPr>
          <w:rFonts w:cs="Arial"/>
          <w:sz w:val="24"/>
          <w:lang w:val="en-US"/>
        </w:rPr>
        <w:t xml:space="preserve">&amp; </w:t>
      </w:r>
      <w:r w:rsidRPr="00D247A3">
        <w:rPr>
          <w:rFonts w:cs="Arial"/>
          <w:sz w:val="24"/>
          <w:lang w:val="en-US"/>
        </w:rPr>
        <w:t>Johnson</w:t>
      </w:r>
      <w:r w:rsidR="001C4C05">
        <w:rPr>
          <w:rFonts w:cs="Arial"/>
          <w:sz w:val="24"/>
          <w:lang w:val="en-US"/>
        </w:rPr>
        <w:t>,</w:t>
      </w:r>
      <w:r w:rsidR="001D3AFB" w:rsidRPr="00D247A3">
        <w:rPr>
          <w:rFonts w:cs="Arial"/>
          <w:sz w:val="24"/>
          <w:lang w:val="en-US"/>
        </w:rPr>
        <w:t xml:space="preserve"> M.J. </w:t>
      </w:r>
      <w:r w:rsidR="001C4C05">
        <w:rPr>
          <w:rFonts w:cs="Arial"/>
          <w:sz w:val="24"/>
          <w:lang w:val="en-US"/>
        </w:rPr>
        <w:t>(</w:t>
      </w:r>
      <w:r w:rsidR="001D3AFB" w:rsidRPr="00D247A3">
        <w:rPr>
          <w:rFonts w:cs="Arial"/>
          <w:sz w:val="24"/>
          <w:lang w:val="en-US"/>
        </w:rPr>
        <w:t>1948</w:t>
      </w:r>
      <w:r w:rsidR="001C4C05">
        <w:rPr>
          <w:rFonts w:cs="Arial"/>
          <w:sz w:val="24"/>
          <w:lang w:val="en-US"/>
        </w:rPr>
        <w:t>)</w:t>
      </w:r>
      <w:r w:rsidR="001D3AFB" w:rsidRPr="00D247A3">
        <w:rPr>
          <w:rFonts w:cs="Arial"/>
          <w:sz w:val="24"/>
          <w:lang w:val="en-US"/>
        </w:rPr>
        <w:t xml:space="preserve">. Citric acid production by submerged fermentation with </w:t>
      </w:r>
      <w:proofErr w:type="spellStart"/>
      <w:r w:rsidR="001D3AFB" w:rsidRPr="00D247A3">
        <w:rPr>
          <w:rFonts w:cs="Arial"/>
          <w:i/>
          <w:sz w:val="24"/>
          <w:lang w:val="en-US"/>
        </w:rPr>
        <w:t>Aspergillus</w:t>
      </w:r>
      <w:proofErr w:type="spellEnd"/>
      <w:r w:rsidR="001D3AFB" w:rsidRPr="00D247A3">
        <w:rPr>
          <w:rFonts w:cs="Arial"/>
          <w:i/>
          <w:sz w:val="24"/>
          <w:lang w:val="en-US"/>
        </w:rPr>
        <w:t xml:space="preserve"> </w:t>
      </w:r>
      <w:proofErr w:type="spellStart"/>
      <w:proofErr w:type="gramStart"/>
      <w:r w:rsidR="001D3AFB" w:rsidRPr="00D247A3">
        <w:rPr>
          <w:rFonts w:cs="Arial"/>
          <w:i/>
          <w:sz w:val="24"/>
          <w:lang w:val="en-US"/>
        </w:rPr>
        <w:t>niger</w:t>
      </w:r>
      <w:proofErr w:type="spellEnd"/>
      <w:proofErr w:type="gramEnd"/>
      <w:r w:rsidR="001D3AFB" w:rsidRPr="00D247A3">
        <w:rPr>
          <w:rFonts w:cs="Arial"/>
          <w:i/>
          <w:sz w:val="24"/>
          <w:lang w:val="en-US"/>
        </w:rPr>
        <w:t>.</w:t>
      </w:r>
      <w:r w:rsidR="001C4C05">
        <w:rPr>
          <w:rFonts w:cs="Arial"/>
          <w:sz w:val="24"/>
          <w:lang w:val="en-US"/>
        </w:rPr>
        <w:t xml:space="preserve"> Ind. Eng. Chem. 40,</w:t>
      </w:r>
      <w:r w:rsidR="001D3AFB" w:rsidRPr="00D247A3">
        <w:rPr>
          <w:rFonts w:cs="Arial"/>
          <w:sz w:val="24"/>
          <w:lang w:val="en-US"/>
        </w:rPr>
        <w:t xml:space="preserve"> 1202–1205.</w:t>
      </w:r>
    </w:p>
    <w:p w:rsidR="000157D8" w:rsidRPr="007D7831" w:rsidRDefault="000157D8" w:rsidP="000157D8">
      <w:pPr>
        <w:pStyle w:val="Prrafodelista"/>
        <w:ind w:left="426" w:hanging="426"/>
        <w:rPr>
          <w:rFonts w:cs="Arial"/>
          <w:sz w:val="24"/>
          <w:lang w:val="en-US"/>
        </w:rPr>
      </w:pPr>
      <w:proofErr w:type="gramStart"/>
      <w:r w:rsidRPr="007D7831">
        <w:rPr>
          <w:rFonts w:cs="Arial"/>
          <w:sz w:val="24"/>
          <w:lang w:val="en-US"/>
        </w:rPr>
        <w:t>Singh, H., &amp; Reddy, M. S. (2011).</w:t>
      </w:r>
      <w:proofErr w:type="gramEnd"/>
      <w:r w:rsidRPr="007D7831">
        <w:rPr>
          <w:rFonts w:cs="Arial"/>
          <w:sz w:val="24"/>
          <w:lang w:val="en-US"/>
        </w:rPr>
        <w:t xml:space="preserve"> Effect of inoculation with phosphate </w:t>
      </w:r>
      <w:proofErr w:type="spellStart"/>
      <w:r w:rsidRPr="007D7831">
        <w:rPr>
          <w:rFonts w:cs="Arial"/>
          <w:sz w:val="24"/>
          <w:lang w:val="en-US"/>
        </w:rPr>
        <w:t>solubilizing</w:t>
      </w:r>
      <w:proofErr w:type="spellEnd"/>
      <w:r w:rsidRPr="007D7831">
        <w:rPr>
          <w:rFonts w:cs="Arial"/>
          <w:sz w:val="24"/>
          <w:lang w:val="en-US"/>
        </w:rPr>
        <w:t xml:space="preserve"> fungus on growth and nutrient uptake of wheat and maize plants fertilized with rock phosphate in alkaline soils. </w:t>
      </w:r>
      <w:r w:rsidRPr="007D7831">
        <w:rPr>
          <w:rFonts w:cs="Arial"/>
          <w:i/>
          <w:iCs/>
          <w:sz w:val="24"/>
          <w:lang w:val="en-US"/>
        </w:rPr>
        <w:t>European Journal of Soil Biology</w:t>
      </w:r>
      <w:r w:rsidRPr="007D7831">
        <w:rPr>
          <w:rFonts w:cs="Arial"/>
          <w:sz w:val="24"/>
          <w:lang w:val="en-US"/>
        </w:rPr>
        <w:t>, </w:t>
      </w:r>
      <w:r w:rsidRPr="007D7831">
        <w:rPr>
          <w:rFonts w:cs="Arial"/>
          <w:i/>
          <w:iCs/>
          <w:sz w:val="24"/>
          <w:lang w:val="en-US"/>
        </w:rPr>
        <w:t>47</w:t>
      </w:r>
      <w:r w:rsidRPr="007D7831">
        <w:rPr>
          <w:rFonts w:cs="Arial"/>
          <w:sz w:val="24"/>
          <w:lang w:val="en-US"/>
        </w:rPr>
        <w:t>(1), 30-34.</w:t>
      </w:r>
    </w:p>
    <w:p w:rsidR="00817240" w:rsidRPr="007D7831" w:rsidRDefault="00817240" w:rsidP="00817240">
      <w:pPr>
        <w:pStyle w:val="Prrafodelista"/>
        <w:ind w:left="426" w:hanging="426"/>
        <w:rPr>
          <w:rFonts w:cs="Arial"/>
          <w:sz w:val="24"/>
          <w:lang w:val="en-US"/>
        </w:rPr>
      </w:pPr>
      <w:proofErr w:type="gramStart"/>
      <w:r w:rsidRPr="007D7831">
        <w:rPr>
          <w:rFonts w:cs="Arial"/>
          <w:sz w:val="24"/>
          <w:lang w:val="en-US"/>
        </w:rPr>
        <w:t xml:space="preserve">Smith, D. R., Moore </w:t>
      </w:r>
      <w:proofErr w:type="spellStart"/>
      <w:r w:rsidRPr="007D7831">
        <w:rPr>
          <w:rFonts w:cs="Arial"/>
          <w:sz w:val="24"/>
          <w:lang w:val="en-US"/>
        </w:rPr>
        <w:t>Jr</w:t>
      </w:r>
      <w:proofErr w:type="spellEnd"/>
      <w:r w:rsidRPr="007D7831">
        <w:rPr>
          <w:rFonts w:cs="Arial"/>
          <w:sz w:val="24"/>
          <w:lang w:val="en-US"/>
        </w:rPr>
        <w:t>, P. A., &amp; Miles, D. M. (2005).</w:t>
      </w:r>
      <w:proofErr w:type="gramEnd"/>
      <w:r w:rsidRPr="007D7831">
        <w:rPr>
          <w:rFonts w:cs="Arial"/>
          <w:sz w:val="24"/>
          <w:lang w:val="en-US"/>
        </w:rPr>
        <w:t xml:space="preserve"> Soil extractable phosphorus changes with time after application of fertilizer: I. Litter from poultry-fed modified </w:t>
      </w:r>
      <w:proofErr w:type="spellStart"/>
      <w:r w:rsidRPr="007D7831">
        <w:rPr>
          <w:rFonts w:cs="Arial"/>
          <w:sz w:val="24"/>
          <w:lang w:val="en-US"/>
        </w:rPr>
        <w:t>dietsa</w:t>
      </w:r>
      <w:proofErr w:type="spellEnd"/>
      <w:r w:rsidRPr="007D7831">
        <w:rPr>
          <w:rFonts w:cs="Arial"/>
          <w:sz w:val="24"/>
          <w:lang w:val="en-US"/>
        </w:rPr>
        <w:t>. </w:t>
      </w:r>
      <w:r w:rsidRPr="007D7831">
        <w:rPr>
          <w:rFonts w:cs="Arial"/>
          <w:i/>
          <w:iCs/>
          <w:sz w:val="24"/>
          <w:lang w:val="en-US"/>
        </w:rPr>
        <w:t>Soil science</w:t>
      </w:r>
      <w:r w:rsidRPr="007D7831">
        <w:rPr>
          <w:rFonts w:cs="Arial"/>
          <w:sz w:val="24"/>
          <w:lang w:val="en-US"/>
        </w:rPr>
        <w:t>, </w:t>
      </w:r>
      <w:r w:rsidRPr="007D7831">
        <w:rPr>
          <w:rFonts w:cs="Arial"/>
          <w:i/>
          <w:iCs/>
          <w:sz w:val="24"/>
          <w:lang w:val="en-US"/>
        </w:rPr>
        <w:t>170</w:t>
      </w:r>
      <w:r w:rsidRPr="007D7831">
        <w:rPr>
          <w:rFonts w:cs="Arial"/>
          <w:sz w:val="24"/>
          <w:lang w:val="en-US"/>
        </w:rPr>
        <w:t>(7), 530-542.</w:t>
      </w:r>
    </w:p>
    <w:p w:rsidR="00446B4E" w:rsidRPr="007D7831" w:rsidRDefault="00446B4E" w:rsidP="00446B4E">
      <w:pPr>
        <w:pStyle w:val="Prrafodelista"/>
        <w:ind w:left="426" w:hanging="426"/>
        <w:rPr>
          <w:rFonts w:cs="Arial"/>
          <w:sz w:val="24"/>
          <w:lang w:val="en-US"/>
        </w:rPr>
      </w:pPr>
      <w:proofErr w:type="spellStart"/>
      <w:proofErr w:type="gramStart"/>
      <w:r w:rsidRPr="007D7831">
        <w:rPr>
          <w:rFonts w:cs="Arial"/>
          <w:sz w:val="24"/>
          <w:lang w:val="en-US"/>
        </w:rPr>
        <w:t>Tallapragada</w:t>
      </w:r>
      <w:proofErr w:type="spellEnd"/>
      <w:r w:rsidRPr="007D7831">
        <w:rPr>
          <w:rFonts w:cs="Arial"/>
          <w:sz w:val="24"/>
          <w:lang w:val="en-US"/>
        </w:rPr>
        <w:t xml:space="preserve">, P., &amp; </w:t>
      </w:r>
      <w:proofErr w:type="spellStart"/>
      <w:r w:rsidRPr="007D7831">
        <w:rPr>
          <w:rFonts w:cs="Arial"/>
          <w:sz w:val="24"/>
          <w:lang w:val="en-US"/>
        </w:rPr>
        <w:t>Seshachala</w:t>
      </w:r>
      <w:proofErr w:type="spellEnd"/>
      <w:r w:rsidRPr="007D7831">
        <w:rPr>
          <w:rFonts w:cs="Arial"/>
          <w:sz w:val="24"/>
          <w:lang w:val="en-US"/>
        </w:rPr>
        <w:t>, U. (2012).</w:t>
      </w:r>
      <w:proofErr w:type="gramEnd"/>
      <w:r w:rsidRPr="007D7831">
        <w:rPr>
          <w:rFonts w:cs="Arial"/>
          <w:sz w:val="24"/>
          <w:lang w:val="en-US"/>
        </w:rPr>
        <w:t xml:space="preserve"> </w:t>
      </w:r>
      <w:proofErr w:type="gramStart"/>
      <w:r w:rsidRPr="007D7831">
        <w:rPr>
          <w:rFonts w:cs="Arial"/>
          <w:sz w:val="24"/>
          <w:lang w:val="en-US"/>
        </w:rPr>
        <w:t>Phosphate-</w:t>
      </w:r>
      <w:proofErr w:type="spellStart"/>
      <w:r w:rsidRPr="007D7831">
        <w:rPr>
          <w:rFonts w:cs="Arial"/>
          <w:sz w:val="24"/>
          <w:lang w:val="en-US"/>
        </w:rPr>
        <w:t>solubilizing</w:t>
      </w:r>
      <w:proofErr w:type="spellEnd"/>
      <w:r w:rsidRPr="007D7831">
        <w:rPr>
          <w:rFonts w:cs="Arial"/>
          <w:sz w:val="24"/>
          <w:lang w:val="en-US"/>
        </w:rPr>
        <w:t xml:space="preserve"> microbes and their occurrence in the </w:t>
      </w:r>
      <w:proofErr w:type="spellStart"/>
      <w:r w:rsidRPr="007D7831">
        <w:rPr>
          <w:rFonts w:cs="Arial"/>
          <w:sz w:val="24"/>
          <w:lang w:val="en-US"/>
        </w:rPr>
        <w:t>rhizospheres</w:t>
      </w:r>
      <w:proofErr w:type="spellEnd"/>
      <w:r w:rsidRPr="007D7831">
        <w:rPr>
          <w:rFonts w:cs="Arial"/>
          <w:sz w:val="24"/>
          <w:lang w:val="en-US"/>
        </w:rPr>
        <w:t xml:space="preserve"> of Piper betel in Karnataka, India.</w:t>
      </w:r>
      <w:proofErr w:type="gramEnd"/>
      <w:r w:rsidRPr="007D7831">
        <w:rPr>
          <w:rFonts w:cs="Arial"/>
          <w:sz w:val="24"/>
          <w:lang w:val="en-US"/>
        </w:rPr>
        <w:t> </w:t>
      </w:r>
      <w:r w:rsidRPr="007D7831">
        <w:rPr>
          <w:rFonts w:cs="Arial"/>
          <w:i/>
          <w:iCs/>
          <w:sz w:val="24"/>
          <w:lang w:val="en-US"/>
        </w:rPr>
        <w:t>Turkish Journal of Biology</w:t>
      </w:r>
      <w:r w:rsidRPr="007D7831">
        <w:rPr>
          <w:rFonts w:cs="Arial"/>
          <w:sz w:val="24"/>
          <w:lang w:val="en-US"/>
        </w:rPr>
        <w:t>, </w:t>
      </w:r>
      <w:r w:rsidRPr="007D7831">
        <w:rPr>
          <w:rFonts w:cs="Arial"/>
          <w:i/>
          <w:iCs/>
          <w:sz w:val="24"/>
          <w:lang w:val="en-US"/>
        </w:rPr>
        <w:t>36</w:t>
      </w:r>
      <w:r w:rsidRPr="007D7831">
        <w:rPr>
          <w:rFonts w:cs="Arial"/>
          <w:sz w:val="24"/>
          <w:lang w:val="en-US"/>
        </w:rPr>
        <w:t>(1), 25-35.</w:t>
      </w:r>
    </w:p>
    <w:p w:rsidR="001D3AFB" w:rsidRPr="00D247A3" w:rsidRDefault="00446B4E" w:rsidP="00446B4E">
      <w:pPr>
        <w:pStyle w:val="Prrafodelista"/>
        <w:ind w:left="426" w:hanging="426"/>
        <w:rPr>
          <w:rFonts w:cs="Arial"/>
          <w:sz w:val="24"/>
          <w:lang w:val="en-US"/>
        </w:rPr>
      </w:pPr>
      <w:r w:rsidRPr="00446B4E">
        <w:rPr>
          <w:rFonts w:cs="Arial"/>
          <w:sz w:val="24"/>
          <w:lang w:val="en-US"/>
        </w:rPr>
        <w:lastRenderedPageBreak/>
        <w:t xml:space="preserve"> </w:t>
      </w:r>
      <w:r w:rsidR="001D3AFB" w:rsidRPr="00D247A3">
        <w:rPr>
          <w:rFonts w:cs="Arial"/>
          <w:sz w:val="24"/>
          <w:lang w:val="en-US"/>
        </w:rPr>
        <w:t>Tao</w:t>
      </w:r>
      <w:r>
        <w:rPr>
          <w:rFonts w:cs="Arial"/>
          <w:sz w:val="24"/>
          <w:lang w:val="en-US"/>
        </w:rPr>
        <w:t>,</w:t>
      </w:r>
      <w:r w:rsidR="006D1A99" w:rsidRPr="00D247A3">
        <w:rPr>
          <w:rFonts w:cs="Arial"/>
          <w:sz w:val="24"/>
          <w:lang w:val="en-US"/>
        </w:rPr>
        <w:t xml:space="preserve"> G. C., </w:t>
      </w:r>
      <w:proofErr w:type="spellStart"/>
      <w:r w:rsidR="006D1A99" w:rsidRPr="00D247A3">
        <w:rPr>
          <w:rFonts w:cs="Arial"/>
          <w:sz w:val="24"/>
          <w:lang w:val="en-US"/>
        </w:rPr>
        <w:t>Tian</w:t>
      </w:r>
      <w:proofErr w:type="spellEnd"/>
      <w:r>
        <w:rPr>
          <w:rFonts w:cs="Arial"/>
          <w:sz w:val="24"/>
          <w:lang w:val="en-US"/>
        </w:rPr>
        <w:t>,</w:t>
      </w:r>
      <w:r w:rsidR="006D1A99" w:rsidRPr="00D247A3">
        <w:rPr>
          <w:rFonts w:cs="Arial"/>
          <w:sz w:val="24"/>
          <w:lang w:val="en-US"/>
        </w:rPr>
        <w:t xml:space="preserve"> S. J., </w:t>
      </w:r>
      <w:proofErr w:type="spellStart"/>
      <w:proofErr w:type="gramStart"/>
      <w:r w:rsidR="006D1A99" w:rsidRPr="00D247A3">
        <w:rPr>
          <w:rFonts w:cs="Arial"/>
          <w:sz w:val="24"/>
          <w:lang w:val="en-US"/>
        </w:rPr>
        <w:t>Cai</w:t>
      </w:r>
      <w:proofErr w:type="spellEnd"/>
      <w:proofErr w:type="gramEnd"/>
      <w:r>
        <w:rPr>
          <w:rFonts w:cs="Arial"/>
          <w:sz w:val="24"/>
          <w:lang w:val="en-US"/>
        </w:rPr>
        <w:t>,</w:t>
      </w:r>
      <w:r w:rsidR="001D3AFB" w:rsidRPr="00D247A3">
        <w:rPr>
          <w:rFonts w:cs="Arial"/>
          <w:sz w:val="24"/>
          <w:lang w:val="en-US"/>
        </w:rPr>
        <w:t xml:space="preserve"> M. Y.</w:t>
      </w:r>
      <w:r w:rsidR="006D1A99" w:rsidRPr="00D247A3">
        <w:rPr>
          <w:rFonts w:cs="Arial"/>
          <w:sz w:val="24"/>
          <w:lang w:val="en-US"/>
        </w:rPr>
        <w:t xml:space="preserve">, </w:t>
      </w:r>
      <w:r>
        <w:rPr>
          <w:rFonts w:cs="Arial"/>
          <w:sz w:val="24"/>
          <w:lang w:val="en-US"/>
        </w:rPr>
        <w:t>&amp;</w:t>
      </w:r>
      <w:r w:rsidR="006D1A99" w:rsidRPr="00D247A3">
        <w:rPr>
          <w:rFonts w:cs="Arial"/>
          <w:sz w:val="24"/>
          <w:lang w:val="en-US"/>
        </w:rPr>
        <w:t xml:space="preserve"> </w:t>
      </w:r>
      <w:proofErr w:type="spellStart"/>
      <w:r w:rsidR="006D1A99" w:rsidRPr="00D247A3">
        <w:rPr>
          <w:rFonts w:cs="Arial"/>
          <w:sz w:val="24"/>
          <w:lang w:val="en-US"/>
        </w:rPr>
        <w:t>Xie</w:t>
      </w:r>
      <w:proofErr w:type="spellEnd"/>
      <w:r w:rsidR="001D3AFB" w:rsidRPr="00D247A3">
        <w:rPr>
          <w:rFonts w:cs="Arial"/>
          <w:sz w:val="24"/>
          <w:lang w:val="en-US"/>
        </w:rPr>
        <w:t xml:space="preserve"> G. H. </w:t>
      </w:r>
      <w:r>
        <w:rPr>
          <w:rFonts w:cs="Arial"/>
          <w:sz w:val="24"/>
          <w:lang w:val="en-US"/>
        </w:rPr>
        <w:t>(</w:t>
      </w:r>
      <w:r w:rsidR="001D3AFB" w:rsidRPr="00D247A3">
        <w:rPr>
          <w:rFonts w:cs="Arial"/>
          <w:sz w:val="24"/>
          <w:lang w:val="en-US"/>
        </w:rPr>
        <w:t>2008</w:t>
      </w:r>
      <w:r>
        <w:rPr>
          <w:rFonts w:cs="Arial"/>
          <w:sz w:val="24"/>
          <w:lang w:val="en-US"/>
        </w:rPr>
        <w:t>)</w:t>
      </w:r>
      <w:r w:rsidR="001D3AFB" w:rsidRPr="00D247A3">
        <w:rPr>
          <w:rFonts w:cs="Arial"/>
          <w:sz w:val="24"/>
          <w:lang w:val="en-US"/>
        </w:rPr>
        <w:t>. Phosphate-</w:t>
      </w:r>
      <w:proofErr w:type="spellStart"/>
      <w:r w:rsidR="001D3AFB" w:rsidRPr="00D247A3">
        <w:rPr>
          <w:rFonts w:cs="Arial"/>
          <w:sz w:val="24"/>
          <w:lang w:val="en-US"/>
        </w:rPr>
        <w:t>solubilizing</w:t>
      </w:r>
      <w:proofErr w:type="spellEnd"/>
      <w:r w:rsidR="001D3AFB" w:rsidRPr="00D247A3">
        <w:rPr>
          <w:rFonts w:cs="Arial"/>
          <w:sz w:val="24"/>
          <w:lang w:val="en-US"/>
        </w:rPr>
        <w:t xml:space="preserve"> and -mineralizing abilities of bacteria isolate</w:t>
      </w:r>
      <w:r>
        <w:rPr>
          <w:rFonts w:cs="Arial"/>
          <w:sz w:val="24"/>
          <w:lang w:val="en-US"/>
        </w:rPr>
        <w:t xml:space="preserve">d from soils. </w:t>
      </w:r>
      <w:proofErr w:type="spellStart"/>
      <w:r>
        <w:rPr>
          <w:rFonts w:cs="Arial"/>
          <w:sz w:val="24"/>
          <w:lang w:val="en-US"/>
        </w:rPr>
        <w:t>Pedosphere</w:t>
      </w:r>
      <w:proofErr w:type="spellEnd"/>
      <w:r>
        <w:rPr>
          <w:rFonts w:cs="Arial"/>
          <w:sz w:val="24"/>
          <w:lang w:val="en-US"/>
        </w:rPr>
        <w:t xml:space="preserve">. </w:t>
      </w:r>
      <w:r w:rsidRPr="00081ECA">
        <w:rPr>
          <w:rFonts w:cs="Arial"/>
          <w:i/>
          <w:sz w:val="24"/>
          <w:lang w:val="en-US"/>
        </w:rPr>
        <w:t>18</w:t>
      </w:r>
      <w:r>
        <w:rPr>
          <w:rFonts w:cs="Arial"/>
          <w:sz w:val="24"/>
          <w:lang w:val="en-US"/>
        </w:rPr>
        <w:t>(4),</w:t>
      </w:r>
      <w:r w:rsidR="001D3AFB" w:rsidRPr="00D247A3">
        <w:rPr>
          <w:rFonts w:cs="Arial"/>
          <w:sz w:val="24"/>
          <w:lang w:val="en-US"/>
        </w:rPr>
        <w:t xml:space="preserve"> 515–523.</w:t>
      </w:r>
    </w:p>
    <w:p w:rsidR="001D3AFB" w:rsidRPr="00D247A3" w:rsidRDefault="006D1A99" w:rsidP="005836FE">
      <w:pPr>
        <w:pStyle w:val="Prrafodelista"/>
        <w:ind w:left="426" w:hanging="426"/>
        <w:rPr>
          <w:rFonts w:cs="Arial"/>
          <w:sz w:val="24"/>
          <w:lang w:val="en-US"/>
        </w:rPr>
      </w:pPr>
      <w:r w:rsidRPr="00D247A3">
        <w:rPr>
          <w:rFonts w:cs="Arial"/>
          <w:sz w:val="24"/>
          <w:lang w:val="en-US"/>
        </w:rPr>
        <w:t xml:space="preserve">Van </w:t>
      </w:r>
      <w:proofErr w:type="spellStart"/>
      <w:r w:rsidRPr="00D247A3">
        <w:rPr>
          <w:rFonts w:cs="Arial"/>
          <w:sz w:val="24"/>
          <w:lang w:val="en-US"/>
        </w:rPr>
        <w:t>Kauwenbergh</w:t>
      </w:r>
      <w:proofErr w:type="spellEnd"/>
      <w:r w:rsidR="00081ECA">
        <w:rPr>
          <w:rFonts w:cs="Arial"/>
          <w:sz w:val="24"/>
          <w:lang w:val="en-US"/>
        </w:rPr>
        <w:t>,</w:t>
      </w:r>
      <w:r w:rsidR="001D3AFB" w:rsidRPr="00D247A3">
        <w:rPr>
          <w:rFonts w:cs="Arial"/>
          <w:sz w:val="24"/>
          <w:lang w:val="en-US"/>
        </w:rPr>
        <w:t xml:space="preserve"> S</w:t>
      </w:r>
      <w:r w:rsidR="00081ECA">
        <w:rPr>
          <w:rFonts w:cs="Arial"/>
          <w:sz w:val="24"/>
          <w:lang w:val="en-US"/>
        </w:rPr>
        <w:t xml:space="preserve">. </w:t>
      </w:r>
      <w:r w:rsidR="001D3AFB" w:rsidRPr="00D247A3">
        <w:rPr>
          <w:rFonts w:cs="Arial"/>
          <w:sz w:val="24"/>
          <w:lang w:val="en-US"/>
        </w:rPr>
        <w:t xml:space="preserve">J. </w:t>
      </w:r>
      <w:r w:rsidR="00081ECA">
        <w:rPr>
          <w:rFonts w:cs="Arial"/>
          <w:sz w:val="24"/>
          <w:lang w:val="en-US"/>
        </w:rPr>
        <w:t>(</w:t>
      </w:r>
      <w:r w:rsidR="001D3AFB" w:rsidRPr="00D247A3">
        <w:rPr>
          <w:rFonts w:cs="Arial"/>
          <w:sz w:val="24"/>
          <w:lang w:val="en-US"/>
        </w:rPr>
        <w:t>2006</w:t>
      </w:r>
      <w:r w:rsidR="00081ECA">
        <w:rPr>
          <w:rFonts w:cs="Arial"/>
          <w:sz w:val="24"/>
          <w:lang w:val="en-US"/>
        </w:rPr>
        <w:t>)</w:t>
      </w:r>
      <w:r w:rsidR="001D3AFB" w:rsidRPr="00D247A3">
        <w:rPr>
          <w:rFonts w:cs="Arial"/>
          <w:sz w:val="24"/>
          <w:lang w:val="en-US"/>
        </w:rPr>
        <w:t>. Fertilizer Mineral Resources of Africa, IFDC Publication R-16, IFDC – An International Center for Soil Fertility and Agricultural Development, Muscle Shoals, Alabama, 435 p.</w:t>
      </w:r>
    </w:p>
    <w:p w:rsidR="00081ECA" w:rsidRPr="007D7831" w:rsidRDefault="001D3AFB" w:rsidP="00081ECA">
      <w:pPr>
        <w:pStyle w:val="Prrafodelista"/>
        <w:ind w:left="426" w:hanging="426"/>
        <w:rPr>
          <w:rFonts w:cs="Arial"/>
          <w:sz w:val="24"/>
          <w:lang w:val="en-US"/>
        </w:rPr>
      </w:pPr>
      <w:r w:rsidRPr="00D247A3">
        <w:rPr>
          <w:rFonts w:cs="Arial"/>
          <w:sz w:val="24"/>
          <w:lang w:val="es-CO"/>
        </w:rPr>
        <w:t>Va</w:t>
      </w:r>
      <w:r w:rsidR="00081ECA" w:rsidRPr="00081ECA">
        <w:rPr>
          <w:rFonts w:cs="Arial"/>
          <w:color w:val="222222"/>
          <w:sz w:val="20"/>
          <w:szCs w:val="20"/>
          <w:shd w:val="clear" w:color="auto" w:fill="FFFFFF"/>
          <w:lang w:val="es-ES_tradnl"/>
        </w:rPr>
        <w:t xml:space="preserve"> </w:t>
      </w:r>
      <w:proofErr w:type="spellStart"/>
      <w:r w:rsidR="00081ECA" w:rsidRPr="00081ECA">
        <w:rPr>
          <w:rFonts w:cs="Arial"/>
          <w:sz w:val="24"/>
          <w:lang w:val="es-ES_tradnl"/>
        </w:rPr>
        <w:t>Vassileva</w:t>
      </w:r>
      <w:proofErr w:type="spellEnd"/>
      <w:r w:rsidR="00081ECA" w:rsidRPr="00081ECA">
        <w:rPr>
          <w:rFonts w:cs="Arial"/>
          <w:sz w:val="24"/>
          <w:lang w:val="es-ES_tradnl"/>
        </w:rPr>
        <w:t xml:space="preserve">, M., </w:t>
      </w:r>
      <w:proofErr w:type="spellStart"/>
      <w:r w:rsidR="00081ECA" w:rsidRPr="00081ECA">
        <w:rPr>
          <w:rFonts w:cs="Arial"/>
          <w:sz w:val="24"/>
          <w:lang w:val="es-ES_tradnl"/>
        </w:rPr>
        <w:t>Azcon</w:t>
      </w:r>
      <w:proofErr w:type="spellEnd"/>
      <w:r w:rsidR="00081ECA" w:rsidRPr="00081ECA">
        <w:rPr>
          <w:rFonts w:cs="Arial"/>
          <w:sz w:val="24"/>
          <w:lang w:val="es-ES_tradnl"/>
        </w:rPr>
        <w:t xml:space="preserve">, R., Barea, J. M., &amp; </w:t>
      </w:r>
      <w:proofErr w:type="spellStart"/>
      <w:r w:rsidR="00081ECA" w:rsidRPr="00081ECA">
        <w:rPr>
          <w:rFonts w:cs="Arial"/>
          <w:sz w:val="24"/>
          <w:lang w:val="es-ES_tradnl"/>
        </w:rPr>
        <w:t>Vassilev</w:t>
      </w:r>
      <w:proofErr w:type="spellEnd"/>
      <w:r w:rsidR="00081ECA" w:rsidRPr="00081ECA">
        <w:rPr>
          <w:rFonts w:cs="Arial"/>
          <w:sz w:val="24"/>
          <w:lang w:val="es-ES_tradnl"/>
        </w:rPr>
        <w:t xml:space="preserve">, N. (1998). </w:t>
      </w:r>
      <w:proofErr w:type="gramStart"/>
      <w:r w:rsidR="00081ECA" w:rsidRPr="007D7831">
        <w:rPr>
          <w:rFonts w:cs="Arial"/>
          <w:sz w:val="24"/>
          <w:lang w:val="en-US"/>
        </w:rPr>
        <w:t xml:space="preserve">Application of an encapsulated filamentous fungus in </w:t>
      </w:r>
      <w:proofErr w:type="spellStart"/>
      <w:r w:rsidR="00081ECA" w:rsidRPr="007D7831">
        <w:rPr>
          <w:rFonts w:cs="Arial"/>
          <w:sz w:val="24"/>
          <w:lang w:val="en-US"/>
        </w:rPr>
        <w:t>solubilization</w:t>
      </w:r>
      <w:proofErr w:type="spellEnd"/>
      <w:r w:rsidR="00081ECA" w:rsidRPr="007D7831">
        <w:rPr>
          <w:rFonts w:cs="Arial"/>
          <w:sz w:val="24"/>
          <w:lang w:val="en-US"/>
        </w:rPr>
        <w:t xml:space="preserve"> of inorganic phosphate.</w:t>
      </w:r>
      <w:proofErr w:type="gramEnd"/>
      <w:r w:rsidR="00081ECA" w:rsidRPr="007D7831">
        <w:rPr>
          <w:rFonts w:cs="Arial"/>
          <w:sz w:val="24"/>
          <w:lang w:val="en-US"/>
        </w:rPr>
        <w:t> </w:t>
      </w:r>
      <w:r w:rsidR="00081ECA" w:rsidRPr="007D7831">
        <w:rPr>
          <w:rFonts w:cs="Arial"/>
          <w:i/>
          <w:iCs/>
          <w:sz w:val="24"/>
          <w:lang w:val="en-US"/>
        </w:rPr>
        <w:t>Journal of Biotechnology</w:t>
      </w:r>
      <w:r w:rsidR="00081ECA" w:rsidRPr="007D7831">
        <w:rPr>
          <w:rFonts w:cs="Arial"/>
          <w:sz w:val="24"/>
          <w:lang w:val="en-US"/>
        </w:rPr>
        <w:t>, </w:t>
      </w:r>
      <w:r w:rsidR="00081ECA" w:rsidRPr="007D7831">
        <w:rPr>
          <w:rFonts w:cs="Arial"/>
          <w:i/>
          <w:iCs/>
          <w:sz w:val="24"/>
          <w:lang w:val="en-US"/>
        </w:rPr>
        <w:t>63</w:t>
      </w:r>
      <w:r w:rsidR="00081ECA" w:rsidRPr="007D7831">
        <w:rPr>
          <w:rFonts w:cs="Arial"/>
          <w:sz w:val="24"/>
          <w:lang w:val="en-US"/>
        </w:rPr>
        <w:t>(1), 67-72.</w:t>
      </w:r>
    </w:p>
    <w:p w:rsidR="00D461BA" w:rsidRPr="007D7831" w:rsidRDefault="00D461BA" w:rsidP="00D461BA">
      <w:pPr>
        <w:pStyle w:val="Prrafodelista"/>
        <w:ind w:left="426" w:hanging="426"/>
        <w:rPr>
          <w:rFonts w:cs="Arial"/>
          <w:sz w:val="24"/>
          <w:lang w:val="en-US"/>
        </w:rPr>
      </w:pPr>
      <w:proofErr w:type="spellStart"/>
      <w:proofErr w:type="gramStart"/>
      <w:r w:rsidRPr="007D7831">
        <w:rPr>
          <w:rFonts w:cs="Arial"/>
          <w:sz w:val="24"/>
          <w:lang w:val="en-US"/>
        </w:rPr>
        <w:t>Vassileva</w:t>
      </w:r>
      <w:proofErr w:type="spellEnd"/>
      <w:r w:rsidRPr="007D7831">
        <w:rPr>
          <w:rFonts w:cs="Arial"/>
          <w:sz w:val="24"/>
          <w:lang w:val="en-US"/>
        </w:rPr>
        <w:t xml:space="preserve">, M., </w:t>
      </w:r>
      <w:proofErr w:type="spellStart"/>
      <w:r w:rsidRPr="007D7831">
        <w:rPr>
          <w:rFonts w:cs="Arial"/>
          <w:sz w:val="24"/>
          <w:lang w:val="en-US"/>
        </w:rPr>
        <w:t>Azcon</w:t>
      </w:r>
      <w:proofErr w:type="spellEnd"/>
      <w:r w:rsidRPr="007D7831">
        <w:rPr>
          <w:rFonts w:cs="Arial"/>
          <w:sz w:val="24"/>
          <w:lang w:val="en-US"/>
        </w:rPr>
        <w:t xml:space="preserve">, R., </w:t>
      </w:r>
      <w:proofErr w:type="spellStart"/>
      <w:r w:rsidRPr="007D7831">
        <w:rPr>
          <w:rFonts w:cs="Arial"/>
          <w:sz w:val="24"/>
          <w:lang w:val="en-US"/>
        </w:rPr>
        <w:t>Barea</w:t>
      </w:r>
      <w:proofErr w:type="spellEnd"/>
      <w:r w:rsidRPr="007D7831">
        <w:rPr>
          <w:rFonts w:cs="Arial"/>
          <w:sz w:val="24"/>
          <w:lang w:val="en-US"/>
        </w:rPr>
        <w:t xml:space="preserve">, J. M., &amp; </w:t>
      </w:r>
      <w:proofErr w:type="spellStart"/>
      <w:r w:rsidRPr="007D7831">
        <w:rPr>
          <w:rFonts w:cs="Arial"/>
          <w:sz w:val="24"/>
          <w:lang w:val="en-US"/>
        </w:rPr>
        <w:t>Vassilev</w:t>
      </w:r>
      <w:proofErr w:type="spellEnd"/>
      <w:r w:rsidRPr="007D7831">
        <w:rPr>
          <w:rFonts w:cs="Arial"/>
          <w:sz w:val="24"/>
          <w:lang w:val="en-US"/>
        </w:rPr>
        <w:t>, N. (2000).</w:t>
      </w:r>
      <w:proofErr w:type="gramEnd"/>
      <w:r w:rsidRPr="007D7831">
        <w:rPr>
          <w:rFonts w:cs="Arial"/>
          <w:sz w:val="24"/>
          <w:lang w:val="en-US"/>
        </w:rPr>
        <w:t xml:space="preserve"> </w:t>
      </w:r>
      <w:proofErr w:type="gramStart"/>
      <w:r w:rsidRPr="007D7831">
        <w:rPr>
          <w:rFonts w:cs="Arial"/>
          <w:sz w:val="24"/>
          <w:lang w:val="en-US"/>
        </w:rPr>
        <w:t xml:space="preserve">Rock phosphate </w:t>
      </w:r>
      <w:proofErr w:type="spellStart"/>
      <w:r w:rsidRPr="007D7831">
        <w:rPr>
          <w:rFonts w:cs="Arial"/>
          <w:sz w:val="24"/>
          <w:lang w:val="en-US"/>
        </w:rPr>
        <w:t>solubilization</w:t>
      </w:r>
      <w:proofErr w:type="spellEnd"/>
      <w:r w:rsidRPr="007D7831">
        <w:rPr>
          <w:rFonts w:cs="Arial"/>
          <w:sz w:val="24"/>
          <w:lang w:val="en-US"/>
        </w:rPr>
        <w:t xml:space="preserve"> by free and encapsulated cells of </w:t>
      </w:r>
      <w:proofErr w:type="spellStart"/>
      <w:r w:rsidRPr="007D7831">
        <w:rPr>
          <w:rFonts w:cs="Arial"/>
          <w:sz w:val="24"/>
          <w:lang w:val="en-US"/>
        </w:rPr>
        <w:t>Yarowia</w:t>
      </w:r>
      <w:proofErr w:type="spellEnd"/>
      <w:r w:rsidRPr="007D7831">
        <w:rPr>
          <w:rFonts w:cs="Arial"/>
          <w:sz w:val="24"/>
          <w:lang w:val="en-US"/>
        </w:rPr>
        <w:t xml:space="preserve"> </w:t>
      </w:r>
      <w:proofErr w:type="spellStart"/>
      <w:r w:rsidRPr="007D7831">
        <w:rPr>
          <w:rFonts w:cs="Arial"/>
          <w:sz w:val="24"/>
          <w:lang w:val="en-US"/>
        </w:rPr>
        <w:t>lipolytica</w:t>
      </w:r>
      <w:proofErr w:type="spellEnd"/>
      <w:r w:rsidRPr="007D7831">
        <w:rPr>
          <w:rFonts w:cs="Arial"/>
          <w:sz w:val="24"/>
          <w:lang w:val="en-US"/>
        </w:rPr>
        <w:t>.</w:t>
      </w:r>
      <w:proofErr w:type="gramEnd"/>
      <w:r w:rsidRPr="007D7831">
        <w:rPr>
          <w:rFonts w:cs="Arial"/>
          <w:sz w:val="24"/>
          <w:lang w:val="en-US"/>
        </w:rPr>
        <w:t> </w:t>
      </w:r>
      <w:r w:rsidRPr="007D7831">
        <w:rPr>
          <w:rFonts w:cs="Arial"/>
          <w:i/>
          <w:iCs/>
          <w:sz w:val="24"/>
          <w:lang w:val="en-US"/>
        </w:rPr>
        <w:t>Process Biochemistry</w:t>
      </w:r>
      <w:r w:rsidRPr="007D7831">
        <w:rPr>
          <w:rFonts w:cs="Arial"/>
          <w:sz w:val="24"/>
          <w:lang w:val="en-US"/>
        </w:rPr>
        <w:t>, </w:t>
      </w:r>
      <w:r w:rsidRPr="007D7831">
        <w:rPr>
          <w:rFonts w:cs="Arial"/>
          <w:i/>
          <w:iCs/>
          <w:sz w:val="24"/>
          <w:lang w:val="en-US"/>
        </w:rPr>
        <w:t>35</w:t>
      </w:r>
      <w:r w:rsidRPr="007D7831">
        <w:rPr>
          <w:rFonts w:cs="Arial"/>
          <w:sz w:val="24"/>
          <w:lang w:val="en-US"/>
        </w:rPr>
        <w:t>(7), 693-697.</w:t>
      </w:r>
    </w:p>
    <w:p w:rsidR="00D461BA" w:rsidRPr="007D7831" w:rsidRDefault="001D3AFB" w:rsidP="00D461BA">
      <w:pPr>
        <w:pStyle w:val="Prrafodelista"/>
        <w:ind w:left="426" w:hanging="426"/>
        <w:rPr>
          <w:rFonts w:cs="Arial"/>
          <w:sz w:val="24"/>
          <w:lang w:val="en-US"/>
        </w:rPr>
      </w:pPr>
      <w:proofErr w:type="gramStart"/>
      <w:r w:rsidRPr="00D247A3">
        <w:rPr>
          <w:rFonts w:cs="Arial"/>
          <w:sz w:val="24"/>
          <w:lang w:val="en-US"/>
        </w:rPr>
        <w:t>Vas</w:t>
      </w:r>
      <w:r w:rsidR="00D461BA" w:rsidRPr="007D7831">
        <w:rPr>
          <w:rFonts w:cs="Arial"/>
          <w:color w:val="222222"/>
          <w:sz w:val="20"/>
          <w:szCs w:val="20"/>
          <w:shd w:val="clear" w:color="auto" w:fill="FFFFFF"/>
          <w:lang w:val="en-US"/>
        </w:rPr>
        <w:t xml:space="preserve"> </w:t>
      </w:r>
      <w:proofErr w:type="spellStart"/>
      <w:r w:rsidR="00D461BA" w:rsidRPr="007D7831">
        <w:rPr>
          <w:rFonts w:cs="Arial"/>
          <w:sz w:val="24"/>
          <w:lang w:val="en-US"/>
        </w:rPr>
        <w:t>Vassilev</w:t>
      </w:r>
      <w:proofErr w:type="spellEnd"/>
      <w:r w:rsidR="00D461BA" w:rsidRPr="007D7831">
        <w:rPr>
          <w:rFonts w:cs="Arial"/>
          <w:sz w:val="24"/>
          <w:lang w:val="en-US"/>
        </w:rPr>
        <w:t xml:space="preserve">, N., &amp; </w:t>
      </w:r>
      <w:proofErr w:type="spellStart"/>
      <w:r w:rsidR="00D461BA" w:rsidRPr="007D7831">
        <w:rPr>
          <w:rFonts w:cs="Arial"/>
          <w:sz w:val="24"/>
          <w:lang w:val="en-US"/>
        </w:rPr>
        <w:t>Vassileva</w:t>
      </w:r>
      <w:proofErr w:type="spellEnd"/>
      <w:r w:rsidR="00D461BA" w:rsidRPr="007D7831">
        <w:rPr>
          <w:rFonts w:cs="Arial"/>
          <w:sz w:val="24"/>
          <w:lang w:val="en-US"/>
        </w:rPr>
        <w:t>, M. (2003).</w:t>
      </w:r>
      <w:proofErr w:type="gramEnd"/>
      <w:r w:rsidR="00D461BA" w:rsidRPr="007D7831">
        <w:rPr>
          <w:rFonts w:cs="Arial"/>
          <w:sz w:val="24"/>
          <w:lang w:val="en-US"/>
        </w:rPr>
        <w:t xml:space="preserve"> </w:t>
      </w:r>
      <w:proofErr w:type="gramStart"/>
      <w:r w:rsidR="00D461BA" w:rsidRPr="007D7831">
        <w:rPr>
          <w:rFonts w:cs="Arial"/>
          <w:sz w:val="24"/>
          <w:lang w:val="en-US"/>
        </w:rPr>
        <w:t xml:space="preserve">Biotechnological </w:t>
      </w:r>
      <w:proofErr w:type="spellStart"/>
      <w:r w:rsidR="00D461BA" w:rsidRPr="007D7831">
        <w:rPr>
          <w:rFonts w:cs="Arial"/>
          <w:sz w:val="24"/>
          <w:lang w:val="en-US"/>
        </w:rPr>
        <w:t>solubilization</w:t>
      </w:r>
      <w:proofErr w:type="spellEnd"/>
      <w:r w:rsidR="00D461BA" w:rsidRPr="007D7831">
        <w:rPr>
          <w:rFonts w:cs="Arial"/>
          <w:sz w:val="24"/>
          <w:lang w:val="en-US"/>
        </w:rPr>
        <w:t xml:space="preserve"> of rock phosphate on media containing agro-industrial wastes.</w:t>
      </w:r>
      <w:proofErr w:type="gramEnd"/>
      <w:r w:rsidR="00D461BA" w:rsidRPr="007D7831">
        <w:rPr>
          <w:rFonts w:cs="Arial"/>
          <w:sz w:val="24"/>
          <w:lang w:val="en-US"/>
        </w:rPr>
        <w:t> </w:t>
      </w:r>
      <w:r w:rsidR="00D461BA" w:rsidRPr="007D7831">
        <w:rPr>
          <w:rFonts w:cs="Arial"/>
          <w:i/>
          <w:iCs/>
          <w:sz w:val="24"/>
          <w:lang w:val="en-US"/>
        </w:rPr>
        <w:t>Applied Microbiology and Biotechnology</w:t>
      </w:r>
      <w:r w:rsidR="00D461BA" w:rsidRPr="007D7831">
        <w:rPr>
          <w:rFonts w:cs="Arial"/>
          <w:sz w:val="24"/>
          <w:lang w:val="en-US"/>
        </w:rPr>
        <w:t>, </w:t>
      </w:r>
      <w:r w:rsidR="00D461BA" w:rsidRPr="007D7831">
        <w:rPr>
          <w:rFonts w:cs="Arial"/>
          <w:i/>
          <w:iCs/>
          <w:sz w:val="24"/>
          <w:lang w:val="en-US"/>
        </w:rPr>
        <w:t>61</w:t>
      </w:r>
      <w:r w:rsidR="00D461BA" w:rsidRPr="007D7831">
        <w:rPr>
          <w:rFonts w:cs="Arial"/>
          <w:sz w:val="24"/>
          <w:lang w:val="en-US"/>
        </w:rPr>
        <w:t>(5-6), 435-440.</w:t>
      </w:r>
    </w:p>
    <w:p w:rsidR="00D461BA" w:rsidRPr="007D7831" w:rsidRDefault="00D461BA" w:rsidP="00D461BA">
      <w:pPr>
        <w:pStyle w:val="Prrafodelista"/>
        <w:ind w:left="426" w:hanging="426"/>
        <w:rPr>
          <w:rFonts w:cs="Arial"/>
          <w:sz w:val="24"/>
          <w:lang w:val="en-US"/>
        </w:rPr>
      </w:pPr>
      <w:proofErr w:type="spellStart"/>
      <w:proofErr w:type="gramStart"/>
      <w:r w:rsidRPr="007D7831">
        <w:rPr>
          <w:rFonts w:cs="Arial"/>
          <w:sz w:val="24"/>
          <w:lang w:val="en-US"/>
        </w:rPr>
        <w:t>Vassilev</w:t>
      </w:r>
      <w:proofErr w:type="spellEnd"/>
      <w:r w:rsidRPr="007D7831">
        <w:rPr>
          <w:rFonts w:cs="Arial"/>
          <w:sz w:val="24"/>
          <w:lang w:val="en-US"/>
        </w:rPr>
        <w:t xml:space="preserve">, N., &amp; </w:t>
      </w:r>
      <w:proofErr w:type="spellStart"/>
      <w:r w:rsidRPr="007D7831">
        <w:rPr>
          <w:rFonts w:cs="Arial"/>
          <w:sz w:val="24"/>
          <w:lang w:val="en-US"/>
        </w:rPr>
        <w:t>Vassileva</w:t>
      </w:r>
      <w:proofErr w:type="spellEnd"/>
      <w:r w:rsidRPr="007D7831">
        <w:rPr>
          <w:rFonts w:cs="Arial"/>
          <w:sz w:val="24"/>
          <w:lang w:val="en-US"/>
        </w:rPr>
        <w:t>, M. (2003).</w:t>
      </w:r>
      <w:proofErr w:type="gramEnd"/>
      <w:r w:rsidRPr="007D7831">
        <w:rPr>
          <w:rFonts w:cs="Arial"/>
          <w:sz w:val="24"/>
          <w:lang w:val="en-US"/>
        </w:rPr>
        <w:t xml:space="preserve"> </w:t>
      </w:r>
      <w:proofErr w:type="gramStart"/>
      <w:r w:rsidRPr="007D7831">
        <w:rPr>
          <w:rFonts w:cs="Arial"/>
          <w:sz w:val="24"/>
          <w:lang w:val="en-US"/>
        </w:rPr>
        <w:t xml:space="preserve">Biotechnological </w:t>
      </w:r>
      <w:proofErr w:type="spellStart"/>
      <w:r w:rsidRPr="007D7831">
        <w:rPr>
          <w:rFonts w:cs="Arial"/>
          <w:sz w:val="24"/>
          <w:lang w:val="en-US"/>
        </w:rPr>
        <w:t>solubilization</w:t>
      </w:r>
      <w:proofErr w:type="spellEnd"/>
      <w:r w:rsidRPr="007D7831">
        <w:rPr>
          <w:rFonts w:cs="Arial"/>
          <w:sz w:val="24"/>
          <w:lang w:val="en-US"/>
        </w:rPr>
        <w:t xml:space="preserve"> of rock phosphate on media containing agro-industrial wastes.</w:t>
      </w:r>
      <w:proofErr w:type="gramEnd"/>
      <w:r w:rsidRPr="007D7831">
        <w:rPr>
          <w:rFonts w:cs="Arial"/>
          <w:sz w:val="24"/>
          <w:lang w:val="en-US"/>
        </w:rPr>
        <w:t> </w:t>
      </w:r>
      <w:r w:rsidRPr="007D7831">
        <w:rPr>
          <w:rFonts w:cs="Arial"/>
          <w:i/>
          <w:iCs/>
          <w:sz w:val="24"/>
          <w:lang w:val="en-US"/>
        </w:rPr>
        <w:t>Applied Microbiology and Biotechnology</w:t>
      </w:r>
      <w:r w:rsidRPr="007D7831">
        <w:rPr>
          <w:rFonts w:cs="Arial"/>
          <w:sz w:val="24"/>
          <w:lang w:val="en-US"/>
        </w:rPr>
        <w:t>, </w:t>
      </w:r>
      <w:r w:rsidRPr="007D7831">
        <w:rPr>
          <w:rFonts w:cs="Arial"/>
          <w:i/>
          <w:iCs/>
          <w:sz w:val="24"/>
          <w:lang w:val="en-US"/>
        </w:rPr>
        <w:t>61</w:t>
      </w:r>
      <w:r w:rsidRPr="007D7831">
        <w:rPr>
          <w:rFonts w:cs="Arial"/>
          <w:sz w:val="24"/>
          <w:lang w:val="en-US"/>
        </w:rPr>
        <w:t>(5-6), 435-440.</w:t>
      </w:r>
    </w:p>
    <w:p w:rsidR="00D461BA" w:rsidRPr="007D7831" w:rsidRDefault="00D461BA" w:rsidP="00D461BA">
      <w:pPr>
        <w:pStyle w:val="Prrafodelista"/>
        <w:ind w:left="426" w:hanging="426"/>
        <w:rPr>
          <w:rFonts w:cs="Arial"/>
          <w:sz w:val="24"/>
          <w:lang w:val="en-US"/>
        </w:rPr>
      </w:pPr>
      <w:r w:rsidRPr="007D7831">
        <w:rPr>
          <w:rFonts w:cs="Arial"/>
          <w:sz w:val="24"/>
          <w:lang w:val="en-US"/>
        </w:rPr>
        <w:t>Whitelaw, M. A. (1999). Growth promotion of plants inoculated with phosphate-</w:t>
      </w:r>
      <w:proofErr w:type="spellStart"/>
      <w:r w:rsidRPr="007D7831">
        <w:rPr>
          <w:rFonts w:cs="Arial"/>
          <w:sz w:val="24"/>
          <w:lang w:val="en-US"/>
        </w:rPr>
        <w:t>solubilizing</w:t>
      </w:r>
      <w:proofErr w:type="spellEnd"/>
      <w:r w:rsidRPr="007D7831">
        <w:rPr>
          <w:rFonts w:cs="Arial"/>
          <w:sz w:val="24"/>
          <w:lang w:val="en-US"/>
        </w:rPr>
        <w:t xml:space="preserve"> fungi. </w:t>
      </w:r>
      <w:r w:rsidRPr="007D7831">
        <w:rPr>
          <w:rFonts w:cs="Arial"/>
          <w:i/>
          <w:iCs/>
          <w:sz w:val="24"/>
          <w:lang w:val="en-US"/>
        </w:rPr>
        <w:t>Advances in Agronomy</w:t>
      </w:r>
      <w:r w:rsidRPr="007D7831">
        <w:rPr>
          <w:rFonts w:cs="Arial"/>
          <w:sz w:val="24"/>
          <w:lang w:val="en-US"/>
        </w:rPr>
        <w:t>, </w:t>
      </w:r>
      <w:r w:rsidRPr="007D7831">
        <w:rPr>
          <w:rFonts w:cs="Arial"/>
          <w:i/>
          <w:iCs/>
          <w:sz w:val="24"/>
          <w:lang w:val="en-US"/>
        </w:rPr>
        <w:t>69</w:t>
      </w:r>
      <w:r w:rsidRPr="007D7831">
        <w:rPr>
          <w:rFonts w:cs="Arial"/>
          <w:sz w:val="24"/>
          <w:lang w:val="en-US"/>
        </w:rPr>
        <w:t>, 99-151.</w:t>
      </w:r>
    </w:p>
    <w:p w:rsidR="00D461BA" w:rsidRPr="007D7831" w:rsidRDefault="00D461BA" w:rsidP="00D461BA">
      <w:pPr>
        <w:pStyle w:val="Prrafodelista"/>
        <w:ind w:left="426" w:hanging="426"/>
        <w:rPr>
          <w:rFonts w:cs="Arial"/>
          <w:sz w:val="24"/>
          <w:lang w:val="en-US"/>
        </w:rPr>
      </w:pPr>
      <w:r w:rsidRPr="007D7831">
        <w:rPr>
          <w:rFonts w:cs="Arial"/>
          <w:sz w:val="24"/>
          <w:lang w:val="en-US"/>
        </w:rPr>
        <w:t xml:space="preserve">Xiao, C. Q., Chi, R. A., Huang, X. H., Zhang, W. X., </w:t>
      </w:r>
      <w:proofErr w:type="spellStart"/>
      <w:r w:rsidRPr="007D7831">
        <w:rPr>
          <w:rFonts w:cs="Arial"/>
          <w:sz w:val="24"/>
          <w:lang w:val="en-US"/>
        </w:rPr>
        <w:t>Qiu</w:t>
      </w:r>
      <w:proofErr w:type="spellEnd"/>
      <w:r w:rsidRPr="007D7831">
        <w:rPr>
          <w:rFonts w:cs="Arial"/>
          <w:sz w:val="24"/>
          <w:lang w:val="en-US"/>
        </w:rPr>
        <w:t xml:space="preserve">, G. Z., &amp; Wang, D. Z. (2008). Optimization for rock phosphate </w:t>
      </w:r>
      <w:proofErr w:type="spellStart"/>
      <w:r w:rsidRPr="007D7831">
        <w:rPr>
          <w:rFonts w:cs="Arial"/>
          <w:sz w:val="24"/>
          <w:lang w:val="en-US"/>
        </w:rPr>
        <w:t>solubilization</w:t>
      </w:r>
      <w:proofErr w:type="spellEnd"/>
      <w:r w:rsidRPr="007D7831">
        <w:rPr>
          <w:rFonts w:cs="Arial"/>
          <w:sz w:val="24"/>
          <w:lang w:val="en-US"/>
        </w:rPr>
        <w:t xml:space="preserve"> by phosphate-</w:t>
      </w:r>
      <w:proofErr w:type="spellStart"/>
      <w:r w:rsidRPr="007D7831">
        <w:rPr>
          <w:rFonts w:cs="Arial"/>
          <w:sz w:val="24"/>
          <w:lang w:val="en-US"/>
        </w:rPr>
        <w:t>solubilizing</w:t>
      </w:r>
      <w:proofErr w:type="spellEnd"/>
      <w:r w:rsidRPr="007D7831">
        <w:rPr>
          <w:rFonts w:cs="Arial"/>
          <w:sz w:val="24"/>
          <w:lang w:val="en-US"/>
        </w:rPr>
        <w:t xml:space="preserve"> fungi isolated from phosphate mines. </w:t>
      </w:r>
      <w:r w:rsidRPr="007D7831">
        <w:rPr>
          <w:rFonts w:cs="Arial"/>
          <w:i/>
          <w:iCs/>
          <w:sz w:val="24"/>
          <w:lang w:val="en-US"/>
        </w:rPr>
        <w:t>Ecological Engineering</w:t>
      </w:r>
      <w:r w:rsidRPr="007D7831">
        <w:rPr>
          <w:rFonts w:cs="Arial"/>
          <w:sz w:val="24"/>
          <w:lang w:val="en-US"/>
        </w:rPr>
        <w:t>, </w:t>
      </w:r>
      <w:r w:rsidRPr="007D7831">
        <w:rPr>
          <w:rFonts w:cs="Arial"/>
          <w:i/>
          <w:iCs/>
          <w:sz w:val="24"/>
          <w:lang w:val="en-US"/>
        </w:rPr>
        <w:t>33</w:t>
      </w:r>
      <w:r w:rsidRPr="007D7831">
        <w:rPr>
          <w:rFonts w:cs="Arial"/>
          <w:sz w:val="24"/>
          <w:lang w:val="en-US"/>
        </w:rPr>
        <w:t>(2), 187-193.</w:t>
      </w:r>
    </w:p>
    <w:p w:rsidR="00F07866" w:rsidRPr="007D7831" w:rsidRDefault="00F07866" w:rsidP="00F07866">
      <w:pPr>
        <w:pStyle w:val="Prrafodelista"/>
        <w:ind w:left="426" w:hanging="426"/>
        <w:rPr>
          <w:rFonts w:cs="Arial"/>
          <w:sz w:val="24"/>
          <w:lang w:val="en-US"/>
        </w:rPr>
      </w:pPr>
      <w:proofErr w:type="spellStart"/>
      <w:proofErr w:type="gramStart"/>
      <w:r w:rsidRPr="007D7831">
        <w:rPr>
          <w:rFonts w:cs="Arial"/>
          <w:sz w:val="24"/>
          <w:lang w:val="en-US"/>
        </w:rPr>
        <w:t>Yusdar</w:t>
      </w:r>
      <w:proofErr w:type="spellEnd"/>
      <w:r w:rsidRPr="007D7831">
        <w:rPr>
          <w:rFonts w:cs="Arial"/>
          <w:sz w:val="24"/>
          <w:lang w:val="en-US"/>
        </w:rPr>
        <w:t xml:space="preserve">, H., </w:t>
      </w:r>
      <w:proofErr w:type="spellStart"/>
      <w:r w:rsidRPr="007D7831">
        <w:rPr>
          <w:rFonts w:cs="Arial"/>
          <w:sz w:val="24"/>
          <w:lang w:val="en-US"/>
        </w:rPr>
        <w:t>Anuar</w:t>
      </w:r>
      <w:proofErr w:type="spellEnd"/>
      <w:r w:rsidRPr="007D7831">
        <w:rPr>
          <w:rFonts w:cs="Arial"/>
          <w:sz w:val="24"/>
          <w:lang w:val="en-US"/>
        </w:rPr>
        <w:t xml:space="preserve">, A. R., </w:t>
      </w:r>
      <w:proofErr w:type="spellStart"/>
      <w:r w:rsidRPr="007D7831">
        <w:rPr>
          <w:rFonts w:cs="Arial"/>
          <w:sz w:val="24"/>
          <w:lang w:val="en-US"/>
        </w:rPr>
        <w:t>Hanafi</w:t>
      </w:r>
      <w:proofErr w:type="spellEnd"/>
      <w:r w:rsidRPr="007D7831">
        <w:rPr>
          <w:rFonts w:cs="Arial"/>
          <w:sz w:val="24"/>
          <w:lang w:val="en-US"/>
        </w:rPr>
        <w:t xml:space="preserve">, M. M., &amp; </w:t>
      </w:r>
      <w:proofErr w:type="spellStart"/>
      <w:r w:rsidRPr="007D7831">
        <w:rPr>
          <w:rFonts w:cs="Arial"/>
          <w:sz w:val="24"/>
          <w:lang w:val="en-US"/>
        </w:rPr>
        <w:t>Azizah</w:t>
      </w:r>
      <w:proofErr w:type="spellEnd"/>
      <w:r w:rsidRPr="007D7831">
        <w:rPr>
          <w:rFonts w:cs="Arial"/>
          <w:sz w:val="24"/>
          <w:lang w:val="en-US"/>
        </w:rPr>
        <w:t>, H. (2007).</w:t>
      </w:r>
      <w:proofErr w:type="gramEnd"/>
      <w:r w:rsidRPr="007D7831">
        <w:rPr>
          <w:rFonts w:cs="Arial"/>
          <w:sz w:val="24"/>
          <w:lang w:val="en-US"/>
        </w:rPr>
        <w:t xml:space="preserve"> </w:t>
      </w:r>
      <w:proofErr w:type="gramStart"/>
      <w:r w:rsidRPr="007D7831">
        <w:rPr>
          <w:rFonts w:cs="Arial"/>
          <w:sz w:val="24"/>
          <w:lang w:val="en-US"/>
        </w:rPr>
        <w:t>Analysis of phosphate rock dissolution determining factors using principal component analysis in some acid Indonesian soils.</w:t>
      </w:r>
      <w:proofErr w:type="gramEnd"/>
      <w:r w:rsidRPr="007D7831">
        <w:rPr>
          <w:rFonts w:cs="Arial"/>
          <w:sz w:val="24"/>
          <w:lang w:val="en-US"/>
        </w:rPr>
        <w:t> </w:t>
      </w:r>
      <w:proofErr w:type="gramStart"/>
      <w:r w:rsidRPr="007D7831">
        <w:rPr>
          <w:rFonts w:cs="Arial"/>
          <w:i/>
          <w:iCs/>
          <w:sz w:val="24"/>
          <w:lang w:val="en-US"/>
        </w:rPr>
        <w:t>Communications in soil science and plant analysis</w:t>
      </w:r>
      <w:r w:rsidRPr="007D7831">
        <w:rPr>
          <w:rFonts w:cs="Arial"/>
          <w:sz w:val="24"/>
          <w:lang w:val="en-US"/>
        </w:rPr>
        <w:t>, </w:t>
      </w:r>
      <w:r w:rsidRPr="007D7831">
        <w:rPr>
          <w:rFonts w:cs="Arial"/>
          <w:i/>
          <w:iCs/>
          <w:sz w:val="24"/>
          <w:lang w:val="en-US"/>
        </w:rPr>
        <w:t>38</w:t>
      </w:r>
      <w:r w:rsidRPr="007D7831">
        <w:rPr>
          <w:rFonts w:cs="Arial"/>
          <w:sz w:val="24"/>
          <w:lang w:val="en-US"/>
        </w:rPr>
        <w:t>(1-2), 273-282.</w:t>
      </w:r>
      <w:proofErr w:type="gramEnd"/>
    </w:p>
    <w:bookmarkEnd w:id="0"/>
    <w:bookmarkEnd w:id="1"/>
    <w:bookmarkEnd w:id="2"/>
    <w:bookmarkEnd w:id="3"/>
    <w:bookmarkEnd w:id="4"/>
    <w:bookmarkEnd w:id="5"/>
    <w:bookmarkEnd w:id="6"/>
    <w:bookmarkEnd w:id="7"/>
    <w:p w:rsidR="00F07866" w:rsidRPr="00F07866" w:rsidRDefault="00F07866" w:rsidP="00F07866">
      <w:pPr>
        <w:pStyle w:val="Prrafodelista"/>
        <w:ind w:left="426" w:hanging="426"/>
        <w:rPr>
          <w:rFonts w:cs="Arial"/>
          <w:sz w:val="24"/>
          <w:lang w:val="es-ES_tradnl"/>
        </w:rPr>
      </w:pPr>
      <w:proofErr w:type="gramStart"/>
      <w:r w:rsidRPr="007D7831">
        <w:rPr>
          <w:rFonts w:cs="Arial"/>
          <w:sz w:val="24"/>
          <w:lang w:val="en-US"/>
        </w:rPr>
        <w:t>Zapata, F., &amp; Roy, R. N. (Eds.).</w:t>
      </w:r>
      <w:proofErr w:type="gramEnd"/>
      <w:r w:rsidRPr="007D7831">
        <w:rPr>
          <w:rFonts w:cs="Arial"/>
          <w:sz w:val="24"/>
          <w:lang w:val="en-US"/>
        </w:rPr>
        <w:t xml:space="preserve"> </w:t>
      </w:r>
      <w:r w:rsidRPr="00F07866">
        <w:rPr>
          <w:rFonts w:cs="Arial"/>
          <w:sz w:val="24"/>
          <w:lang w:val="es-ES_tradnl"/>
        </w:rPr>
        <w:t>(2007). </w:t>
      </w:r>
      <w:r w:rsidRPr="00F07866">
        <w:rPr>
          <w:rFonts w:cs="Arial"/>
          <w:i/>
          <w:iCs/>
          <w:sz w:val="24"/>
          <w:lang w:val="es-ES_tradnl"/>
        </w:rPr>
        <w:t>Utilización de las rocas fosfóricas para una agricultura sostenible</w:t>
      </w:r>
      <w:r w:rsidRPr="00F07866">
        <w:rPr>
          <w:rFonts w:cs="Arial"/>
          <w:sz w:val="24"/>
          <w:lang w:val="es-ES_tradnl"/>
        </w:rPr>
        <w:t>. FAO.</w:t>
      </w:r>
    </w:p>
    <w:p w:rsidR="00C84D79" w:rsidRPr="00D247A3" w:rsidRDefault="00C84D79" w:rsidP="005836FE">
      <w:pPr>
        <w:pStyle w:val="Prrafodelista"/>
        <w:ind w:left="426" w:hanging="426"/>
        <w:rPr>
          <w:rFonts w:cs="Arial"/>
          <w:sz w:val="24"/>
          <w:lang w:val="es-CO"/>
        </w:rPr>
      </w:pPr>
    </w:p>
    <w:p w:rsidR="00D52BAF" w:rsidRPr="00D247A3" w:rsidRDefault="00D52BAF" w:rsidP="005836FE">
      <w:pPr>
        <w:spacing w:line="360" w:lineRule="auto"/>
        <w:jc w:val="both"/>
        <w:rPr>
          <w:rFonts w:cs="Arial"/>
          <w:b/>
          <w:sz w:val="24"/>
          <w:szCs w:val="24"/>
        </w:rPr>
      </w:pPr>
    </w:p>
    <w:p w:rsidR="00F07866" w:rsidRDefault="00F07866" w:rsidP="005836FE">
      <w:pPr>
        <w:spacing w:line="360" w:lineRule="auto"/>
        <w:jc w:val="both"/>
        <w:rPr>
          <w:rFonts w:cs="Arial"/>
          <w:b/>
          <w:sz w:val="24"/>
          <w:szCs w:val="24"/>
        </w:rPr>
      </w:pPr>
      <w:bookmarkStart w:id="9" w:name="_GoBack"/>
      <w:bookmarkEnd w:id="9"/>
    </w:p>
    <w:p w:rsidR="00F07866" w:rsidRPr="00D247A3" w:rsidRDefault="00F07866" w:rsidP="005836FE">
      <w:pPr>
        <w:spacing w:line="360" w:lineRule="auto"/>
        <w:jc w:val="both"/>
        <w:rPr>
          <w:rFonts w:cs="Arial"/>
          <w:b/>
          <w:sz w:val="24"/>
          <w:szCs w:val="24"/>
        </w:rPr>
      </w:pPr>
    </w:p>
    <w:p w:rsidR="007502E7" w:rsidRPr="00D247A3" w:rsidRDefault="00C84D79" w:rsidP="005836FE">
      <w:pPr>
        <w:spacing w:line="360" w:lineRule="auto"/>
        <w:jc w:val="both"/>
        <w:rPr>
          <w:rFonts w:cs="Arial"/>
          <w:sz w:val="24"/>
          <w:szCs w:val="24"/>
        </w:rPr>
      </w:pPr>
      <w:r w:rsidRPr="00D247A3">
        <w:rPr>
          <w:rFonts w:cs="Arial"/>
          <w:b/>
          <w:sz w:val="24"/>
          <w:szCs w:val="24"/>
        </w:rPr>
        <w:t>Tabla 1.</w:t>
      </w:r>
      <w:r w:rsidRPr="00D247A3">
        <w:rPr>
          <w:rFonts w:cs="Arial"/>
          <w:sz w:val="24"/>
          <w:szCs w:val="24"/>
        </w:rPr>
        <w:t xml:space="preserve"> Composición química de las </w:t>
      </w:r>
      <w:r w:rsidR="006B48E5" w:rsidRPr="00D247A3">
        <w:rPr>
          <w:rFonts w:cs="Arial"/>
          <w:sz w:val="24"/>
          <w:szCs w:val="24"/>
        </w:rPr>
        <w:t>rocas fosfóricas estudiadas</w:t>
      </w:r>
      <w:r w:rsidRPr="00D247A3">
        <w:rPr>
          <w:rFonts w:cs="Arial"/>
          <w:sz w:val="24"/>
          <w:szCs w:val="24"/>
        </w:rPr>
        <w:t>.</w:t>
      </w:r>
    </w:p>
    <w:tbl>
      <w:tblPr>
        <w:tblStyle w:val="Tablaconcuadrcula"/>
        <w:tblW w:w="0" w:type="auto"/>
        <w:tblLayout w:type="fixed"/>
        <w:tblLook w:val="04A0"/>
      </w:tblPr>
      <w:tblGrid>
        <w:gridCol w:w="2376"/>
        <w:gridCol w:w="4723"/>
        <w:gridCol w:w="1985"/>
      </w:tblGrid>
      <w:tr w:rsidR="00C84D79" w:rsidRPr="00D247A3" w:rsidTr="00C84D79">
        <w:tc>
          <w:tcPr>
            <w:tcW w:w="2376" w:type="dxa"/>
            <w:tcBorders>
              <w:top w:val="single" w:sz="4" w:space="0" w:color="auto"/>
              <w:left w:val="nil"/>
              <w:bottom w:val="single" w:sz="4" w:space="0" w:color="auto"/>
              <w:right w:val="nil"/>
            </w:tcBorders>
          </w:tcPr>
          <w:p w:rsidR="00C84D79" w:rsidRPr="00D247A3" w:rsidRDefault="00C84D79" w:rsidP="005836FE">
            <w:pPr>
              <w:spacing w:line="360" w:lineRule="auto"/>
              <w:jc w:val="both"/>
              <w:rPr>
                <w:rFonts w:cs="Arial"/>
                <w:b/>
                <w:szCs w:val="24"/>
              </w:rPr>
            </w:pPr>
            <w:r w:rsidRPr="00D247A3">
              <w:rPr>
                <w:rFonts w:cs="Arial"/>
                <w:b/>
                <w:szCs w:val="24"/>
              </w:rPr>
              <w:t>Roca Fosfórica</w:t>
            </w:r>
          </w:p>
        </w:tc>
        <w:tc>
          <w:tcPr>
            <w:tcW w:w="4723" w:type="dxa"/>
            <w:tcBorders>
              <w:top w:val="single" w:sz="4" w:space="0" w:color="auto"/>
              <w:left w:val="nil"/>
              <w:bottom w:val="single" w:sz="4" w:space="0" w:color="auto"/>
              <w:right w:val="nil"/>
            </w:tcBorders>
          </w:tcPr>
          <w:p w:rsidR="00C84D79" w:rsidRPr="00D247A3" w:rsidRDefault="00C84D79" w:rsidP="005836FE">
            <w:pPr>
              <w:spacing w:line="360" w:lineRule="auto"/>
              <w:jc w:val="both"/>
              <w:rPr>
                <w:rFonts w:cs="Arial"/>
                <w:b/>
                <w:szCs w:val="24"/>
              </w:rPr>
            </w:pPr>
            <w:r w:rsidRPr="00D247A3">
              <w:rPr>
                <w:rFonts w:cs="Arial"/>
                <w:b/>
                <w:szCs w:val="24"/>
              </w:rPr>
              <w:t>Composición</w:t>
            </w:r>
          </w:p>
        </w:tc>
        <w:tc>
          <w:tcPr>
            <w:tcW w:w="1985" w:type="dxa"/>
            <w:tcBorders>
              <w:top w:val="single" w:sz="4" w:space="0" w:color="auto"/>
              <w:left w:val="nil"/>
              <w:bottom w:val="single" w:sz="4" w:space="0" w:color="auto"/>
              <w:right w:val="nil"/>
            </w:tcBorders>
          </w:tcPr>
          <w:p w:rsidR="00C84D79" w:rsidRPr="00D247A3" w:rsidRDefault="00C84D79" w:rsidP="005836FE">
            <w:pPr>
              <w:spacing w:line="360" w:lineRule="auto"/>
              <w:jc w:val="both"/>
              <w:rPr>
                <w:rFonts w:cs="Arial"/>
                <w:b/>
                <w:szCs w:val="24"/>
              </w:rPr>
            </w:pPr>
            <w:r w:rsidRPr="00D247A3">
              <w:rPr>
                <w:rFonts w:cs="Arial"/>
                <w:b/>
                <w:szCs w:val="24"/>
              </w:rPr>
              <w:t>Mina</w:t>
            </w:r>
          </w:p>
        </w:tc>
      </w:tr>
      <w:tr w:rsidR="00C84D79" w:rsidRPr="00D247A3" w:rsidTr="00C84D79">
        <w:tc>
          <w:tcPr>
            <w:tcW w:w="2376" w:type="dxa"/>
            <w:tcBorders>
              <w:top w:val="single" w:sz="4" w:space="0" w:color="auto"/>
              <w:left w:val="nil"/>
              <w:bottom w:val="nil"/>
              <w:right w:val="nil"/>
            </w:tcBorders>
          </w:tcPr>
          <w:p w:rsidR="00C84D79" w:rsidRPr="00D247A3" w:rsidRDefault="00C84D79" w:rsidP="005836FE">
            <w:pPr>
              <w:spacing w:line="360" w:lineRule="auto"/>
              <w:jc w:val="both"/>
              <w:rPr>
                <w:rFonts w:cs="Arial"/>
                <w:szCs w:val="24"/>
              </w:rPr>
            </w:pPr>
            <w:r w:rsidRPr="00D247A3">
              <w:rPr>
                <w:rFonts w:cs="Arial"/>
                <w:szCs w:val="24"/>
              </w:rPr>
              <w:t>Huila</w:t>
            </w:r>
          </w:p>
        </w:tc>
        <w:tc>
          <w:tcPr>
            <w:tcW w:w="4723" w:type="dxa"/>
            <w:tcBorders>
              <w:top w:val="single" w:sz="4" w:space="0" w:color="auto"/>
              <w:left w:val="nil"/>
              <w:bottom w:val="nil"/>
              <w:right w:val="nil"/>
            </w:tcBorders>
          </w:tcPr>
          <w:p w:rsidR="00C84D79" w:rsidRPr="00D247A3" w:rsidRDefault="00C84D79" w:rsidP="005836FE">
            <w:pPr>
              <w:spacing w:line="360" w:lineRule="auto"/>
              <w:jc w:val="both"/>
              <w:rPr>
                <w:rFonts w:cs="Arial"/>
                <w:szCs w:val="24"/>
              </w:rPr>
            </w:pPr>
            <w:r w:rsidRPr="00D247A3">
              <w:rPr>
                <w:rFonts w:cs="Arial"/>
                <w:szCs w:val="24"/>
              </w:rPr>
              <w:t>(Ca</w:t>
            </w:r>
            <w:r w:rsidRPr="00D247A3">
              <w:rPr>
                <w:rFonts w:cs="Arial"/>
                <w:szCs w:val="24"/>
                <w:vertAlign w:val="subscript"/>
              </w:rPr>
              <w:t>9.69</w:t>
            </w:r>
            <w:r w:rsidRPr="00D247A3">
              <w:rPr>
                <w:rFonts w:cs="Arial"/>
                <w:szCs w:val="24"/>
              </w:rPr>
              <w:t>Na</w:t>
            </w:r>
            <w:r w:rsidRPr="00D247A3">
              <w:rPr>
                <w:rFonts w:cs="Arial"/>
                <w:szCs w:val="24"/>
                <w:vertAlign w:val="subscript"/>
              </w:rPr>
              <w:t>0.22</w:t>
            </w:r>
            <w:r w:rsidRPr="00D247A3">
              <w:rPr>
                <w:rFonts w:cs="Arial"/>
                <w:szCs w:val="24"/>
              </w:rPr>
              <w:t>Mg</w:t>
            </w:r>
            <w:r w:rsidRPr="00D247A3">
              <w:rPr>
                <w:rFonts w:cs="Arial"/>
                <w:szCs w:val="24"/>
                <w:vertAlign w:val="subscript"/>
              </w:rPr>
              <w:t>0.09</w:t>
            </w:r>
            <w:r w:rsidRPr="00D247A3">
              <w:rPr>
                <w:rFonts w:cs="Arial"/>
                <w:szCs w:val="24"/>
              </w:rPr>
              <w:t>(PO</w:t>
            </w:r>
            <w:r w:rsidRPr="00D247A3">
              <w:rPr>
                <w:rFonts w:cs="Arial"/>
                <w:szCs w:val="24"/>
                <w:vertAlign w:val="subscript"/>
              </w:rPr>
              <w:t>4</w:t>
            </w:r>
            <w:r w:rsidRPr="00D247A3">
              <w:rPr>
                <w:rFonts w:cs="Arial"/>
                <w:szCs w:val="24"/>
              </w:rPr>
              <w:t>)</w:t>
            </w:r>
            <w:r w:rsidRPr="00D247A3">
              <w:rPr>
                <w:rFonts w:cs="Arial"/>
                <w:szCs w:val="24"/>
                <w:vertAlign w:val="subscript"/>
              </w:rPr>
              <w:t>5.14</w:t>
            </w:r>
            <w:r w:rsidRPr="00D247A3">
              <w:rPr>
                <w:rFonts w:cs="Arial"/>
                <w:szCs w:val="24"/>
              </w:rPr>
              <w:t>(CO</w:t>
            </w:r>
            <w:r w:rsidRPr="00D247A3">
              <w:rPr>
                <w:rFonts w:cs="Arial"/>
                <w:szCs w:val="24"/>
                <w:vertAlign w:val="subscript"/>
              </w:rPr>
              <w:t>3</w:t>
            </w:r>
            <w:r w:rsidRPr="00D247A3">
              <w:rPr>
                <w:rFonts w:cs="Arial"/>
                <w:szCs w:val="24"/>
              </w:rPr>
              <w:t>)</w:t>
            </w:r>
            <w:r w:rsidRPr="00D247A3">
              <w:rPr>
                <w:rFonts w:cs="Arial"/>
                <w:szCs w:val="24"/>
                <w:vertAlign w:val="subscript"/>
              </w:rPr>
              <w:t>0.86</w:t>
            </w:r>
            <w:r w:rsidRPr="00D247A3">
              <w:rPr>
                <w:rFonts w:cs="Arial"/>
                <w:szCs w:val="24"/>
              </w:rPr>
              <w:t>F</w:t>
            </w:r>
            <w:r w:rsidRPr="00D247A3">
              <w:rPr>
                <w:rFonts w:cs="Arial"/>
                <w:szCs w:val="24"/>
                <w:vertAlign w:val="subscript"/>
              </w:rPr>
              <w:t>2.34</w:t>
            </w:r>
            <w:r w:rsidRPr="00D247A3">
              <w:rPr>
                <w:rFonts w:cs="Arial"/>
                <w:szCs w:val="24"/>
              </w:rPr>
              <w:t>)</w:t>
            </w:r>
          </w:p>
        </w:tc>
        <w:tc>
          <w:tcPr>
            <w:tcW w:w="1985" w:type="dxa"/>
            <w:tcBorders>
              <w:top w:val="single" w:sz="4" w:space="0" w:color="auto"/>
              <w:left w:val="nil"/>
              <w:bottom w:val="nil"/>
              <w:right w:val="nil"/>
            </w:tcBorders>
          </w:tcPr>
          <w:p w:rsidR="00C84D79" w:rsidRPr="00D247A3" w:rsidRDefault="00C84D79" w:rsidP="005836FE">
            <w:pPr>
              <w:spacing w:line="360" w:lineRule="auto"/>
              <w:jc w:val="both"/>
              <w:rPr>
                <w:rFonts w:cs="Arial"/>
                <w:szCs w:val="24"/>
              </w:rPr>
            </w:pPr>
            <w:r w:rsidRPr="00D247A3">
              <w:rPr>
                <w:rFonts w:cs="Arial"/>
                <w:szCs w:val="24"/>
              </w:rPr>
              <w:t>Colombia</w:t>
            </w:r>
          </w:p>
        </w:tc>
      </w:tr>
      <w:tr w:rsidR="00C84D79" w:rsidRPr="00D247A3" w:rsidTr="00C84D79">
        <w:tc>
          <w:tcPr>
            <w:tcW w:w="2376" w:type="dxa"/>
            <w:tcBorders>
              <w:top w:val="nil"/>
              <w:left w:val="nil"/>
              <w:bottom w:val="nil"/>
              <w:right w:val="nil"/>
            </w:tcBorders>
          </w:tcPr>
          <w:p w:rsidR="00C84D79" w:rsidRPr="00D247A3" w:rsidRDefault="00C84D79" w:rsidP="005836FE">
            <w:pPr>
              <w:spacing w:line="360" w:lineRule="auto"/>
              <w:jc w:val="both"/>
              <w:rPr>
                <w:rFonts w:cs="Arial"/>
                <w:szCs w:val="24"/>
              </w:rPr>
            </w:pPr>
            <w:r w:rsidRPr="00D247A3">
              <w:rPr>
                <w:rFonts w:cs="Arial"/>
                <w:szCs w:val="24"/>
              </w:rPr>
              <w:t>Santander</w:t>
            </w:r>
          </w:p>
        </w:tc>
        <w:tc>
          <w:tcPr>
            <w:tcW w:w="4723" w:type="dxa"/>
            <w:tcBorders>
              <w:top w:val="nil"/>
              <w:left w:val="nil"/>
              <w:bottom w:val="nil"/>
              <w:right w:val="nil"/>
            </w:tcBorders>
          </w:tcPr>
          <w:p w:rsidR="00C84D79" w:rsidRPr="00D247A3" w:rsidRDefault="00C84D79" w:rsidP="005836FE">
            <w:pPr>
              <w:spacing w:line="360" w:lineRule="auto"/>
              <w:jc w:val="both"/>
              <w:rPr>
                <w:rFonts w:cs="Arial"/>
                <w:szCs w:val="24"/>
              </w:rPr>
            </w:pPr>
            <w:r w:rsidRPr="00D247A3">
              <w:rPr>
                <w:rFonts w:cs="Arial"/>
                <w:szCs w:val="24"/>
              </w:rPr>
              <w:t>(Ca</w:t>
            </w:r>
            <w:r w:rsidRPr="00D247A3">
              <w:rPr>
                <w:rFonts w:cs="Arial"/>
                <w:szCs w:val="24"/>
                <w:vertAlign w:val="subscript"/>
              </w:rPr>
              <w:t>9.76</w:t>
            </w:r>
            <w:r w:rsidRPr="00D247A3">
              <w:rPr>
                <w:rFonts w:cs="Arial"/>
                <w:szCs w:val="24"/>
              </w:rPr>
              <w:t>Na</w:t>
            </w:r>
            <w:r w:rsidRPr="00D247A3">
              <w:rPr>
                <w:rFonts w:cs="Arial"/>
                <w:szCs w:val="24"/>
                <w:vertAlign w:val="subscript"/>
              </w:rPr>
              <w:t>0.16</w:t>
            </w:r>
            <w:r w:rsidRPr="00D247A3">
              <w:rPr>
                <w:rFonts w:cs="Arial"/>
                <w:szCs w:val="24"/>
              </w:rPr>
              <w:t>Mg</w:t>
            </w:r>
            <w:r w:rsidRPr="00D247A3">
              <w:rPr>
                <w:rFonts w:cs="Arial"/>
                <w:szCs w:val="24"/>
                <w:vertAlign w:val="subscript"/>
              </w:rPr>
              <w:t>0.07</w:t>
            </w:r>
            <w:r w:rsidRPr="00D247A3">
              <w:rPr>
                <w:rFonts w:cs="Arial"/>
                <w:szCs w:val="24"/>
              </w:rPr>
              <w:t>(PO</w:t>
            </w:r>
            <w:r w:rsidRPr="00D247A3">
              <w:rPr>
                <w:rFonts w:cs="Arial"/>
                <w:szCs w:val="24"/>
                <w:vertAlign w:val="subscript"/>
              </w:rPr>
              <w:t>4</w:t>
            </w:r>
            <w:r w:rsidRPr="00D247A3">
              <w:rPr>
                <w:rFonts w:cs="Arial"/>
                <w:szCs w:val="24"/>
              </w:rPr>
              <w:t>)</w:t>
            </w:r>
            <w:r w:rsidRPr="00D247A3">
              <w:rPr>
                <w:rFonts w:cs="Arial"/>
                <w:szCs w:val="24"/>
                <w:vertAlign w:val="subscript"/>
              </w:rPr>
              <w:t>5.28</w:t>
            </w:r>
            <w:r w:rsidRPr="00D247A3">
              <w:rPr>
                <w:rFonts w:cs="Arial"/>
                <w:szCs w:val="24"/>
              </w:rPr>
              <w:t>(CO</w:t>
            </w:r>
            <w:r w:rsidRPr="00D247A3">
              <w:rPr>
                <w:rFonts w:cs="Arial"/>
                <w:szCs w:val="24"/>
                <w:vertAlign w:val="subscript"/>
              </w:rPr>
              <w:t>3</w:t>
            </w:r>
            <w:r w:rsidRPr="00D247A3">
              <w:rPr>
                <w:rFonts w:cs="Arial"/>
                <w:szCs w:val="24"/>
              </w:rPr>
              <w:t>)</w:t>
            </w:r>
            <w:r w:rsidRPr="00D247A3">
              <w:rPr>
                <w:rFonts w:cs="Arial"/>
                <w:szCs w:val="24"/>
                <w:vertAlign w:val="subscript"/>
              </w:rPr>
              <w:t>0.72</w:t>
            </w:r>
            <w:r w:rsidRPr="00D247A3">
              <w:rPr>
                <w:rFonts w:cs="Arial"/>
                <w:szCs w:val="24"/>
              </w:rPr>
              <w:t>F</w:t>
            </w:r>
            <w:r w:rsidRPr="00D247A3">
              <w:rPr>
                <w:rFonts w:cs="Arial"/>
                <w:szCs w:val="24"/>
                <w:vertAlign w:val="subscript"/>
              </w:rPr>
              <w:t>2.29</w:t>
            </w:r>
            <w:r w:rsidRPr="00D247A3">
              <w:rPr>
                <w:rFonts w:cs="Arial"/>
                <w:szCs w:val="24"/>
              </w:rPr>
              <w:t>)</w:t>
            </w:r>
          </w:p>
        </w:tc>
        <w:tc>
          <w:tcPr>
            <w:tcW w:w="1985" w:type="dxa"/>
            <w:tcBorders>
              <w:top w:val="nil"/>
              <w:left w:val="nil"/>
              <w:bottom w:val="nil"/>
              <w:right w:val="nil"/>
            </w:tcBorders>
          </w:tcPr>
          <w:p w:rsidR="00C84D79" w:rsidRPr="00D247A3" w:rsidRDefault="00C84D79" w:rsidP="005836FE">
            <w:pPr>
              <w:spacing w:line="360" w:lineRule="auto"/>
              <w:jc w:val="both"/>
              <w:rPr>
                <w:rFonts w:cs="Arial"/>
                <w:szCs w:val="24"/>
              </w:rPr>
            </w:pPr>
            <w:r w:rsidRPr="00D247A3">
              <w:rPr>
                <w:rFonts w:cs="Arial"/>
                <w:szCs w:val="24"/>
              </w:rPr>
              <w:t>Colombia</w:t>
            </w:r>
          </w:p>
        </w:tc>
      </w:tr>
      <w:tr w:rsidR="00C84D79" w:rsidRPr="00D247A3" w:rsidTr="00C84D79">
        <w:tc>
          <w:tcPr>
            <w:tcW w:w="2376" w:type="dxa"/>
            <w:tcBorders>
              <w:top w:val="nil"/>
              <w:left w:val="nil"/>
              <w:bottom w:val="single" w:sz="4" w:space="0" w:color="auto"/>
              <w:right w:val="nil"/>
            </w:tcBorders>
          </w:tcPr>
          <w:p w:rsidR="00C84D79" w:rsidRPr="00D247A3" w:rsidRDefault="00C84D79" w:rsidP="005836FE">
            <w:pPr>
              <w:spacing w:line="360" w:lineRule="auto"/>
              <w:jc w:val="both"/>
              <w:rPr>
                <w:rFonts w:cs="Arial"/>
                <w:szCs w:val="24"/>
              </w:rPr>
            </w:pPr>
            <w:r w:rsidRPr="00D247A3">
              <w:rPr>
                <w:rFonts w:cs="Arial"/>
                <w:szCs w:val="24"/>
              </w:rPr>
              <w:t>Carolina del Norte</w:t>
            </w:r>
          </w:p>
        </w:tc>
        <w:tc>
          <w:tcPr>
            <w:tcW w:w="4723" w:type="dxa"/>
            <w:tcBorders>
              <w:top w:val="nil"/>
              <w:left w:val="nil"/>
              <w:bottom w:val="single" w:sz="4" w:space="0" w:color="auto"/>
              <w:right w:val="nil"/>
            </w:tcBorders>
          </w:tcPr>
          <w:p w:rsidR="00C84D79" w:rsidRPr="00D247A3" w:rsidRDefault="00C84D79" w:rsidP="005836FE">
            <w:pPr>
              <w:spacing w:line="360" w:lineRule="auto"/>
              <w:jc w:val="both"/>
              <w:rPr>
                <w:rFonts w:cs="Arial"/>
                <w:szCs w:val="24"/>
              </w:rPr>
            </w:pPr>
            <w:r w:rsidRPr="00D247A3">
              <w:rPr>
                <w:rFonts w:cs="Arial"/>
                <w:szCs w:val="24"/>
              </w:rPr>
              <w:t>(Ca</w:t>
            </w:r>
            <w:r w:rsidRPr="00D247A3">
              <w:rPr>
                <w:rFonts w:cs="Arial"/>
                <w:szCs w:val="24"/>
                <w:vertAlign w:val="subscript"/>
              </w:rPr>
              <w:t>9.53</w:t>
            </w:r>
            <w:r w:rsidRPr="00D247A3">
              <w:rPr>
                <w:rFonts w:cs="Arial"/>
                <w:szCs w:val="24"/>
              </w:rPr>
              <w:t>Na</w:t>
            </w:r>
            <w:r w:rsidRPr="00D247A3">
              <w:rPr>
                <w:rFonts w:cs="Arial"/>
                <w:szCs w:val="24"/>
                <w:vertAlign w:val="subscript"/>
              </w:rPr>
              <w:t>0.34</w:t>
            </w:r>
            <w:r w:rsidRPr="00D247A3">
              <w:rPr>
                <w:rFonts w:cs="Arial"/>
                <w:szCs w:val="24"/>
              </w:rPr>
              <w:t>Mg</w:t>
            </w:r>
            <w:r w:rsidRPr="00D247A3">
              <w:rPr>
                <w:rFonts w:cs="Arial"/>
                <w:szCs w:val="24"/>
                <w:vertAlign w:val="subscript"/>
              </w:rPr>
              <w:t>0.13</w:t>
            </w:r>
            <w:r w:rsidRPr="00D247A3">
              <w:rPr>
                <w:rFonts w:cs="Arial"/>
                <w:szCs w:val="24"/>
              </w:rPr>
              <w:t>(PO</w:t>
            </w:r>
            <w:r w:rsidRPr="00D247A3">
              <w:rPr>
                <w:rFonts w:cs="Arial"/>
                <w:szCs w:val="24"/>
                <w:vertAlign w:val="subscript"/>
              </w:rPr>
              <w:t>4</w:t>
            </w:r>
            <w:r w:rsidRPr="00D247A3">
              <w:rPr>
                <w:rFonts w:cs="Arial"/>
                <w:szCs w:val="24"/>
              </w:rPr>
              <w:t>)</w:t>
            </w:r>
            <w:r w:rsidRPr="00D247A3">
              <w:rPr>
                <w:rFonts w:cs="Arial"/>
                <w:szCs w:val="24"/>
                <w:vertAlign w:val="subscript"/>
              </w:rPr>
              <w:t>4.77</w:t>
            </w:r>
            <w:r w:rsidRPr="00D247A3">
              <w:rPr>
                <w:rFonts w:cs="Arial"/>
                <w:szCs w:val="24"/>
              </w:rPr>
              <w:t>(CO</w:t>
            </w:r>
            <w:r w:rsidRPr="00D247A3">
              <w:rPr>
                <w:rFonts w:cs="Arial"/>
                <w:szCs w:val="24"/>
                <w:vertAlign w:val="subscript"/>
              </w:rPr>
              <w:t>3</w:t>
            </w:r>
            <w:r w:rsidRPr="00D247A3">
              <w:rPr>
                <w:rFonts w:cs="Arial"/>
                <w:szCs w:val="24"/>
              </w:rPr>
              <w:t>)</w:t>
            </w:r>
            <w:r w:rsidRPr="00D247A3">
              <w:rPr>
                <w:rFonts w:cs="Arial"/>
                <w:szCs w:val="24"/>
                <w:vertAlign w:val="subscript"/>
              </w:rPr>
              <w:t>1.23</w:t>
            </w:r>
            <w:r w:rsidRPr="00D247A3">
              <w:rPr>
                <w:rFonts w:cs="Arial"/>
                <w:szCs w:val="24"/>
              </w:rPr>
              <w:t>F</w:t>
            </w:r>
            <w:r w:rsidRPr="00D247A3">
              <w:rPr>
                <w:rFonts w:cs="Arial"/>
                <w:szCs w:val="24"/>
                <w:vertAlign w:val="subscript"/>
              </w:rPr>
              <w:t>2.49</w:t>
            </w:r>
            <w:r w:rsidRPr="00D247A3">
              <w:rPr>
                <w:rFonts w:cs="Arial"/>
                <w:szCs w:val="24"/>
              </w:rPr>
              <w:t>)</w:t>
            </w:r>
          </w:p>
        </w:tc>
        <w:tc>
          <w:tcPr>
            <w:tcW w:w="1985" w:type="dxa"/>
            <w:tcBorders>
              <w:top w:val="nil"/>
              <w:left w:val="nil"/>
              <w:bottom w:val="single" w:sz="4" w:space="0" w:color="auto"/>
              <w:right w:val="nil"/>
            </w:tcBorders>
          </w:tcPr>
          <w:p w:rsidR="00C84D79" w:rsidRPr="00D247A3" w:rsidRDefault="00C84D79" w:rsidP="005836FE">
            <w:pPr>
              <w:spacing w:line="360" w:lineRule="auto"/>
              <w:jc w:val="both"/>
              <w:rPr>
                <w:rFonts w:cs="Arial"/>
                <w:szCs w:val="24"/>
              </w:rPr>
            </w:pPr>
            <w:r w:rsidRPr="00D247A3">
              <w:rPr>
                <w:rFonts w:cs="Arial"/>
                <w:szCs w:val="24"/>
              </w:rPr>
              <w:t>USA</w:t>
            </w:r>
          </w:p>
        </w:tc>
      </w:tr>
    </w:tbl>
    <w:p w:rsidR="00C84D79" w:rsidRPr="00D247A3" w:rsidRDefault="00C84D79" w:rsidP="005836FE">
      <w:pPr>
        <w:pStyle w:val="Prrafodelista"/>
        <w:ind w:left="426" w:hanging="426"/>
        <w:rPr>
          <w:rFonts w:cs="Arial"/>
          <w:sz w:val="24"/>
          <w:lang w:val="es-CO"/>
        </w:rPr>
      </w:pPr>
    </w:p>
    <w:p w:rsidR="001E5214" w:rsidRPr="00D247A3" w:rsidRDefault="001E5214" w:rsidP="005836FE">
      <w:pPr>
        <w:pStyle w:val="Prrafodelista"/>
        <w:ind w:left="426" w:hanging="426"/>
        <w:rPr>
          <w:rFonts w:cs="Arial"/>
          <w:sz w:val="24"/>
          <w:lang w:val="es-CO"/>
        </w:rPr>
      </w:pPr>
    </w:p>
    <w:p w:rsidR="001E5214" w:rsidRPr="00D247A3" w:rsidRDefault="001E5214" w:rsidP="005836FE">
      <w:pPr>
        <w:pStyle w:val="Prrafodelista"/>
        <w:ind w:left="426" w:hanging="426"/>
        <w:rPr>
          <w:rFonts w:cs="Arial"/>
          <w:sz w:val="24"/>
          <w:lang w:val="es-CO"/>
        </w:rPr>
      </w:pPr>
    </w:p>
    <w:p w:rsidR="005F29DB" w:rsidRPr="00D247A3" w:rsidRDefault="005F29DB" w:rsidP="005836FE">
      <w:pPr>
        <w:pStyle w:val="Prrafodelista"/>
        <w:ind w:left="426" w:hanging="426"/>
        <w:rPr>
          <w:rFonts w:cs="Arial"/>
          <w:sz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2"/>
        <w:gridCol w:w="4784"/>
      </w:tblGrid>
      <w:tr w:rsidR="00C84D79" w:rsidRPr="00D247A3" w:rsidTr="00C84D79">
        <w:tc>
          <w:tcPr>
            <w:tcW w:w="4750" w:type="dxa"/>
          </w:tcPr>
          <w:p w:rsidR="00C84D79" w:rsidRPr="00D247A3" w:rsidRDefault="00C84D79" w:rsidP="005836FE">
            <w:pPr>
              <w:spacing w:line="360" w:lineRule="auto"/>
              <w:jc w:val="center"/>
              <w:rPr>
                <w:rFonts w:cs="Arial"/>
                <w:szCs w:val="24"/>
              </w:rPr>
            </w:pPr>
            <w:r w:rsidRPr="00D247A3">
              <w:rPr>
                <w:rFonts w:cs="Arial"/>
                <w:szCs w:val="24"/>
              </w:rPr>
              <w:t>A</w:t>
            </w:r>
          </w:p>
        </w:tc>
        <w:tc>
          <w:tcPr>
            <w:tcW w:w="4750" w:type="dxa"/>
          </w:tcPr>
          <w:p w:rsidR="00C84D79" w:rsidRPr="00D247A3" w:rsidRDefault="00C84D79" w:rsidP="005836FE">
            <w:pPr>
              <w:spacing w:line="360" w:lineRule="auto"/>
              <w:jc w:val="center"/>
              <w:rPr>
                <w:rFonts w:cs="Arial"/>
                <w:szCs w:val="24"/>
              </w:rPr>
            </w:pPr>
            <w:r w:rsidRPr="00D247A3">
              <w:rPr>
                <w:rFonts w:cs="Arial"/>
                <w:szCs w:val="24"/>
              </w:rPr>
              <w:t>B</w:t>
            </w:r>
          </w:p>
        </w:tc>
      </w:tr>
      <w:tr w:rsidR="00C84D79" w:rsidRPr="00D247A3" w:rsidTr="00C84D79">
        <w:tc>
          <w:tcPr>
            <w:tcW w:w="4750" w:type="dxa"/>
          </w:tcPr>
          <w:p w:rsidR="00C84D79" w:rsidRPr="00D247A3" w:rsidRDefault="00C84D79" w:rsidP="005836FE">
            <w:pPr>
              <w:spacing w:line="360" w:lineRule="auto"/>
              <w:jc w:val="both"/>
              <w:rPr>
                <w:rFonts w:cs="Arial"/>
                <w:szCs w:val="24"/>
              </w:rPr>
            </w:pPr>
            <w:r w:rsidRPr="00D247A3">
              <w:rPr>
                <w:rFonts w:cs="Arial"/>
                <w:noProof/>
                <w:szCs w:val="24"/>
                <w:lang w:eastAsia="es-CO"/>
              </w:rPr>
              <w:drawing>
                <wp:inline distT="0" distB="0" distL="0" distR="0">
                  <wp:extent cx="3003550" cy="2183130"/>
                  <wp:effectExtent l="0" t="0" r="0" b="127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750" w:type="dxa"/>
          </w:tcPr>
          <w:p w:rsidR="00C84D79" w:rsidRPr="00D247A3" w:rsidRDefault="00C84D79" w:rsidP="005836FE">
            <w:pPr>
              <w:spacing w:line="360" w:lineRule="auto"/>
              <w:jc w:val="both"/>
              <w:rPr>
                <w:rFonts w:cs="Arial"/>
                <w:szCs w:val="24"/>
              </w:rPr>
            </w:pPr>
            <w:r w:rsidRPr="00D247A3">
              <w:rPr>
                <w:rFonts w:cs="Arial"/>
                <w:noProof/>
                <w:szCs w:val="24"/>
                <w:lang w:eastAsia="es-CO"/>
              </w:rPr>
              <w:drawing>
                <wp:inline distT="0" distB="0" distL="0" distR="0">
                  <wp:extent cx="2986498" cy="2195195"/>
                  <wp:effectExtent l="0" t="0" r="10795"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7502E7" w:rsidRPr="00D247A3" w:rsidRDefault="007502E7" w:rsidP="005836FE">
      <w:pPr>
        <w:spacing w:line="360" w:lineRule="auto"/>
        <w:jc w:val="both"/>
        <w:rPr>
          <w:rFonts w:cs="Arial"/>
          <w:b/>
          <w:sz w:val="24"/>
          <w:szCs w:val="24"/>
        </w:rPr>
      </w:pPr>
    </w:p>
    <w:p w:rsidR="00C84D79" w:rsidRPr="00D247A3" w:rsidRDefault="005E4DF2" w:rsidP="005836FE">
      <w:pPr>
        <w:spacing w:line="360" w:lineRule="auto"/>
        <w:jc w:val="both"/>
        <w:rPr>
          <w:rFonts w:cs="Arial"/>
          <w:sz w:val="24"/>
          <w:szCs w:val="24"/>
        </w:rPr>
      </w:pPr>
      <w:r w:rsidRPr="00D247A3">
        <w:rPr>
          <w:rFonts w:cs="Arial"/>
          <w:b/>
          <w:sz w:val="24"/>
          <w:szCs w:val="24"/>
        </w:rPr>
        <w:t>Fig</w:t>
      </w:r>
      <w:r w:rsidR="00C84D79" w:rsidRPr="00D247A3">
        <w:rPr>
          <w:rFonts w:cs="Arial"/>
          <w:b/>
          <w:sz w:val="24"/>
          <w:szCs w:val="24"/>
        </w:rPr>
        <w:t>ura 1.</w:t>
      </w:r>
      <w:r w:rsidR="00C84D79" w:rsidRPr="00D247A3">
        <w:rPr>
          <w:rFonts w:cs="Arial"/>
          <w:sz w:val="24"/>
          <w:szCs w:val="24"/>
        </w:rPr>
        <w:t xml:space="preserve"> (A) pH de la solución en función de la </w:t>
      </w:r>
      <w:r w:rsidR="00E46CD7" w:rsidRPr="00D247A3">
        <w:rPr>
          <w:rFonts w:cs="Arial"/>
          <w:sz w:val="24"/>
          <w:szCs w:val="24"/>
        </w:rPr>
        <w:t>concentración</w:t>
      </w:r>
      <w:r w:rsidR="00C84D79" w:rsidRPr="00D247A3">
        <w:rPr>
          <w:rFonts w:cs="Arial"/>
          <w:sz w:val="24"/>
          <w:szCs w:val="24"/>
        </w:rPr>
        <w:t xml:space="preserve"> de </w:t>
      </w:r>
      <w:proofErr w:type="spellStart"/>
      <w:r w:rsidR="0062397C">
        <w:rPr>
          <w:rFonts w:cs="Arial"/>
          <w:sz w:val="24"/>
          <w:szCs w:val="24"/>
        </w:rPr>
        <w:t>fosfóro</w:t>
      </w:r>
      <w:proofErr w:type="spellEnd"/>
      <w:r w:rsidR="0062397C">
        <w:rPr>
          <w:rFonts w:cs="Arial"/>
          <w:sz w:val="24"/>
          <w:szCs w:val="24"/>
        </w:rPr>
        <w:t xml:space="preserve"> (</w:t>
      </w:r>
      <w:r w:rsidR="00C84D79" w:rsidRPr="00D247A3">
        <w:rPr>
          <w:rFonts w:cs="Arial"/>
          <w:sz w:val="24"/>
          <w:szCs w:val="24"/>
        </w:rPr>
        <w:t>P</w:t>
      </w:r>
      <w:r w:rsidR="0062397C">
        <w:rPr>
          <w:rFonts w:cs="Arial"/>
          <w:sz w:val="24"/>
          <w:szCs w:val="24"/>
        </w:rPr>
        <w:t>)</w:t>
      </w:r>
      <w:r w:rsidR="00C84D79" w:rsidRPr="00D247A3">
        <w:rPr>
          <w:rFonts w:cs="Arial"/>
          <w:sz w:val="24"/>
          <w:szCs w:val="24"/>
        </w:rPr>
        <w:t xml:space="preserve"> inicial en el medio y (B) P neto en la solución (mg L</w:t>
      </w:r>
      <w:r w:rsidR="00C84D79" w:rsidRPr="00D247A3">
        <w:rPr>
          <w:rFonts w:cs="Arial"/>
          <w:sz w:val="24"/>
          <w:szCs w:val="24"/>
          <w:vertAlign w:val="superscript"/>
        </w:rPr>
        <w:t>-1</w:t>
      </w:r>
      <w:r w:rsidR="00C84D79" w:rsidRPr="00D247A3">
        <w:rPr>
          <w:rFonts w:cs="Arial"/>
          <w:sz w:val="24"/>
          <w:szCs w:val="24"/>
        </w:rPr>
        <w:t xml:space="preserve">), inoculados con </w:t>
      </w:r>
      <w:proofErr w:type="spellStart"/>
      <w:r w:rsidR="00C84D79" w:rsidRPr="00D247A3">
        <w:rPr>
          <w:rFonts w:cs="Arial"/>
          <w:i/>
          <w:sz w:val="24"/>
          <w:szCs w:val="24"/>
        </w:rPr>
        <w:t>Mortierella</w:t>
      </w:r>
      <w:proofErr w:type="spellEnd"/>
      <w:r w:rsidR="00C84D79" w:rsidRPr="00D247A3">
        <w:rPr>
          <w:rFonts w:cs="Arial"/>
          <w:sz w:val="24"/>
          <w:szCs w:val="24"/>
        </w:rPr>
        <w:t xml:space="preserve"> </w:t>
      </w:r>
      <w:proofErr w:type="spellStart"/>
      <w:r w:rsidR="00C84D79" w:rsidRPr="00D247A3">
        <w:rPr>
          <w:rFonts w:cs="Arial"/>
          <w:sz w:val="24"/>
          <w:szCs w:val="24"/>
        </w:rPr>
        <w:t>sp.</w:t>
      </w:r>
      <w:proofErr w:type="spellEnd"/>
      <w:r w:rsidR="00C84D79" w:rsidRPr="00D247A3">
        <w:rPr>
          <w:rFonts w:cs="Arial"/>
          <w:sz w:val="24"/>
          <w:szCs w:val="24"/>
        </w:rPr>
        <w:t xml:space="preserve"> (P neto: P solubilizado de la R</w:t>
      </w:r>
      <w:r w:rsidR="00D247A3">
        <w:rPr>
          <w:rFonts w:cs="Arial"/>
          <w:sz w:val="24"/>
          <w:szCs w:val="24"/>
        </w:rPr>
        <w:t xml:space="preserve">oca fosfórica </w:t>
      </w:r>
      <w:r w:rsidR="00733D5B">
        <w:rPr>
          <w:rFonts w:cs="Arial"/>
          <w:sz w:val="24"/>
          <w:szCs w:val="24"/>
        </w:rPr>
        <w:t>menos</w:t>
      </w:r>
      <w:r w:rsidR="00D247A3">
        <w:rPr>
          <w:rFonts w:cs="Arial"/>
          <w:sz w:val="24"/>
          <w:szCs w:val="24"/>
        </w:rPr>
        <w:t xml:space="preserve"> </w:t>
      </w:r>
      <w:r w:rsidR="00C84D79" w:rsidRPr="00D247A3">
        <w:rPr>
          <w:rFonts w:cs="Arial"/>
          <w:sz w:val="24"/>
          <w:szCs w:val="24"/>
        </w:rPr>
        <w:t>P adicionado como KH</w:t>
      </w:r>
      <w:r w:rsidR="00C84D79" w:rsidRPr="00D247A3">
        <w:rPr>
          <w:rFonts w:cs="Arial"/>
          <w:sz w:val="24"/>
          <w:szCs w:val="24"/>
          <w:vertAlign w:val="subscript"/>
        </w:rPr>
        <w:t>2</w:t>
      </w:r>
      <w:r w:rsidR="00C84D79" w:rsidRPr="00D247A3">
        <w:rPr>
          <w:rFonts w:cs="Arial"/>
          <w:sz w:val="24"/>
          <w:szCs w:val="24"/>
        </w:rPr>
        <w:t>PO</w:t>
      </w:r>
      <w:r w:rsidR="00C84D79" w:rsidRPr="00D247A3">
        <w:rPr>
          <w:rFonts w:cs="Arial"/>
          <w:sz w:val="24"/>
          <w:szCs w:val="24"/>
          <w:vertAlign w:val="subscript"/>
        </w:rPr>
        <w:t>4</w:t>
      </w:r>
      <w:r w:rsidR="00C84D79" w:rsidRPr="00D247A3">
        <w:rPr>
          <w:rFonts w:cs="Arial"/>
          <w:sz w:val="24"/>
          <w:szCs w:val="24"/>
        </w:rPr>
        <w:t xml:space="preserve">). Cada columna representa el promedio de </w:t>
      </w:r>
      <w:r w:rsidR="00D52BAF" w:rsidRPr="00D247A3">
        <w:rPr>
          <w:rFonts w:cs="Arial"/>
          <w:sz w:val="24"/>
          <w:szCs w:val="24"/>
        </w:rPr>
        <w:t>4</w:t>
      </w:r>
      <w:r w:rsidR="00C84D79" w:rsidRPr="00D247A3">
        <w:rPr>
          <w:rFonts w:cs="Arial"/>
          <w:sz w:val="24"/>
          <w:szCs w:val="24"/>
        </w:rPr>
        <w:t xml:space="preserve"> repeticiones. </w:t>
      </w:r>
      <w:r w:rsidR="00D52BAF" w:rsidRPr="00D247A3">
        <w:rPr>
          <w:rFonts w:cs="Arial"/>
          <w:sz w:val="24"/>
          <w:szCs w:val="24"/>
        </w:rPr>
        <w:t>L</w:t>
      </w:r>
      <w:r w:rsidR="00C84D79" w:rsidRPr="00D247A3">
        <w:rPr>
          <w:rFonts w:cs="Arial"/>
          <w:sz w:val="24"/>
          <w:szCs w:val="24"/>
        </w:rPr>
        <w:t>as letras minúsculas indican diferencia</w:t>
      </w:r>
      <w:r w:rsidR="00756724" w:rsidRPr="00D247A3">
        <w:rPr>
          <w:rFonts w:cs="Arial"/>
          <w:sz w:val="24"/>
          <w:szCs w:val="24"/>
        </w:rPr>
        <w:t>s</w:t>
      </w:r>
      <w:r w:rsidR="00C84D79" w:rsidRPr="00D247A3">
        <w:rPr>
          <w:rFonts w:cs="Arial"/>
          <w:sz w:val="24"/>
          <w:szCs w:val="24"/>
        </w:rPr>
        <w:t xml:space="preserve"> significativa</w:t>
      </w:r>
      <w:r w:rsidR="00756724" w:rsidRPr="00D247A3">
        <w:rPr>
          <w:rFonts w:cs="Arial"/>
          <w:sz w:val="24"/>
          <w:szCs w:val="24"/>
        </w:rPr>
        <w:t>s</w:t>
      </w:r>
      <w:r w:rsidR="00C84D79" w:rsidRPr="00D247A3">
        <w:rPr>
          <w:rFonts w:cs="Arial"/>
          <w:sz w:val="24"/>
          <w:szCs w:val="24"/>
        </w:rPr>
        <w:t xml:space="preserve"> de los tratamientos según la prueba de Duncan (</w:t>
      </w:r>
      <w:r w:rsidR="00C84D79" w:rsidRPr="00D247A3">
        <w:rPr>
          <w:rFonts w:cs="Arial"/>
          <w:i/>
          <w:sz w:val="24"/>
          <w:szCs w:val="24"/>
        </w:rPr>
        <w:t>P</w:t>
      </w:r>
      <w:r w:rsidR="00C84D79" w:rsidRPr="00D247A3">
        <w:rPr>
          <w:rFonts w:cs="Arial"/>
          <w:sz w:val="24"/>
          <w:szCs w:val="24"/>
        </w:rPr>
        <w:t xml:space="preserve">≤0.05). </w:t>
      </w:r>
    </w:p>
    <w:p w:rsidR="001B57F4" w:rsidRPr="00D247A3" w:rsidRDefault="001B57F4" w:rsidP="005836FE">
      <w:pPr>
        <w:spacing w:line="360" w:lineRule="auto"/>
        <w:jc w:val="both"/>
        <w:rPr>
          <w:rFonts w:cs="Arial"/>
          <w:sz w:val="24"/>
          <w:szCs w:val="24"/>
        </w:rPr>
      </w:pPr>
    </w:p>
    <w:p w:rsidR="001B57F4" w:rsidRPr="00D247A3" w:rsidRDefault="001B57F4" w:rsidP="005836FE">
      <w:pPr>
        <w:spacing w:line="360" w:lineRule="auto"/>
        <w:jc w:val="both"/>
        <w:rPr>
          <w:rFonts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C84D79" w:rsidRPr="00D247A3" w:rsidTr="00C84D79">
        <w:tc>
          <w:tcPr>
            <w:tcW w:w="4676" w:type="dxa"/>
          </w:tcPr>
          <w:p w:rsidR="00C84D79" w:rsidRPr="00D247A3" w:rsidRDefault="00C84D79" w:rsidP="005836FE">
            <w:pPr>
              <w:spacing w:line="360" w:lineRule="auto"/>
              <w:jc w:val="center"/>
              <w:rPr>
                <w:rFonts w:cs="Arial"/>
                <w:szCs w:val="24"/>
              </w:rPr>
            </w:pPr>
            <w:r w:rsidRPr="00D247A3">
              <w:rPr>
                <w:rFonts w:cs="Arial"/>
                <w:szCs w:val="24"/>
              </w:rPr>
              <w:lastRenderedPageBreak/>
              <w:t>A</w:t>
            </w:r>
          </w:p>
        </w:tc>
        <w:tc>
          <w:tcPr>
            <w:tcW w:w="4900" w:type="dxa"/>
          </w:tcPr>
          <w:p w:rsidR="00C84D79" w:rsidRPr="00D247A3" w:rsidRDefault="00C84D79" w:rsidP="005836FE">
            <w:pPr>
              <w:spacing w:line="360" w:lineRule="auto"/>
              <w:jc w:val="center"/>
              <w:rPr>
                <w:rFonts w:cs="Arial"/>
                <w:szCs w:val="24"/>
              </w:rPr>
            </w:pPr>
            <w:r w:rsidRPr="00D247A3">
              <w:rPr>
                <w:rFonts w:cs="Arial"/>
                <w:szCs w:val="24"/>
              </w:rPr>
              <w:t>B</w:t>
            </w:r>
          </w:p>
        </w:tc>
      </w:tr>
      <w:tr w:rsidR="00C84D79" w:rsidRPr="00D247A3" w:rsidTr="00C84D79">
        <w:tblPrEx>
          <w:tblCellMar>
            <w:left w:w="70" w:type="dxa"/>
            <w:right w:w="70" w:type="dxa"/>
          </w:tblCellMar>
        </w:tblPrEx>
        <w:tc>
          <w:tcPr>
            <w:tcW w:w="4676" w:type="dxa"/>
          </w:tcPr>
          <w:p w:rsidR="00C84D79" w:rsidRPr="00D247A3" w:rsidRDefault="00C84D79" w:rsidP="005836FE">
            <w:pPr>
              <w:spacing w:line="360" w:lineRule="auto"/>
              <w:jc w:val="both"/>
              <w:rPr>
                <w:rFonts w:cs="Arial"/>
                <w:szCs w:val="24"/>
              </w:rPr>
            </w:pPr>
            <w:r w:rsidRPr="00D247A3">
              <w:rPr>
                <w:rFonts w:cs="Arial"/>
                <w:noProof/>
                <w:szCs w:val="24"/>
                <w:lang w:eastAsia="es-CO"/>
              </w:rPr>
              <w:drawing>
                <wp:inline distT="0" distB="0" distL="0" distR="0">
                  <wp:extent cx="3021135" cy="2193485"/>
                  <wp:effectExtent l="0" t="0" r="1905"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900" w:type="dxa"/>
          </w:tcPr>
          <w:p w:rsidR="00C84D79" w:rsidRPr="00D247A3" w:rsidRDefault="00C84D79" w:rsidP="005836FE">
            <w:pPr>
              <w:spacing w:line="360" w:lineRule="auto"/>
              <w:jc w:val="both"/>
              <w:rPr>
                <w:rFonts w:cs="Arial"/>
                <w:szCs w:val="24"/>
              </w:rPr>
            </w:pPr>
            <w:r w:rsidRPr="00D247A3">
              <w:rPr>
                <w:rFonts w:cs="Arial"/>
                <w:noProof/>
                <w:szCs w:val="24"/>
                <w:lang w:eastAsia="es-CO"/>
              </w:rPr>
              <w:drawing>
                <wp:inline distT="0" distB="0" distL="0" distR="0">
                  <wp:extent cx="3021524" cy="2193485"/>
                  <wp:effectExtent l="0" t="0" r="1270" b="0"/>
                  <wp:docPr id="18"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D52BAF" w:rsidRPr="00D247A3" w:rsidRDefault="005E4DF2" w:rsidP="005836FE">
      <w:pPr>
        <w:spacing w:line="360" w:lineRule="auto"/>
        <w:jc w:val="both"/>
        <w:rPr>
          <w:rFonts w:cs="Arial"/>
          <w:sz w:val="24"/>
          <w:szCs w:val="24"/>
        </w:rPr>
      </w:pPr>
      <w:r w:rsidRPr="00D247A3">
        <w:rPr>
          <w:rFonts w:cs="Arial"/>
          <w:b/>
          <w:sz w:val="24"/>
          <w:szCs w:val="24"/>
        </w:rPr>
        <w:t>Fig</w:t>
      </w:r>
      <w:r w:rsidR="00C84D79" w:rsidRPr="00D247A3">
        <w:rPr>
          <w:rFonts w:cs="Arial"/>
          <w:b/>
          <w:sz w:val="24"/>
          <w:szCs w:val="24"/>
        </w:rPr>
        <w:t>ura 2.</w:t>
      </w:r>
      <w:r w:rsidR="00C84D79" w:rsidRPr="00D247A3">
        <w:rPr>
          <w:rFonts w:cs="Arial"/>
          <w:sz w:val="24"/>
          <w:szCs w:val="24"/>
        </w:rPr>
        <w:t xml:space="preserve"> (A) pH de la solución en función de la adición de vitaminas y micronutrientes y (B) Concentración de </w:t>
      </w:r>
      <w:proofErr w:type="spellStart"/>
      <w:r w:rsidR="00AF46D6">
        <w:rPr>
          <w:rFonts w:cs="Arial"/>
          <w:sz w:val="24"/>
          <w:szCs w:val="24"/>
        </w:rPr>
        <w:t>fosfóro</w:t>
      </w:r>
      <w:proofErr w:type="spellEnd"/>
      <w:r w:rsidR="00AF46D6">
        <w:rPr>
          <w:rFonts w:cs="Arial"/>
          <w:sz w:val="24"/>
          <w:szCs w:val="24"/>
        </w:rPr>
        <w:t xml:space="preserve"> (</w:t>
      </w:r>
      <w:r w:rsidR="00AF46D6" w:rsidRPr="00D247A3">
        <w:rPr>
          <w:rFonts w:cs="Arial"/>
          <w:sz w:val="24"/>
          <w:szCs w:val="24"/>
        </w:rPr>
        <w:t>P</w:t>
      </w:r>
      <w:r w:rsidR="00AF46D6">
        <w:rPr>
          <w:rFonts w:cs="Arial"/>
          <w:sz w:val="24"/>
          <w:szCs w:val="24"/>
        </w:rPr>
        <w:t>)</w:t>
      </w:r>
      <w:r w:rsidR="00C84D79" w:rsidRPr="00D247A3">
        <w:rPr>
          <w:rFonts w:cs="Arial"/>
          <w:sz w:val="24"/>
          <w:szCs w:val="24"/>
        </w:rPr>
        <w:t xml:space="preserve"> en la solución (mg L</w:t>
      </w:r>
      <w:r w:rsidR="00C84D79" w:rsidRPr="00D247A3">
        <w:rPr>
          <w:rFonts w:cs="Arial"/>
          <w:sz w:val="24"/>
          <w:szCs w:val="24"/>
          <w:vertAlign w:val="superscript"/>
        </w:rPr>
        <w:t>-1</w:t>
      </w:r>
      <w:r w:rsidR="00C84D79" w:rsidRPr="00D247A3">
        <w:rPr>
          <w:rFonts w:cs="Arial"/>
          <w:sz w:val="24"/>
          <w:szCs w:val="24"/>
        </w:rPr>
        <w:t xml:space="preserve">), inoculados con </w:t>
      </w:r>
      <w:proofErr w:type="spellStart"/>
      <w:r w:rsidR="00C84D79" w:rsidRPr="00D247A3">
        <w:rPr>
          <w:rFonts w:cs="Arial"/>
          <w:i/>
          <w:sz w:val="24"/>
          <w:szCs w:val="24"/>
        </w:rPr>
        <w:t>Mortierella</w:t>
      </w:r>
      <w:proofErr w:type="spellEnd"/>
      <w:r w:rsidR="00C84D79" w:rsidRPr="00D247A3">
        <w:rPr>
          <w:rFonts w:cs="Arial"/>
          <w:sz w:val="24"/>
          <w:szCs w:val="24"/>
        </w:rPr>
        <w:t xml:space="preserve"> </w:t>
      </w:r>
      <w:proofErr w:type="spellStart"/>
      <w:r w:rsidR="00C84D79" w:rsidRPr="00D247A3">
        <w:rPr>
          <w:rFonts w:cs="Arial"/>
          <w:sz w:val="24"/>
          <w:szCs w:val="24"/>
        </w:rPr>
        <w:t>sp.</w:t>
      </w:r>
      <w:proofErr w:type="spellEnd"/>
      <w:r w:rsidR="00C84D79" w:rsidRPr="00D247A3">
        <w:rPr>
          <w:rFonts w:cs="Arial"/>
          <w:sz w:val="24"/>
          <w:szCs w:val="24"/>
        </w:rPr>
        <w:t xml:space="preserve"> Cada columna representa el promedio de </w:t>
      </w:r>
      <w:r w:rsidR="00D52BAF" w:rsidRPr="00D247A3">
        <w:rPr>
          <w:rFonts w:cs="Arial"/>
          <w:sz w:val="24"/>
          <w:szCs w:val="24"/>
        </w:rPr>
        <w:t>4</w:t>
      </w:r>
      <w:r w:rsidR="00C84D79" w:rsidRPr="00D247A3">
        <w:rPr>
          <w:rFonts w:cs="Arial"/>
          <w:sz w:val="24"/>
          <w:szCs w:val="24"/>
        </w:rPr>
        <w:t xml:space="preserve"> repeticiones. </w:t>
      </w:r>
      <w:r w:rsidR="00D52BAF" w:rsidRPr="00D247A3">
        <w:rPr>
          <w:rFonts w:cs="Arial"/>
          <w:sz w:val="24"/>
          <w:szCs w:val="24"/>
        </w:rPr>
        <w:t>Las</w:t>
      </w:r>
      <w:r w:rsidR="00C84D79" w:rsidRPr="00D247A3">
        <w:rPr>
          <w:rFonts w:cs="Arial"/>
          <w:sz w:val="24"/>
          <w:szCs w:val="24"/>
        </w:rPr>
        <w:t xml:space="preserve"> letras minúsculas indican diferencia significativa de los tratamientos según la prueba de Duncan (</w:t>
      </w:r>
      <w:r w:rsidR="00C84D79" w:rsidRPr="00D247A3">
        <w:rPr>
          <w:rFonts w:cs="Arial"/>
          <w:i/>
          <w:sz w:val="24"/>
          <w:szCs w:val="24"/>
        </w:rPr>
        <w:t>P</w:t>
      </w:r>
      <w:r w:rsidR="00C84D79" w:rsidRPr="00D247A3">
        <w:rPr>
          <w:rFonts w:cs="Arial"/>
          <w:sz w:val="24"/>
          <w:szCs w:val="24"/>
        </w:rPr>
        <w:t>≤0.05). NS: no hay diferencia</w:t>
      </w:r>
      <w:r w:rsidR="00756724" w:rsidRPr="00D247A3">
        <w:rPr>
          <w:rFonts w:cs="Arial"/>
          <w:sz w:val="24"/>
          <w:szCs w:val="24"/>
        </w:rPr>
        <w:t>s</w:t>
      </w:r>
      <w:r w:rsidR="00C84D79" w:rsidRPr="00D247A3">
        <w:rPr>
          <w:rFonts w:cs="Arial"/>
          <w:sz w:val="24"/>
          <w:szCs w:val="24"/>
        </w:rPr>
        <w:t xml:space="preserve"> significativa</w:t>
      </w:r>
      <w:r w:rsidR="00756724" w:rsidRPr="00D247A3">
        <w:rPr>
          <w:rFonts w:cs="Arial"/>
          <w:sz w:val="24"/>
          <w:szCs w:val="24"/>
        </w:rPr>
        <w:t>s</w:t>
      </w:r>
      <w:r w:rsidR="00C84D79" w:rsidRPr="00D247A3">
        <w:rPr>
          <w:rFonts w:cs="Arial"/>
          <w:sz w:val="24"/>
          <w:szCs w:val="24"/>
        </w:rPr>
        <w:t xml:space="preserve">. </w:t>
      </w:r>
    </w:p>
    <w:p w:rsidR="001E5214" w:rsidRPr="00D247A3" w:rsidRDefault="001E5214" w:rsidP="005836FE">
      <w:pPr>
        <w:spacing w:line="360" w:lineRule="auto"/>
        <w:jc w:val="both"/>
        <w:rPr>
          <w:rFonts w:cs="Arial"/>
          <w:sz w:val="24"/>
          <w:szCs w:val="24"/>
        </w:rPr>
      </w:pPr>
    </w:p>
    <w:p w:rsidR="001E5214" w:rsidRPr="00D247A3" w:rsidRDefault="001E5214" w:rsidP="005836FE">
      <w:pPr>
        <w:spacing w:line="360" w:lineRule="auto"/>
        <w:jc w:val="both"/>
        <w:rPr>
          <w:rFonts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0"/>
        <w:gridCol w:w="4750"/>
      </w:tblGrid>
      <w:tr w:rsidR="00C84D79" w:rsidRPr="00D247A3" w:rsidTr="007502E7">
        <w:trPr>
          <w:trHeight w:val="158"/>
        </w:trPr>
        <w:tc>
          <w:tcPr>
            <w:tcW w:w="4750" w:type="dxa"/>
          </w:tcPr>
          <w:p w:rsidR="00C84D79" w:rsidRPr="00D247A3" w:rsidRDefault="00C84D79" w:rsidP="005836FE">
            <w:pPr>
              <w:spacing w:line="360" w:lineRule="auto"/>
              <w:jc w:val="center"/>
              <w:rPr>
                <w:rFonts w:cs="Arial"/>
                <w:sz w:val="20"/>
                <w:szCs w:val="24"/>
              </w:rPr>
            </w:pPr>
            <w:r w:rsidRPr="00D247A3">
              <w:rPr>
                <w:rFonts w:cs="Arial"/>
                <w:sz w:val="20"/>
                <w:szCs w:val="24"/>
              </w:rPr>
              <w:t>A</w:t>
            </w:r>
          </w:p>
        </w:tc>
        <w:tc>
          <w:tcPr>
            <w:tcW w:w="4750" w:type="dxa"/>
          </w:tcPr>
          <w:p w:rsidR="00C84D79" w:rsidRPr="00D247A3" w:rsidRDefault="00C84D79" w:rsidP="005836FE">
            <w:pPr>
              <w:spacing w:line="360" w:lineRule="auto"/>
              <w:jc w:val="center"/>
              <w:rPr>
                <w:rFonts w:cs="Arial"/>
                <w:sz w:val="20"/>
                <w:szCs w:val="24"/>
              </w:rPr>
            </w:pPr>
            <w:r w:rsidRPr="00D247A3">
              <w:rPr>
                <w:rFonts w:cs="Arial"/>
                <w:sz w:val="20"/>
                <w:szCs w:val="24"/>
              </w:rPr>
              <w:t>B</w:t>
            </w:r>
          </w:p>
        </w:tc>
      </w:tr>
      <w:tr w:rsidR="00C84D79" w:rsidRPr="00D247A3" w:rsidTr="00C84D79">
        <w:tblPrEx>
          <w:tblCellMar>
            <w:left w:w="70" w:type="dxa"/>
            <w:right w:w="70" w:type="dxa"/>
          </w:tblCellMar>
        </w:tblPrEx>
        <w:tc>
          <w:tcPr>
            <w:tcW w:w="4750" w:type="dxa"/>
          </w:tcPr>
          <w:p w:rsidR="00C84D79" w:rsidRPr="00D247A3" w:rsidRDefault="00C84D79" w:rsidP="005836FE">
            <w:pPr>
              <w:spacing w:line="360" w:lineRule="auto"/>
              <w:jc w:val="both"/>
              <w:rPr>
                <w:rFonts w:cs="Arial"/>
                <w:sz w:val="24"/>
                <w:szCs w:val="24"/>
              </w:rPr>
            </w:pPr>
            <w:r w:rsidRPr="00D247A3">
              <w:rPr>
                <w:rFonts w:cs="Arial"/>
                <w:noProof/>
                <w:sz w:val="24"/>
                <w:szCs w:val="24"/>
                <w:lang w:eastAsia="es-CO"/>
              </w:rPr>
              <w:drawing>
                <wp:inline distT="0" distB="0" distL="0" distR="0">
                  <wp:extent cx="2916000" cy="2156900"/>
                  <wp:effectExtent l="0" t="0" r="5080" b="254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750" w:type="dxa"/>
          </w:tcPr>
          <w:p w:rsidR="00C84D79" w:rsidRPr="00D247A3" w:rsidRDefault="00C84D79" w:rsidP="005836FE">
            <w:pPr>
              <w:spacing w:line="360" w:lineRule="auto"/>
              <w:jc w:val="both"/>
              <w:rPr>
                <w:rFonts w:cs="Arial"/>
                <w:sz w:val="24"/>
                <w:szCs w:val="24"/>
              </w:rPr>
            </w:pPr>
            <w:r w:rsidRPr="00D247A3">
              <w:rPr>
                <w:rFonts w:cs="Arial"/>
                <w:noProof/>
                <w:sz w:val="24"/>
                <w:szCs w:val="24"/>
                <w:lang w:eastAsia="es-CO"/>
              </w:rPr>
              <w:drawing>
                <wp:inline distT="0" distB="0" distL="0" distR="0">
                  <wp:extent cx="2916000" cy="2160000"/>
                  <wp:effectExtent l="0" t="0" r="508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1B57F4" w:rsidRPr="00D247A3" w:rsidRDefault="005E4DF2" w:rsidP="005836FE">
      <w:pPr>
        <w:spacing w:line="360" w:lineRule="auto"/>
        <w:jc w:val="both"/>
        <w:rPr>
          <w:rFonts w:cs="Arial"/>
          <w:sz w:val="24"/>
          <w:szCs w:val="24"/>
        </w:rPr>
      </w:pPr>
      <w:r w:rsidRPr="00D247A3">
        <w:rPr>
          <w:rFonts w:cs="Arial"/>
          <w:b/>
          <w:sz w:val="24"/>
          <w:szCs w:val="24"/>
        </w:rPr>
        <w:t>Fig</w:t>
      </w:r>
      <w:r w:rsidR="00C84D79" w:rsidRPr="00D247A3">
        <w:rPr>
          <w:rFonts w:cs="Arial"/>
          <w:b/>
          <w:sz w:val="24"/>
          <w:szCs w:val="24"/>
        </w:rPr>
        <w:t>ura 3.</w:t>
      </w:r>
      <w:r w:rsidR="00C84D79" w:rsidRPr="00D247A3">
        <w:rPr>
          <w:rFonts w:cs="Arial"/>
          <w:sz w:val="24"/>
          <w:szCs w:val="24"/>
        </w:rPr>
        <w:t xml:space="preserve"> (A) pH de la solución en del </w:t>
      </w:r>
      <w:r w:rsidR="00D247A3">
        <w:rPr>
          <w:rFonts w:cs="Arial"/>
          <w:sz w:val="24"/>
          <w:szCs w:val="24"/>
        </w:rPr>
        <w:t xml:space="preserve">tiempo y (B) Concentración de </w:t>
      </w:r>
      <w:proofErr w:type="spellStart"/>
      <w:r w:rsidR="00AF46D6">
        <w:rPr>
          <w:rFonts w:cs="Arial"/>
          <w:sz w:val="24"/>
          <w:szCs w:val="24"/>
        </w:rPr>
        <w:t>fosfóro</w:t>
      </w:r>
      <w:proofErr w:type="spellEnd"/>
      <w:r w:rsidR="00AF46D6">
        <w:rPr>
          <w:rFonts w:cs="Arial"/>
          <w:sz w:val="24"/>
          <w:szCs w:val="24"/>
        </w:rPr>
        <w:t xml:space="preserve"> (</w:t>
      </w:r>
      <w:r w:rsidR="00AF46D6" w:rsidRPr="00D247A3">
        <w:rPr>
          <w:rFonts w:cs="Arial"/>
          <w:sz w:val="24"/>
          <w:szCs w:val="24"/>
        </w:rPr>
        <w:t>P</w:t>
      </w:r>
      <w:r w:rsidR="00AF46D6">
        <w:rPr>
          <w:rFonts w:cs="Arial"/>
          <w:sz w:val="24"/>
          <w:szCs w:val="24"/>
        </w:rPr>
        <w:t>)</w:t>
      </w:r>
      <w:r w:rsidR="00C84D79" w:rsidRPr="00D247A3">
        <w:rPr>
          <w:rFonts w:cs="Arial"/>
          <w:sz w:val="24"/>
          <w:szCs w:val="24"/>
        </w:rPr>
        <w:t xml:space="preserve"> en la solución (mg L</w:t>
      </w:r>
      <w:r w:rsidR="00C84D79" w:rsidRPr="00D247A3">
        <w:rPr>
          <w:rFonts w:cs="Arial"/>
          <w:sz w:val="24"/>
          <w:szCs w:val="24"/>
          <w:vertAlign w:val="superscript"/>
        </w:rPr>
        <w:t>-1</w:t>
      </w:r>
      <w:r w:rsidR="00C84D79" w:rsidRPr="00D247A3">
        <w:rPr>
          <w:rFonts w:cs="Arial"/>
          <w:sz w:val="24"/>
          <w:szCs w:val="24"/>
        </w:rPr>
        <w:t xml:space="preserve">) inoculados con </w:t>
      </w:r>
      <w:proofErr w:type="spellStart"/>
      <w:r w:rsidR="00C84D79" w:rsidRPr="00D247A3">
        <w:rPr>
          <w:rFonts w:cs="Arial"/>
          <w:i/>
          <w:sz w:val="24"/>
          <w:szCs w:val="24"/>
        </w:rPr>
        <w:t>Mortierella</w:t>
      </w:r>
      <w:proofErr w:type="spellEnd"/>
      <w:r w:rsidR="00C84D79" w:rsidRPr="00D247A3">
        <w:rPr>
          <w:rFonts w:cs="Arial"/>
          <w:sz w:val="24"/>
          <w:szCs w:val="24"/>
        </w:rPr>
        <w:t xml:space="preserve"> </w:t>
      </w:r>
      <w:proofErr w:type="spellStart"/>
      <w:r w:rsidR="00C84D79" w:rsidRPr="00D247A3">
        <w:rPr>
          <w:rFonts w:cs="Arial"/>
          <w:sz w:val="24"/>
          <w:szCs w:val="24"/>
        </w:rPr>
        <w:t>sp.</w:t>
      </w:r>
      <w:proofErr w:type="spellEnd"/>
      <w:r w:rsidR="00C84D79" w:rsidRPr="00D247A3">
        <w:rPr>
          <w:rFonts w:cs="Arial"/>
          <w:sz w:val="24"/>
          <w:szCs w:val="24"/>
        </w:rPr>
        <w:t xml:space="preserve"> </w:t>
      </w:r>
      <w:r w:rsidRPr="00D247A3">
        <w:rPr>
          <w:rFonts w:cs="Arial"/>
          <w:sz w:val="24"/>
          <w:szCs w:val="24"/>
        </w:rPr>
        <w:t>c</w:t>
      </w:r>
      <w:r w:rsidR="00C84D79" w:rsidRPr="00D247A3">
        <w:rPr>
          <w:rFonts w:cs="Arial"/>
          <w:sz w:val="24"/>
          <w:szCs w:val="24"/>
        </w:rPr>
        <w:t xml:space="preserve">ada columna representa el promedio de </w:t>
      </w:r>
      <w:r w:rsidR="00D52BAF" w:rsidRPr="00D247A3">
        <w:rPr>
          <w:rFonts w:cs="Arial"/>
          <w:sz w:val="24"/>
          <w:szCs w:val="24"/>
        </w:rPr>
        <w:t>4</w:t>
      </w:r>
      <w:r w:rsidR="00C84D79" w:rsidRPr="00D247A3">
        <w:rPr>
          <w:rFonts w:cs="Arial"/>
          <w:sz w:val="24"/>
          <w:szCs w:val="24"/>
        </w:rPr>
        <w:t xml:space="preserve"> repeticiones. </w:t>
      </w:r>
      <w:r w:rsidR="00D52BAF" w:rsidRPr="00D247A3">
        <w:rPr>
          <w:rFonts w:cs="Arial"/>
          <w:sz w:val="24"/>
          <w:szCs w:val="24"/>
        </w:rPr>
        <w:t>L</w:t>
      </w:r>
      <w:r w:rsidR="00C84D79" w:rsidRPr="00D247A3">
        <w:rPr>
          <w:rFonts w:cs="Arial"/>
          <w:sz w:val="24"/>
          <w:szCs w:val="24"/>
        </w:rPr>
        <w:t>as letras minúsculas indican diferencia</w:t>
      </w:r>
      <w:r w:rsidR="00756724" w:rsidRPr="00D247A3">
        <w:rPr>
          <w:rFonts w:cs="Arial"/>
          <w:sz w:val="24"/>
          <w:szCs w:val="24"/>
        </w:rPr>
        <w:t>s</w:t>
      </w:r>
      <w:r w:rsidR="00C84D79" w:rsidRPr="00D247A3">
        <w:rPr>
          <w:rFonts w:cs="Arial"/>
          <w:sz w:val="24"/>
          <w:szCs w:val="24"/>
        </w:rPr>
        <w:t xml:space="preserve"> significativa</w:t>
      </w:r>
      <w:r w:rsidR="00756724" w:rsidRPr="00D247A3">
        <w:rPr>
          <w:rFonts w:cs="Arial"/>
          <w:sz w:val="24"/>
          <w:szCs w:val="24"/>
        </w:rPr>
        <w:t>s</w:t>
      </w:r>
      <w:r w:rsidR="00C84D79" w:rsidRPr="00D247A3">
        <w:rPr>
          <w:rFonts w:cs="Arial"/>
          <w:sz w:val="24"/>
          <w:szCs w:val="24"/>
        </w:rPr>
        <w:t xml:space="preserve"> de los tratamientos según la prueba de Duncan (</w:t>
      </w:r>
      <w:r w:rsidR="00C84D79" w:rsidRPr="00D247A3">
        <w:rPr>
          <w:rFonts w:cs="Arial"/>
          <w:i/>
          <w:sz w:val="24"/>
          <w:szCs w:val="24"/>
        </w:rPr>
        <w:t>P</w:t>
      </w:r>
      <w:r w:rsidR="00C84D79" w:rsidRPr="00D247A3">
        <w:rPr>
          <w:rFonts w:cs="Arial"/>
          <w:sz w:val="24"/>
          <w:szCs w:val="24"/>
        </w:rPr>
        <w:t xml:space="preserve">≤0.05). </w:t>
      </w:r>
    </w:p>
    <w:p w:rsidR="001B57F4" w:rsidRPr="00D247A3" w:rsidRDefault="001B57F4" w:rsidP="005836FE">
      <w:pPr>
        <w:spacing w:line="360" w:lineRule="auto"/>
        <w:jc w:val="both"/>
        <w:rPr>
          <w:rFonts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0"/>
        <w:gridCol w:w="4750"/>
      </w:tblGrid>
      <w:tr w:rsidR="00161E0F" w:rsidRPr="00D247A3" w:rsidTr="00161E0F">
        <w:tc>
          <w:tcPr>
            <w:tcW w:w="4750" w:type="dxa"/>
          </w:tcPr>
          <w:p w:rsidR="00161E0F" w:rsidRPr="00D247A3" w:rsidRDefault="00161E0F" w:rsidP="005836FE">
            <w:pPr>
              <w:spacing w:line="360" w:lineRule="auto"/>
              <w:jc w:val="center"/>
              <w:rPr>
                <w:rFonts w:cs="Arial"/>
                <w:sz w:val="20"/>
                <w:szCs w:val="24"/>
              </w:rPr>
            </w:pPr>
            <w:r w:rsidRPr="00D247A3">
              <w:rPr>
                <w:rFonts w:cs="Arial"/>
                <w:sz w:val="20"/>
                <w:szCs w:val="24"/>
              </w:rPr>
              <w:t>A</w:t>
            </w:r>
          </w:p>
        </w:tc>
        <w:tc>
          <w:tcPr>
            <w:tcW w:w="4750" w:type="dxa"/>
          </w:tcPr>
          <w:p w:rsidR="00161E0F" w:rsidRPr="00D247A3" w:rsidRDefault="00161E0F" w:rsidP="005836FE">
            <w:pPr>
              <w:spacing w:line="360" w:lineRule="auto"/>
              <w:jc w:val="center"/>
              <w:rPr>
                <w:rFonts w:cs="Arial"/>
                <w:sz w:val="20"/>
                <w:szCs w:val="24"/>
              </w:rPr>
            </w:pPr>
            <w:r w:rsidRPr="00D247A3">
              <w:rPr>
                <w:rFonts w:cs="Arial"/>
                <w:sz w:val="20"/>
                <w:szCs w:val="24"/>
              </w:rPr>
              <w:t>B</w:t>
            </w:r>
          </w:p>
        </w:tc>
      </w:tr>
      <w:tr w:rsidR="00161E0F" w:rsidRPr="00D247A3" w:rsidTr="00161E0F">
        <w:tblPrEx>
          <w:tblCellMar>
            <w:left w:w="70" w:type="dxa"/>
            <w:right w:w="70" w:type="dxa"/>
          </w:tblCellMar>
        </w:tblPrEx>
        <w:tc>
          <w:tcPr>
            <w:tcW w:w="4750" w:type="dxa"/>
          </w:tcPr>
          <w:p w:rsidR="00161E0F" w:rsidRPr="00D247A3" w:rsidRDefault="00161E0F" w:rsidP="005836FE">
            <w:pPr>
              <w:spacing w:line="360" w:lineRule="auto"/>
              <w:jc w:val="both"/>
              <w:rPr>
                <w:rFonts w:cs="Arial"/>
                <w:sz w:val="24"/>
                <w:szCs w:val="24"/>
              </w:rPr>
            </w:pPr>
            <w:r w:rsidRPr="00D247A3">
              <w:rPr>
                <w:rFonts w:cs="Arial"/>
                <w:noProof/>
                <w:sz w:val="24"/>
                <w:szCs w:val="24"/>
                <w:lang w:eastAsia="es-CO"/>
              </w:rPr>
              <w:drawing>
                <wp:inline distT="0" distB="0" distL="0" distR="0">
                  <wp:extent cx="2916000" cy="2160000"/>
                  <wp:effectExtent l="0" t="0" r="508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750" w:type="dxa"/>
          </w:tcPr>
          <w:p w:rsidR="00161E0F" w:rsidRPr="00D247A3" w:rsidRDefault="00161E0F" w:rsidP="005836FE">
            <w:pPr>
              <w:spacing w:line="360" w:lineRule="auto"/>
              <w:jc w:val="both"/>
              <w:rPr>
                <w:rFonts w:cs="Arial"/>
                <w:sz w:val="24"/>
                <w:szCs w:val="24"/>
              </w:rPr>
            </w:pPr>
            <w:r w:rsidRPr="00D247A3">
              <w:rPr>
                <w:rFonts w:cs="Arial"/>
                <w:noProof/>
                <w:sz w:val="24"/>
                <w:szCs w:val="24"/>
                <w:lang w:eastAsia="es-CO"/>
              </w:rPr>
              <w:drawing>
                <wp:inline distT="0" distB="0" distL="0" distR="0">
                  <wp:extent cx="2916000" cy="2160000"/>
                  <wp:effectExtent l="0" t="0" r="508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161E0F" w:rsidRPr="00D247A3" w:rsidRDefault="005E4DF2" w:rsidP="005836FE">
      <w:pPr>
        <w:spacing w:line="360" w:lineRule="auto"/>
        <w:jc w:val="both"/>
        <w:rPr>
          <w:rFonts w:cs="Arial"/>
          <w:sz w:val="24"/>
          <w:szCs w:val="24"/>
        </w:rPr>
      </w:pPr>
      <w:r w:rsidRPr="00D247A3">
        <w:rPr>
          <w:rFonts w:cs="Arial"/>
          <w:b/>
          <w:sz w:val="24"/>
          <w:szCs w:val="24"/>
        </w:rPr>
        <w:t>Fig</w:t>
      </w:r>
      <w:r w:rsidR="00161E0F" w:rsidRPr="00D247A3">
        <w:rPr>
          <w:rFonts w:cs="Arial"/>
          <w:b/>
          <w:sz w:val="24"/>
          <w:szCs w:val="24"/>
        </w:rPr>
        <w:t>ura 4.</w:t>
      </w:r>
      <w:r w:rsidR="00161E0F" w:rsidRPr="00D247A3">
        <w:rPr>
          <w:rFonts w:cs="Arial"/>
          <w:sz w:val="24"/>
          <w:szCs w:val="24"/>
        </w:rPr>
        <w:t xml:space="preserve"> (A) pH de la solución y (B) Concentración de </w:t>
      </w:r>
      <w:proofErr w:type="spellStart"/>
      <w:r w:rsidR="00AF46D6">
        <w:rPr>
          <w:rFonts w:cs="Arial"/>
          <w:sz w:val="24"/>
          <w:szCs w:val="24"/>
        </w:rPr>
        <w:t>fosfóro</w:t>
      </w:r>
      <w:proofErr w:type="spellEnd"/>
      <w:r w:rsidR="00AF46D6">
        <w:rPr>
          <w:rFonts w:cs="Arial"/>
          <w:sz w:val="24"/>
          <w:szCs w:val="24"/>
        </w:rPr>
        <w:t xml:space="preserve"> (</w:t>
      </w:r>
      <w:r w:rsidR="00AF46D6" w:rsidRPr="00D247A3">
        <w:rPr>
          <w:rFonts w:cs="Arial"/>
          <w:sz w:val="24"/>
          <w:szCs w:val="24"/>
        </w:rPr>
        <w:t>P</w:t>
      </w:r>
      <w:r w:rsidR="00AF46D6">
        <w:rPr>
          <w:rFonts w:cs="Arial"/>
          <w:sz w:val="24"/>
          <w:szCs w:val="24"/>
        </w:rPr>
        <w:t>)</w:t>
      </w:r>
      <w:r w:rsidR="00161E0F" w:rsidRPr="00D247A3">
        <w:rPr>
          <w:rFonts w:cs="Arial"/>
          <w:sz w:val="24"/>
          <w:szCs w:val="24"/>
        </w:rPr>
        <w:t xml:space="preserve"> en la solución (mg L</w:t>
      </w:r>
      <w:r w:rsidR="00161E0F" w:rsidRPr="00D247A3">
        <w:rPr>
          <w:rFonts w:cs="Arial"/>
          <w:sz w:val="24"/>
          <w:szCs w:val="24"/>
          <w:vertAlign w:val="superscript"/>
        </w:rPr>
        <w:t>-1</w:t>
      </w:r>
      <w:r w:rsidR="00161E0F" w:rsidRPr="00D247A3">
        <w:rPr>
          <w:rFonts w:cs="Arial"/>
          <w:sz w:val="24"/>
          <w:szCs w:val="24"/>
        </w:rPr>
        <w:t>) en función del tipo de R</w:t>
      </w:r>
      <w:r w:rsidR="00D247A3">
        <w:rPr>
          <w:rFonts w:cs="Arial"/>
          <w:sz w:val="24"/>
          <w:szCs w:val="24"/>
        </w:rPr>
        <w:t xml:space="preserve">oca </w:t>
      </w:r>
      <w:proofErr w:type="spellStart"/>
      <w:r w:rsidR="00D247A3">
        <w:rPr>
          <w:rFonts w:cs="Arial"/>
          <w:sz w:val="24"/>
          <w:szCs w:val="24"/>
        </w:rPr>
        <w:t>fosfótica</w:t>
      </w:r>
      <w:proofErr w:type="spellEnd"/>
      <w:r w:rsidR="00161E0F" w:rsidRPr="00D247A3">
        <w:rPr>
          <w:rFonts w:cs="Arial"/>
          <w:sz w:val="24"/>
          <w:szCs w:val="24"/>
        </w:rPr>
        <w:t xml:space="preserve"> inoculados con </w:t>
      </w:r>
      <w:proofErr w:type="spellStart"/>
      <w:r w:rsidR="00161E0F" w:rsidRPr="00D247A3">
        <w:rPr>
          <w:rFonts w:cs="Arial"/>
          <w:i/>
          <w:sz w:val="24"/>
          <w:szCs w:val="24"/>
        </w:rPr>
        <w:t>Mortierella</w:t>
      </w:r>
      <w:proofErr w:type="spellEnd"/>
      <w:r w:rsidR="00161E0F" w:rsidRPr="00D247A3">
        <w:rPr>
          <w:rFonts w:cs="Arial"/>
          <w:sz w:val="24"/>
          <w:szCs w:val="24"/>
        </w:rPr>
        <w:t xml:space="preserve"> </w:t>
      </w:r>
      <w:proofErr w:type="spellStart"/>
      <w:r w:rsidR="00161E0F" w:rsidRPr="00D247A3">
        <w:rPr>
          <w:rFonts w:cs="Arial"/>
          <w:sz w:val="24"/>
          <w:szCs w:val="24"/>
        </w:rPr>
        <w:t>sp.</w:t>
      </w:r>
      <w:proofErr w:type="spellEnd"/>
      <w:r w:rsidR="00161E0F" w:rsidRPr="00D247A3">
        <w:rPr>
          <w:rFonts w:cs="Arial"/>
          <w:sz w:val="24"/>
          <w:szCs w:val="24"/>
        </w:rPr>
        <w:t xml:space="preserve"> </w:t>
      </w:r>
      <w:r w:rsidR="004D0FC1" w:rsidRPr="00D247A3">
        <w:rPr>
          <w:rFonts w:cs="Arial"/>
          <w:sz w:val="24"/>
          <w:szCs w:val="24"/>
        </w:rPr>
        <w:t>c</w:t>
      </w:r>
      <w:r w:rsidR="00161E0F" w:rsidRPr="00D247A3">
        <w:rPr>
          <w:rFonts w:cs="Arial"/>
          <w:sz w:val="24"/>
          <w:szCs w:val="24"/>
        </w:rPr>
        <w:t xml:space="preserve">ada columna representa el promedio de </w:t>
      </w:r>
      <w:r w:rsidR="00D52BAF" w:rsidRPr="00D247A3">
        <w:rPr>
          <w:rFonts w:cs="Arial"/>
          <w:sz w:val="24"/>
          <w:szCs w:val="24"/>
        </w:rPr>
        <w:t>4</w:t>
      </w:r>
      <w:r w:rsidR="00161E0F" w:rsidRPr="00D247A3">
        <w:rPr>
          <w:rFonts w:cs="Arial"/>
          <w:sz w:val="24"/>
          <w:szCs w:val="24"/>
        </w:rPr>
        <w:t xml:space="preserve"> repeticiones.</w:t>
      </w:r>
      <w:r w:rsidR="00D52BAF" w:rsidRPr="00D247A3">
        <w:rPr>
          <w:rFonts w:cs="Arial"/>
          <w:sz w:val="24"/>
          <w:szCs w:val="24"/>
        </w:rPr>
        <w:t xml:space="preserve"> L</w:t>
      </w:r>
      <w:r w:rsidR="00161E0F" w:rsidRPr="00D247A3">
        <w:rPr>
          <w:rFonts w:cs="Arial"/>
          <w:sz w:val="24"/>
          <w:szCs w:val="24"/>
        </w:rPr>
        <w:t>as letras minúsculas indican diferencia</w:t>
      </w:r>
      <w:r w:rsidR="00756724" w:rsidRPr="00D247A3">
        <w:rPr>
          <w:rFonts w:cs="Arial"/>
          <w:sz w:val="24"/>
          <w:szCs w:val="24"/>
        </w:rPr>
        <w:t>s</w:t>
      </w:r>
      <w:r w:rsidR="00161E0F" w:rsidRPr="00D247A3">
        <w:rPr>
          <w:rFonts w:cs="Arial"/>
          <w:sz w:val="24"/>
          <w:szCs w:val="24"/>
        </w:rPr>
        <w:t xml:space="preserve"> significativa</w:t>
      </w:r>
      <w:r w:rsidR="00756724" w:rsidRPr="00D247A3">
        <w:rPr>
          <w:rFonts w:cs="Arial"/>
          <w:sz w:val="24"/>
          <w:szCs w:val="24"/>
        </w:rPr>
        <w:t>s</w:t>
      </w:r>
      <w:r w:rsidR="00161E0F" w:rsidRPr="00D247A3">
        <w:rPr>
          <w:rFonts w:cs="Arial"/>
          <w:sz w:val="24"/>
          <w:szCs w:val="24"/>
        </w:rPr>
        <w:t xml:space="preserve"> de los tratamientos según la prueba de Duncan (</w:t>
      </w:r>
      <w:r w:rsidR="00161E0F" w:rsidRPr="00D247A3">
        <w:rPr>
          <w:rFonts w:cs="Arial"/>
          <w:i/>
          <w:sz w:val="24"/>
          <w:szCs w:val="24"/>
        </w:rPr>
        <w:t>P</w:t>
      </w:r>
      <w:r w:rsidR="00161E0F" w:rsidRPr="00D247A3">
        <w:rPr>
          <w:rFonts w:cs="Arial"/>
          <w:sz w:val="24"/>
          <w:szCs w:val="24"/>
        </w:rPr>
        <w:t>≤0</w:t>
      </w:r>
      <w:r w:rsidR="00D52BAF" w:rsidRPr="00D247A3">
        <w:rPr>
          <w:rFonts w:cs="Arial"/>
          <w:sz w:val="24"/>
          <w:szCs w:val="24"/>
        </w:rPr>
        <w:t>.05). CN: Carolina del Norte, H:</w:t>
      </w:r>
      <w:r w:rsidR="00161E0F" w:rsidRPr="00D247A3">
        <w:rPr>
          <w:rFonts w:cs="Arial"/>
          <w:sz w:val="24"/>
          <w:szCs w:val="24"/>
        </w:rPr>
        <w:t xml:space="preserve"> Huila, S</w:t>
      </w:r>
      <w:r w:rsidR="00D52BAF" w:rsidRPr="00D247A3">
        <w:rPr>
          <w:rFonts w:cs="Arial"/>
          <w:sz w:val="24"/>
          <w:szCs w:val="24"/>
        </w:rPr>
        <w:t>:</w:t>
      </w:r>
      <w:r w:rsidR="00161E0F" w:rsidRPr="00D247A3">
        <w:rPr>
          <w:rFonts w:cs="Arial"/>
          <w:sz w:val="24"/>
          <w:szCs w:val="24"/>
        </w:rPr>
        <w:t xml:space="preserve"> Santander.</w:t>
      </w:r>
    </w:p>
    <w:p w:rsidR="00161E0F" w:rsidRPr="00D247A3" w:rsidRDefault="00161E0F" w:rsidP="005836FE">
      <w:pPr>
        <w:spacing w:line="360" w:lineRule="auto"/>
        <w:rPr>
          <w:rFonts w:cs="Arial"/>
          <w:sz w:val="24"/>
          <w:szCs w:val="24"/>
        </w:rPr>
      </w:pPr>
      <w:r w:rsidRPr="00D247A3">
        <w:rPr>
          <w:rFonts w:cs="Arial"/>
          <w:b/>
          <w:sz w:val="24"/>
          <w:szCs w:val="24"/>
        </w:rPr>
        <w:t>Tabla 2</w:t>
      </w:r>
      <w:r w:rsidRPr="00D247A3">
        <w:rPr>
          <w:rFonts w:cs="Arial"/>
          <w:sz w:val="24"/>
          <w:szCs w:val="24"/>
        </w:rPr>
        <w:t xml:space="preserve">. </w:t>
      </w:r>
      <w:proofErr w:type="spellStart"/>
      <w:r w:rsidR="006B48E5" w:rsidRPr="00D247A3">
        <w:rPr>
          <w:rFonts w:cs="Arial"/>
          <w:sz w:val="24"/>
          <w:szCs w:val="24"/>
        </w:rPr>
        <w:t>Efeciencia</w:t>
      </w:r>
      <w:proofErr w:type="spellEnd"/>
      <w:r w:rsidR="006B48E5" w:rsidRPr="00D247A3">
        <w:rPr>
          <w:rFonts w:cs="Arial"/>
          <w:sz w:val="24"/>
          <w:szCs w:val="24"/>
        </w:rPr>
        <w:t xml:space="preserve"> </w:t>
      </w:r>
      <w:r w:rsidR="00D247A3" w:rsidRPr="00D247A3">
        <w:rPr>
          <w:rFonts w:cs="Arial"/>
          <w:sz w:val="24"/>
          <w:szCs w:val="24"/>
        </w:rPr>
        <w:t xml:space="preserve">para disolver </w:t>
      </w:r>
      <w:r w:rsidR="006B48E5" w:rsidRPr="00D247A3">
        <w:rPr>
          <w:rFonts w:cs="Arial"/>
          <w:sz w:val="24"/>
          <w:szCs w:val="24"/>
        </w:rPr>
        <w:t xml:space="preserve">roca fosfórica (EDRP) </w:t>
      </w:r>
      <w:r w:rsidR="00D247A3" w:rsidRPr="00D247A3">
        <w:rPr>
          <w:rFonts w:cs="Arial"/>
          <w:sz w:val="24"/>
          <w:szCs w:val="24"/>
        </w:rPr>
        <w:t xml:space="preserve">del hongo </w:t>
      </w:r>
      <w:proofErr w:type="spellStart"/>
      <w:r w:rsidR="006B48E5" w:rsidRPr="00D247A3">
        <w:rPr>
          <w:rFonts w:cs="Arial"/>
          <w:i/>
          <w:sz w:val="24"/>
          <w:szCs w:val="24"/>
        </w:rPr>
        <w:t>Mortierella</w:t>
      </w:r>
      <w:proofErr w:type="spellEnd"/>
      <w:r w:rsidR="006B48E5" w:rsidRPr="00D247A3">
        <w:rPr>
          <w:rFonts w:cs="Arial"/>
          <w:sz w:val="24"/>
          <w:szCs w:val="24"/>
        </w:rPr>
        <w:t xml:space="preserve"> </w:t>
      </w:r>
      <w:proofErr w:type="spellStart"/>
      <w:r w:rsidR="006B48E5" w:rsidRPr="00D247A3">
        <w:rPr>
          <w:rFonts w:cs="Arial"/>
          <w:sz w:val="24"/>
          <w:szCs w:val="24"/>
        </w:rPr>
        <w:t>sp.</w:t>
      </w:r>
      <w:proofErr w:type="spellEnd"/>
      <w:r w:rsidR="006B48E5" w:rsidRPr="00D247A3">
        <w:rPr>
          <w:rFonts w:cs="Arial"/>
          <w:sz w:val="24"/>
          <w:szCs w:val="24"/>
        </w:rPr>
        <w:t xml:space="preserve"> en función del tiempo.</w:t>
      </w:r>
    </w:p>
    <w:tbl>
      <w:tblPr>
        <w:tblW w:w="0" w:type="auto"/>
        <w:jc w:val="center"/>
        <w:tblBorders>
          <w:top w:val="single" w:sz="4" w:space="0" w:color="auto"/>
          <w:bottom w:val="single" w:sz="4" w:space="0" w:color="auto"/>
        </w:tblBorders>
        <w:tblLook w:val="04A0"/>
      </w:tblPr>
      <w:tblGrid>
        <w:gridCol w:w="1877"/>
        <w:gridCol w:w="1905"/>
      </w:tblGrid>
      <w:tr w:rsidR="00161E0F" w:rsidRPr="00D247A3" w:rsidTr="00D52BAF">
        <w:trPr>
          <w:trHeight w:val="161"/>
          <w:jc w:val="center"/>
        </w:trPr>
        <w:tc>
          <w:tcPr>
            <w:tcW w:w="1877" w:type="dxa"/>
            <w:tcBorders>
              <w:top w:val="single" w:sz="4" w:space="0" w:color="auto"/>
              <w:bottom w:val="single" w:sz="4" w:space="0" w:color="auto"/>
            </w:tcBorders>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Tiempo (días)</w:t>
            </w:r>
          </w:p>
        </w:tc>
        <w:tc>
          <w:tcPr>
            <w:tcW w:w="1905" w:type="dxa"/>
            <w:tcBorders>
              <w:top w:val="single" w:sz="4" w:space="0" w:color="auto"/>
              <w:bottom w:val="single" w:sz="4" w:space="0" w:color="auto"/>
            </w:tcBorders>
            <w:noWrap/>
            <w:vAlign w:val="bottom"/>
            <w:hideMark/>
          </w:tcPr>
          <w:p w:rsidR="00161E0F" w:rsidRPr="00D247A3" w:rsidRDefault="00161E0F" w:rsidP="005836FE">
            <w:pPr>
              <w:spacing w:after="0" w:line="360" w:lineRule="auto"/>
              <w:jc w:val="center"/>
              <w:rPr>
                <w:rFonts w:cs="Arial"/>
                <w:szCs w:val="24"/>
              </w:rPr>
            </w:pPr>
            <w:r w:rsidRPr="00D247A3">
              <w:rPr>
                <w:rFonts w:cs="Arial"/>
                <w:iCs/>
                <w:szCs w:val="24"/>
              </w:rPr>
              <w:t>EDRP (%)</w:t>
            </w:r>
          </w:p>
        </w:tc>
      </w:tr>
      <w:tr w:rsidR="00161E0F" w:rsidRPr="00D247A3" w:rsidTr="00D52BAF">
        <w:trPr>
          <w:trHeight w:val="179"/>
          <w:jc w:val="center"/>
        </w:trPr>
        <w:tc>
          <w:tcPr>
            <w:tcW w:w="1877"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1</w:t>
            </w:r>
          </w:p>
        </w:tc>
        <w:tc>
          <w:tcPr>
            <w:tcW w:w="1905"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0.4</w:t>
            </w:r>
          </w:p>
        </w:tc>
      </w:tr>
      <w:tr w:rsidR="00161E0F" w:rsidRPr="00D247A3" w:rsidTr="00D52BAF">
        <w:trPr>
          <w:trHeight w:val="207"/>
          <w:jc w:val="center"/>
        </w:trPr>
        <w:tc>
          <w:tcPr>
            <w:tcW w:w="1877"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3</w:t>
            </w:r>
          </w:p>
        </w:tc>
        <w:tc>
          <w:tcPr>
            <w:tcW w:w="1905"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9.5</w:t>
            </w:r>
          </w:p>
        </w:tc>
      </w:tr>
      <w:tr w:rsidR="00161E0F" w:rsidRPr="00D247A3" w:rsidTr="007502E7">
        <w:trPr>
          <w:trHeight w:val="201"/>
          <w:jc w:val="center"/>
        </w:trPr>
        <w:tc>
          <w:tcPr>
            <w:tcW w:w="1877"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5</w:t>
            </w:r>
          </w:p>
        </w:tc>
        <w:tc>
          <w:tcPr>
            <w:tcW w:w="1905"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21.0</w:t>
            </w:r>
          </w:p>
        </w:tc>
      </w:tr>
      <w:tr w:rsidR="00161E0F" w:rsidRPr="00D247A3" w:rsidTr="00D52BAF">
        <w:trPr>
          <w:trHeight w:val="143"/>
          <w:jc w:val="center"/>
        </w:trPr>
        <w:tc>
          <w:tcPr>
            <w:tcW w:w="1877"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7</w:t>
            </w:r>
          </w:p>
        </w:tc>
        <w:tc>
          <w:tcPr>
            <w:tcW w:w="1905"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19.1</w:t>
            </w:r>
          </w:p>
        </w:tc>
      </w:tr>
      <w:tr w:rsidR="00161E0F" w:rsidRPr="00D247A3" w:rsidTr="00D52BAF">
        <w:trPr>
          <w:trHeight w:val="161"/>
          <w:jc w:val="center"/>
        </w:trPr>
        <w:tc>
          <w:tcPr>
            <w:tcW w:w="1877"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10</w:t>
            </w:r>
          </w:p>
        </w:tc>
        <w:tc>
          <w:tcPr>
            <w:tcW w:w="1905"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17.6</w:t>
            </w:r>
          </w:p>
        </w:tc>
      </w:tr>
      <w:tr w:rsidR="00161E0F" w:rsidRPr="00D247A3" w:rsidTr="007502E7">
        <w:trPr>
          <w:trHeight w:val="151"/>
          <w:jc w:val="center"/>
        </w:trPr>
        <w:tc>
          <w:tcPr>
            <w:tcW w:w="1877"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14</w:t>
            </w:r>
          </w:p>
        </w:tc>
        <w:tc>
          <w:tcPr>
            <w:tcW w:w="1905" w:type="dxa"/>
            <w:noWrap/>
            <w:vAlign w:val="bottom"/>
            <w:hideMark/>
          </w:tcPr>
          <w:p w:rsidR="00161E0F" w:rsidRPr="00D247A3" w:rsidRDefault="00161E0F" w:rsidP="005836FE">
            <w:pPr>
              <w:spacing w:after="0" w:line="360" w:lineRule="auto"/>
              <w:jc w:val="center"/>
              <w:rPr>
                <w:rFonts w:cs="Arial"/>
                <w:szCs w:val="24"/>
              </w:rPr>
            </w:pPr>
            <w:r w:rsidRPr="00D247A3">
              <w:rPr>
                <w:rFonts w:cs="Arial"/>
                <w:szCs w:val="24"/>
              </w:rPr>
              <w:t>16.4</w:t>
            </w:r>
          </w:p>
        </w:tc>
      </w:tr>
    </w:tbl>
    <w:p w:rsidR="001D3AFB" w:rsidRPr="00D247A3" w:rsidRDefault="001D3AFB" w:rsidP="005836FE">
      <w:pPr>
        <w:pStyle w:val="Prrafodelista"/>
        <w:ind w:left="426" w:hanging="426"/>
        <w:rPr>
          <w:rFonts w:cs="Arial"/>
          <w:sz w:val="24"/>
          <w:lang w:val="es-CO"/>
        </w:rPr>
      </w:pPr>
    </w:p>
    <w:sectPr w:rsidR="001D3AFB" w:rsidRPr="00D247A3" w:rsidSect="007D7831">
      <w:headerReference w:type="even" r:id="rId16"/>
      <w:footerReference w:type="even" r:id="rId17"/>
      <w:footerReference w:type="default" r:id="rId18"/>
      <w:type w:val="oddPage"/>
      <w:pgSz w:w="12240" w:h="15840" w:code="1"/>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139" w:rsidRDefault="00B36139" w:rsidP="00217026">
      <w:pPr>
        <w:spacing w:after="0" w:line="240" w:lineRule="auto"/>
      </w:pPr>
      <w:r>
        <w:separator/>
      </w:r>
    </w:p>
    <w:p w:rsidR="00B36139" w:rsidRDefault="00B36139"/>
  </w:endnote>
  <w:endnote w:type="continuationSeparator" w:id="0">
    <w:p w:rsidR="00B36139" w:rsidRDefault="00B36139" w:rsidP="00217026">
      <w:pPr>
        <w:spacing w:after="0" w:line="240" w:lineRule="auto"/>
      </w:pPr>
      <w:r>
        <w:continuationSeparator/>
      </w:r>
    </w:p>
    <w:p w:rsidR="00B36139" w:rsidRDefault="00B361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MRomanM">
    <w:altName w:val="Courier New"/>
    <w:charset w:val="00"/>
    <w:family w:val="auto"/>
    <w:pitch w:val="variable"/>
    <w:sig w:usb0="00000001" w:usb1="500061EA" w:usb2="00000000" w:usb3="00000000" w:csb0="00000193"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American Typewriter">
    <w:altName w:val="Arial"/>
    <w:charset w:val="00"/>
    <w:family w:val="auto"/>
    <w:pitch w:val="variable"/>
    <w:sig w:usb0="00000001" w:usb1="00000019" w:usb2="0000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66" w:rsidRDefault="00896053" w:rsidP="00185E73">
    <w:pPr>
      <w:pStyle w:val="Piedepgina"/>
      <w:framePr w:wrap="around" w:vAnchor="text" w:hAnchor="margin" w:xAlign="outside" w:y="1"/>
      <w:rPr>
        <w:rStyle w:val="Nmerodepgina"/>
      </w:rPr>
    </w:pPr>
    <w:r>
      <w:rPr>
        <w:rStyle w:val="Nmerodepgina"/>
      </w:rPr>
      <w:fldChar w:fldCharType="begin"/>
    </w:r>
    <w:r w:rsidR="00F07866">
      <w:rPr>
        <w:rStyle w:val="Nmerodepgina"/>
      </w:rPr>
      <w:instrText xml:space="preserve">PAGE  </w:instrText>
    </w:r>
    <w:r>
      <w:rPr>
        <w:rStyle w:val="Nmerodepgina"/>
      </w:rPr>
      <w:fldChar w:fldCharType="separate"/>
    </w:r>
    <w:r w:rsidR="00851CDE">
      <w:rPr>
        <w:rStyle w:val="Nmerodepgina"/>
        <w:noProof/>
      </w:rPr>
      <w:t>2</w:t>
    </w:r>
    <w:r>
      <w:rPr>
        <w:rStyle w:val="Nmerodepgina"/>
      </w:rPr>
      <w:fldChar w:fldCharType="end"/>
    </w:r>
  </w:p>
  <w:p w:rsidR="00F07866" w:rsidRDefault="00F07866" w:rsidP="00185E73">
    <w:pPr>
      <w:pStyle w:val="Piedep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66" w:rsidRDefault="00896053" w:rsidP="00185E73">
    <w:pPr>
      <w:pStyle w:val="Piedepgina"/>
      <w:framePr w:wrap="around" w:vAnchor="text" w:hAnchor="margin" w:xAlign="outside" w:y="1"/>
      <w:rPr>
        <w:rStyle w:val="Nmerodepgina"/>
      </w:rPr>
    </w:pPr>
    <w:r>
      <w:rPr>
        <w:rStyle w:val="Nmerodepgina"/>
      </w:rPr>
      <w:fldChar w:fldCharType="begin"/>
    </w:r>
    <w:r w:rsidR="00F07866">
      <w:rPr>
        <w:rStyle w:val="Nmerodepgina"/>
      </w:rPr>
      <w:instrText xml:space="preserve">PAGE  </w:instrText>
    </w:r>
    <w:r>
      <w:rPr>
        <w:rStyle w:val="Nmerodepgina"/>
      </w:rPr>
      <w:fldChar w:fldCharType="separate"/>
    </w:r>
    <w:r w:rsidR="00851CDE">
      <w:rPr>
        <w:rStyle w:val="Nmerodepgina"/>
        <w:noProof/>
      </w:rPr>
      <w:t>3</w:t>
    </w:r>
    <w:r>
      <w:rPr>
        <w:rStyle w:val="Nmerodepgina"/>
      </w:rPr>
      <w:fldChar w:fldCharType="end"/>
    </w:r>
  </w:p>
  <w:p w:rsidR="00F07866" w:rsidRDefault="00F07866" w:rsidP="00185E7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139" w:rsidRDefault="00B36139" w:rsidP="00217026">
      <w:pPr>
        <w:spacing w:after="0" w:line="240" w:lineRule="auto"/>
      </w:pPr>
      <w:r>
        <w:separator/>
      </w:r>
    </w:p>
    <w:p w:rsidR="00B36139" w:rsidRDefault="00B36139"/>
  </w:footnote>
  <w:footnote w:type="continuationSeparator" w:id="0">
    <w:p w:rsidR="00B36139" w:rsidRDefault="00B36139" w:rsidP="00217026">
      <w:pPr>
        <w:spacing w:after="0" w:line="240" w:lineRule="auto"/>
      </w:pPr>
      <w:r>
        <w:continuationSeparator/>
      </w:r>
    </w:p>
    <w:p w:rsidR="00B36139" w:rsidRDefault="00B36139"/>
  </w:footnote>
  <w:footnote w:id="1">
    <w:p w:rsidR="00483773" w:rsidRPr="00F344FC" w:rsidRDefault="00483773" w:rsidP="00483773">
      <w:pPr>
        <w:pStyle w:val="Textonotapie"/>
      </w:pPr>
      <w:r>
        <w:rPr>
          <w:rStyle w:val="Refdenotaalpie"/>
        </w:rPr>
        <w:footnoteRef/>
      </w:r>
      <w:r>
        <w:t xml:space="preserve"> Ingeniera biológica, </w:t>
      </w:r>
      <w:proofErr w:type="spellStart"/>
      <w:r>
        <w:t>M.Sc.</w:t>
      </w:r>
      <w:proofErr w:type="spellEnd"/>
      <w:r>
        <w:t xml:space="preserve"> en Ciencias del suelo, Candidata a Doctor en Biotecnología. losorno@unal.edu.co, Universidad Nacional de Colombia sede </w:t>
      </w:r>
      <w:proofErr w:type="spellStart"/>
      <w:r>
        <w:t>Medellin</w:t>
      </w:r>
      <w:proofErr w:type="spellEnd"/>
      <w:r>
        <w:t>.</w:t>
      </w:r>
    </w:p>
  </w:footnote>
  <w:footnote w:id="2">
    <w:p w:rsidR="00483773" w:rsidRDefault="00483773" w:rsidP="00483773">
      <w:pPr>
        <w:pStyle w:val="Textonotapie"/>
      </w:pPr>
      <w:r>
        <w:rPr>
          <w:rStyle w:val="Refdenotaalpie"/>
        </w:rPr>
        <w:footnoteRef/>
      </w:r>
      <w:r>
        <w:t xml:space="preserve"> Ingeniero Agrónomo, </w:t>
      </w:r>
      <w:proofErr w:type="spellStart"/>
      <w:r>
        <w:t>M.Sc.</w:t>
      </w:r>
      <w:proofErr w:type="spellEnd"/>
      <w:r>
        <w:t xml:space="preserve">, </w:t>
      </w:r>
      <w:proofErr w:type="spellStart"/>
      <w:r>
        <w:t>Ph.D</w:t>
      </w:r>
      <w:proofErr w:type="spellEnd"/>
      <w:r>
        <w:t xml:space="preserve"> </w:t>
      </w:r>
      <w:proofErr w:type="spellStart"/>
      <w:r>
        <w:t>Agronomy</w:t>
      </w:r>
      <w:proofErr w:type="spellEnd"/>
      <w:r>
        <w:t xml:space="preserve"> and </w:t>
      </w:r>
      <w:proofErr w:type="spellStart"/>
      <w:r>
        <w:t>Soil</w:t>
      </w:r>
      <w:proofErr w:type="spellEnd"/>
      <w:r>
        <w:t xml:space="preserve"> </w:t>
      </w:r>
      <w:proofErr w:type="spellStart"/>
      <w:r>
        <w:t>Science</w:t>
      </w:r>
      <w:proofErr w:type="spellEnd"/>
      <w:r>
        <w:t>. nwosorio@unal.edu.co. Universidad</w:t>
      </w:r>
    </w:p>
    <w:p w:rsidR="00483773" w:rsidRPr="00F344FC" w:rsidRDefault="00483773" w:rsidP="00483773">
      <w:pPr>
        <w:pStyle w:val="Textonotapie"/>
        <w:rPr>
          <w:lang w:val="es-ES_tradnl"/>
        </w:rPr>
      </w:pPr>
      <w:r>
        <w:t>Nacional de Colombia, Calle 59A No. 63-20, 050034, Medellín.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66" w:rsidRPr="00937DB0" w:rsidRDefault="00F07866" w:rsidP="00937DB0">
    <w:pPr>
      <w:pStyle w:val="Encabezado"/>
      <w:spacing w:after="0"/>
    </w:pPr>
  </w:p>
  <w:p w:rsidR="00F07866" w:rsidRDefault="00F0786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38D"/>
    <w:multiLevelType w:val="hybridMultilevel"/>
    <w:tmpl w:val="A544BB70"/>
    <w:lvl w:ilvl="0" w:tplc="C396D42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B00514"/>
    <w:multiLevelType w:val="hybridMultilevel"/>
    <w:tmpl w:val="C30410B6"/>
    <w:lvl w:ilvl="0" w:tplc="66D69E88">
      <w:start w:val="1"/>
      <w:numFmt w:val="decimal"/>
      <w:lvlText w:val="%1."/>
      <w:lvlJc w:val="left"/>
      <w:pPr>
        <w:ind w:left="720" w:hanging="360"/>
      </w:pPr>
      <w:rPr>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581AB1"/>
    <w:multiLevelType w:val="hybridMultilevel"/>
    <w:tmpl w:val="7360C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FD6860"/>
    <w:multiLevelType w:val="hybridMultilevel"/>
    <w:tmpl w:val="26AAB49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0E0161CF"/>
    <w:multiLevelType w:val="multilevel"/>
    <w:tmpl w:val="0964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C764FC"/>
    <w:multiLevelType w:val="hybridMultilevel"/>
    <w:tmpl w:val="A4445694"/>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6">
    <w:nsid w:val="1A043AFA"/>
    <w:multiLevelType w:val="hybridMultilevel"/>
    <w:tmpl w:val="73667B0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nsid w:val="1C0478AD"/>
    <w:multiLevelType w:val="multilevel"/>
    <w:tmpl w:val="B2D40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nsid w:val="1CC60A16"/>
    <w:multiLevelType w:val="hybridMultilevel"/>
    <w:tmpl w:val="CCE6199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740DF4"/>
    <w:multiLevelType w:val="hybridMultilevel"/>
    <w:tmpl w:val="E59C4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A455783"/>
    <w:multiLevelType w:val="multilevel"/>
    <w:tmpl w:val="1A70B0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A564FE1"/>
    <w:multiLevelType w:val="hybridMultilevel"/>
    <w:tmpl w:val="14F0A970"/>
    <w:lvl w:ilvl="0" w:tplc="F5ECEEB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33270C66"/>
    <w:multiLevelType w:val="hybridMultilevel"/>
    <w:tmpl w:val="22624D58"/>
    <w:lvl w:ilvl="0" w:tplc="85301A10">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3">
    <w:nsid w:val="36EF2FD5"/>
    <w:multiLevelType w:val="hybridMultilevel"/>
    <w:tmpl w:val="88AA4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6F928F8"/>
    <w:multiLevelType w:val="hybridMultilevel"/>
    <w:tmpl w:val="0B7E664A"/>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CBD50C9"/>
    <w:multiLevelType w:val="hybridMultilevel"/>
    <w:tmpl w:val="DC009864"/>
    <w:lvl w:ilvl="0" w:tplc="AD50841A">
      <w:start w:val="1"/>
      <w:numFmt w:val="bullet"/>
      <w:lvlText w:val="•"/>
      <w:lvlJc w:val="left"/>
      <w:pPr>
        <w:tabs>
          <w:tab w:val="num" w:pos="720"/>
        </w:tabs>
        <w:ind w:left="720" w:hanging="360"/>
      </w:pPr>
      <w:rPr>
        <w:rFonts w:ascii="Arial" w:hAnsi="Arial" w:hint="default"/>
      </w:rPr>
    </w:lvl>
    <w:lvl w:ilvl="1" w:tplc="560A141C">
      <w:start w:val="1161"/>
      <w:numFmt w:val="bullet"/>
      <w:lvlText w:val="•"/>
      <w:lvlJc w:val="left"/>
      <w:pPr>
        <w:tabs>
          <w:tab w:val="num" w:pos="1440"/>
        </w:tabs>
        <w:ind w:left="1440" w:hanging="360"/>
      </w:pPr>
      <w:rPr>
        <w:rFonts w:ascii="Arial" w:hAnsi="Arial" w:hint="default"/>
      </w:rPr>
    </w:lvl>
    <w:lvl w:ilvl="2" w:tplc="BDD2BC88" w:tentative="1">
      <w:start w:val="1"/>
      <w:numFmt w:val="bullet"/>
      <w:lvlText w:val="•"/>
      <w:lvlJc w:val="left"/>
      <w:pPr>
        <w:tabs>
          <w:tab w:val="num" w:pos="2160"/>
        </w:tabs>
        <w:ind w:left="2160" w:hanging="360"/>
      </w:pPr>
      <w:rPr>
        <w:rFonts w:ascii="Arial" w:hAnsi="Arial" w:hint="default"/>
      </w:rPr>
    </w:lvl>
    <w:lvl w:ilvl="3" w:tplc="56BE1FC6" w:tentative="1">
      <w:start w:val="1"/>
      <w:numFmt w:val="bullet"/>
      <w:lvlText w:val="•"/>
      <w:lvlJc w:val="left"/>
      <w:pPr>
        <w:tabs>
          <w:tab w:val="num" w:pos="2880"/>
        </w:tabs>
        <w:ind w:left="2880" w:hanging="360"/>
      </w:pPr>
      <w:rPr>
        <w:rFonts w:ascii="Arial" w:hAnsi="Arial" w:hint="default"/>
      </w:rPr>
    </w:lvl>
    <w:lvl w:ilvl="4" w:tplc="4EA6C676" w:tentative="1">
      <w:start w:val="1"/>
      <w:numFmt w:val="bullet"/>
      <w:lvlText w:val="•"/>
      <w:lvlJc w:val="left"/>
      <w:pPr>
        <w:tabs>
          <w:tab w:val="num" w:pos="3600"/>
        </w:tabs>
        <w:ind w:left="3600" w:hanging="360"/>
      </w:pPr>
      <w:rPr>
        <w:rFonts w:ascii="Arial" w:hAnsi="Arial" w:hint="default"/>
      </w:rPr>
    </w:lvl>
    <w:lvl w:ilvl="5" w:tplc="42F87A70" w:tentative="1">
      <w:start w:val="1"/>
      <w:numFmt w:val="bullet"/>
      <w:lvlText w:val="•"/>
      <w:lvlJc w:val="left"/>
      <w:pPr>
        <w:tabs>
          <w:tab w:val="num" w:pos="4320"/>
        </w:tabs>
        <w:ind w:left="4320" w:hanging="360"/>
      </w:pPr>
      <w:rPr>
        <w:rFonts w:ascii="Arial" w:hAnsi="Arial" w:hint="default"/>
      </w:rPr>
    </w:lvl>
    <w:lvl w:ilvl="6" w:tplc="9EEEAA16" w:tentative="1">
      <w:start w:val="1"/>
      <w:numFmt w:val="bullet"/>
      <w:lvlText w:val="•"/>
      <w:lvlJc w:val="left"/>
      <w:pPr>
        <w:tabs>
          <w:tab w:val="num" w:pos="5040"/>
        </w:tabs>
        <w:ind w:left="5040" w:hanging="360"/>
      </w:pPr>
      <w:rPr>
        <w:rFonts w:ascii="Arial" w:hAnsi="Arial" w:hint="default"/>
      </w:rPr>
    </w:lvl>
    <w:lvl w:ilvl="7" w:tplc="7B3C4618" w:tentative="1">
      <w:start w:val="1"/>
      <w:numFmt w:val="bullet"/>
      <w:lvlText w:val="•"/>
      <w:lvlJc w:val="left"/>
      <w:pPr>
        <w:tabs>
          <w:tab w:val="num" w:pos="5760"/>
        </w:tabs>
        <w:ind w:left="5760" w:hanging="360"/>
      </w:pPr>
      <w:rPr>
        <w:rFonts w:ascii="Arial" w:hAnsi="Arial" w:hint="default"/>
      </w:rPr>
    </w:lvl>
    <w:lvl w:ilvl="8" w:tplc="7AAE0578" w:tentative="1">
      <w:start w:val="1"/>
      <w:numFmt w:val="bullet"/>
      <w:lvlText w:val="•"/>
      <w:lvlJc w:val="left"/>
      <w:pPr>
        <w:tabs>
          <w:tab w:val="num" w:pos="6480"/>
        </w:tabs>
        <w:ind w:left="6480" w:hanging="360"/>
      </w:pPr>
      <w:rPr>
        <w:rFonts w:ascii="Arial" w:hAnsi="Arial" w:hint="default"/>
      </w:rPr>
    </w:lvl>
  </w:abstractNum>
  <w:abstractNum w:abstractNumId="16">
    <w:nsid w:val="3EA44C29"/>
    <w:multiLevelType w:val="hybridMultilevel"/>
    <w:tmpl w:val="6AA83F8C"/>
    <w:lvl w:ilvl="0" w:tplc="4F4ED96A">
      <w:start w:val="1"/>
      <w:numFmt w:val="decimal"/>
      <w:lvlText w:val="%1."/>
      <w:lvlJc w:val="left"/>
      <w:pPr>
        <w:ind w:left="360" w:hanging="360"/>
      </w:pPr>
      <w:rPr>
        <w:rFonts w:ascii="LMRomanM" w:hAnsi="LMRomanM"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430E27EF"/>
    <w:multiLevelType w:val="hybridMultilevel"/>
    <w:tmpl w:val="EC26314C"/>
    <w:lvl w:ilvl="0" w:tplc="43C8BF78">
      <w:start w:val="1"/>
      <w:numFmt w:val="upperLetter"/>
      <w:pStyle w:val="Subttulo"/>
      <w:lvlText w:val="%1."/>
      <w:lvlJc w:val="left"/>
      <w:pPr>
        <w:ind w:left="717"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3A9781F"/>
    <w:multiLevelType w:val="hybridMultilevel"/>
    <w:tmpl w:val="B9E28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B7B6BBA"/>
    <w:multiLevelType w:val="hybridMultilevel"/>
    <w:tmpl w:val="34E0E386"/>
    <w:lvl w:ilvl="0" w:tplc="01D6DD5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BFB0FCD"/>
    <w:multiLevelType w:val="hybridMultilevel"/>
    <w:tmpl w:val="7F7C443A"/>
    <w:lvl w:ilvl="0" w:tplc="01D6DD58">
      <w:start w:val="1"/>
      <w:numFmt w:val="bullet"/>
      <w:pStyle w:val="Ttulo4"/>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C911C4F"/>
    <w:multiLevelType w:val="multilevel"/>
    <w:tmpl w:val="AAD8C2D0"/>
    <w:lvl w:ilvl="0">
      <w:start w:val="1"/>
      <w:numFmt w:val="decimal"/>
      <w:pStyle w:val="Ttulo1"/>
      <w:lvlText w:val="%1."/>
      <w:lvlJc w:val="left"/>
      <w:pPr>
        <w:ind w:left="2345" w:hanging="360"/>
      </w:pPr>
      <w:rPr>
        <w:rFonts w:hint="default"/>
      </w:rPr>
    </w:lvl>
    <w:lvl w:ilvl="1">
      <w:start w:val="1"/>
      <w:numFmt w:val="decimal"/>
      <w:pStyle w:val="Ttulo2"/>
      <w:lvlText w:val="%1.%2"/>
      <w:lvlJc w:val="left"/>
      <w:pPr>
        <w:ind w:left="2561" w:hanging="576"/>
      </w:pPr>
      <w:rPr>
        <w:rFonts w:hint="default"/>
        <w:b/>
      </w:rPr>
    </w:lvl>
    <w:lvl w:ilvl="2">
      <w:start w:val="1"/>
      <w:numFmt w:val="decimal"/>
      <w:pStyle w:val="Ttulo3"/>
      <w:lvlText w:val="%1.%2.%3"/>
      <w:lvlJc w:val="left"/>
      <w:pPr>
        <w:ind w:left="2705" w:hanging="720"/>
      </w:pPr>
      <w:rPr>
        <w:rFonts w:hint="default"/>
        <w:b/>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abstractNum w:abstractNumId="22">
    <w:nsid w:val="55CF1EC0"/>
    <w:multiLevelType w:val="hybridMultilevel"/>
    <w:tmpl w:val="C97630E6"/>
    <w:lvl w:ilvl="0" w:tplc="01D6DD58">
      <w:start w:val="1"/>
      <w:numFmt w:val="bullet"/>
      <w:lvlText w:val=""/>
      <w:lvlJc w:val="left"/>
      <w:pPr>
        <w:ind w:left="708" w:hanging="360"/>
      </w:pPr>
      <w:rPr>
        <w:rFonts w:ascii="Symbol" w:hAnsi="Symbol" w:hint="default"/>
      </w:rPr>
    </w:lvl>
    <w:lvl w:ilvl="1" w:tplc="240A0003" w:tentative="1">
      <w:start w:val="1"/>
      <w:numFmt w:val="bullet"/>
      <w:lvlText w:val="o"/>
      <w:lvlJc w:val="left"/>
      <w:pPr>
        <w:ind w:left="1428" w:hanging="360"/>
      </w:pPr>
      <w:rPr>
        <w:rFonts w:ascii="Courier New" w:hAnsi="Courier New" w:cs="Courier New" w:hint="default"/>
      </w:rPr>
    </w:lvl>
    <w:lvl w:ilvl="2" w:tplc="240A0005" w:tentative="1">
      <w:start w:val="1"/>
      <w:numFmt w:val="bullet"/>
      <w:lvlText w:val=""/>
      <w:lvlJc w:val="left"/>
      <w:pPr>
        <w:ind w:left="2148" w:hanging="360"/>
      </w:pPr>
      <w:rPr>
        <w:rFonts w:ascii="Wingdings" w:hAnsi="Wingdings" w:hint="default"/>
      </w:rPr>
    </w:lvl>
    <w:lvl w:ilvl="3" w:tplc="240A0001" w:tentative="1">
      <w:start w:val="1"/>
      <w:numFmt w:val="bullet"/>
      <w:lvlText w:val=""/>
      <w:lvlJc w:val="left"/>
      <w:pPr>
        <w:ind w:left="2868" w:hanging="360"/>
      </w:pPr>
      <w:rPr>
        <w:rFonts w:ascii="Symbol" w:hAnsi="Symbol" w:hint="default"/>
      </w:rPr>
    </w:lvl>
    <w:lvl w:ilvl="4" w:tplc="240A0003" w:tentative="1">
      <w:start w:val="1"/>
      <w:numFmt w:val="bullet"/>
      <w:lvlText w:val="o"/>
      <w:lvlJc w:val="left"/>
      <w:pPr>
        <w:ind w:left="3588" w:hanging="360"/>
      </w:pPr>
      <w:rPr>
        <w:rFonts w:ascii="Courier New" w:hAnsi="Courier New" w:cs="Courier New" w:hint="default"/>
      </w:rPr>
    </w:lvl>
    <w:lvl w:ilvl="5" w:tplc="240A0005" w:tentative="1">
      <w:start w:val="1"/>
      <w:numFmt w:val="bullet"/>
      <w:lvlText w:val=""/>
      <w:lvlJc w:val="left"/>
      <w:pPr>
        <w:ind w:left="4308" w:hanging="360"/>
      </w:pPr>
      <w:rPr>
        <w:rFonts w:ascii="Wingdings" w:hAnsi="Wingdings" w:hint="default"/>
      </w:rPr>
    </w:lvl>
    <w:lvl w:ilvl="6" w:tplc="240A0001" w:tentative="1">
      <w:start w:val="1"/>
      <w:numFmt w:val="bullet"/>
      <w:lvlText w:val=""/>
      <w:lvlJc w:val="left"/>
      <w:pPr>
        <w:ind w:left="5028" w:hanging="360"/>
      </w:pPr>
      <w:rPr>
        <w:rFonts w:ascii="Symbol" w:hAnsi="Symbol" w:hint="default"/>
      </w:rPr>
    </w:lvl>
    <w:lvl w:ilvl="7" w:tplc="240A0003" w:tentative="1">
      <w:start w:val="1"/>
      <w:numFmt w:val="bullet"/>
      <w:lvlText w:val="o"/>
      <w:lvlJc w:val="left"/>
      <w:pPr>
        <w:ind w:left="5748" w:hanging="360"/>
      </w:pPr>
      <w:rPr>
        <w:rFonts w:ascii="Courier New" w:hAnsi="Courier New" w:cs="Courier New" w:hint="default"/>
      </w:rPr>
    </w:lvl>
    <w:lvl w:ilvl="8" w:tplc="240A0005" w:tentative="1">
      <w:start w:val="1"/>
      <w:numFmt w:val="bullet"/>
      <w:lvlText w:val=""/>
      <w:lvlJc w:val="left"/>
      <w:pPr>
        <w:ind w:left="6468" w:hanging="360"/>
      </w:pPr>
      <w:rPr>
        <w:rFonts w:ascii="Wingdings" w:hAnsi="Wingdings" w:hint="default"/>
      </w:rPr>
    </w:lvl>
  </w:abstractNum>
  <w:abstractNum w:abstractNumId="23">
    <w:nsid w:val="5B7F6358"/>
    <w:multiLevelType w:val="hybridMultilevel"/>
    <w:tmpl w:val="C5FCDD70"/>
    <w:lvl w:ilvl="0" w:tplc="01D6DD5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198617A"/>
    <w:multiLevelType w:val="hybridMultilevel"/>
    <w:tmpl w:val="1DF486EC"/>
    <w:lvl w:ilvl="0" w:tplc="0C0A0001">
      <w:start w:val="1"/>
      <w:numFmt w:val="upp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5">
    <w:nsid w:val="66910B1F"/>
    <w:multiLevelType w:val="hybridMultilevel"/>
    <w:tmpl w:val="9468C65A"/>
    <w:lvl w:ilvl="0" w:tplc="01D6DD5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D8A249B"/>
    <w:multiLevelType w:val="hybridMultilevel"/>
    <w:tmpl w:val="EDFA4676"/>
    <w:lvl w:ilvl="0" w:tplc="E4120BC2">
      <w:start w:val="1"/>
      <w:numFmt w:val="bullet"/>
      <w:lvlText w:val=""/>
      <w:lvlJc w:val="left"/>
      <w:pPr>
        <w:ind w:left="720" w:hanging="360"/>
      </w:pPr>
      <w:rPr>
        <w:rFonts w:ascii="Symbol" w:hAnsi="Symbol" w:hint="default"/>
      </w:rPr>
    </w:lvl>
    <w:lvl w:ilvl="1" w:tplc="5B5069A4" w:tentative="1">
      <w:start w:val="1"/>
      <w:numFmt w:val="bullet"/>
      <w:lvlText w:val="o"/>
      <w:lvlJc w:val="left"/>
      <w:pPr>
        <w:ind w:left="1440" w:hanging="360"/>
      </w:pPr>
      <w:rPr>
        <w:rFonts w:ascii="Courier New" w:hAnsi="Courier New" w:cs="Courier New" w:hint="default"/>
      </w:rPr>
    </w:lvl>
    <w:lvl w:ilvl="2" w:tplc="30B4B65E" w:tentative="1">
      <w:start w:val="1"/>
      <w:numFmt w:val="bullet"/>
      <w:lvlText w:val=""/>
      <w:lvlJc w:val="left"/>
      <w:pPr>
        <w:ind w:left="2160" w:hanging="360"/>
      </w:pPr>
      <w:rPr>
        <w:rFonts w:ascii="Wingdings" w:hAnsi="Wingdings" w:hint="default"/>
      </w:rPr>
    </w:lvl>
    <w:lvl w:ilvl="3" w:tplc="DA629E08" w:tentative="1">
      <w:start w:val="1"/>
      <w:numFmt w:val="bullet"/>
      <w:lvlText w:val=""/>
      <w:lvlJc w:val="left"/>
      <w:pPr>
        <w:ind w:left="2880" w:hanging="360"/>
      </w:pPr>
      <w:rPr>
        <w:rFonts w:ascii="Symbol" w:hAnsi="Symbol" w:hint="default"/>
      </w:rPr>
    </w:lvl>
    <w:lvl w:ilvl="4" w:tplc="128A9132" w:tentative="1">
      <w:start w:val="1"/>
      <w:numFmt w:val="bullet"/>
      <w:lvlText w:val="o"/>
      <w:lvlJc w:val="left"/>
      <w:pPr>
        <w:ind w:left="3600" w:hanging="360"/>
      </w:pPr>
      <w:rPr>
        <w:rFonts w:ascii="Courier New" w:hAnsi="Courier New" w:cs="Courier New" w:hint="default"/>
      </w:rPr>
    </w:lvl>
    <w:lvl w:ilvl="5" w:tplc="C6BEF380" w:tentative="1">
      <w:start w:val="1"/>
      <w:numFmt w:val="bullet"/>
      <w:lvlText w:val=""/>
      <w:lvlJc w:val="left"/>
      <w:pPr>
        <w:ind w:left="4320" w:hanging="360"/>
      </w:pPr>
      <w:rPr>
        <w:rFonts w:ascii="Wingdings" w:hAnsi="Wingdings" w:hint="default"/>
      </w:rPr>
    </w:lvl>
    <w:lvl w:ilvl="6" w:tplc="1C1CD5AE" w:tentative="1">
      <w:start w:val="1"/>
      <w:numFmt w:val="bullet"/>
      <w:lvlText w:val=""/>
      <w:lvlJc w:val="left"/>
      <w:pPr>
        <w:ind w:left="5040" w:hanging="360"/>
      </w:pPr>
      <w:rPr>
        <w:rFonts w:ascii="Symbol" w:hAnsi="Symbol" w:hint="default"/>
      </w:rPr>
    </w:lvl>
    <w:lvl w:ilvl="7" w:tplc="23C48D58" w:tentative="1">
      <w:start w:val="1"/>
      <w:numFmt w:val="bullet"/>
      <w:lvlText w:val="o"/>
      <w:lvlJc w:val="left"/>
      <w:pPr>
        <w:ind w:left="5760" w:hanging="360"/>
      </w:pPr>
      <w:rPr>
        <w:rFonts w:ascii="Courier New" w:hAnsi="Courier New" w:cs="Courier New" w:hint="default"/>
      </w:rPr>
    </w:lvl>
    <w:lvl w:ilvl="8" w:tplc="0E787D14" w:tentative="1">
      <w:start w:val="1"/>
      <w:numFmt w:val="bullet"/>
      <w:lvlText w:val=""/>
      <w:lvlJc w:val="left"/>
      <w:pPr>
        <w:ind w:left="6480" w:hanging="360"/>
      </w:pPr>
      <w:rPr>
        <w:rFonts w:ascii="Wingdings" w:hAnsi="Wingdings" w:hint="default"/>
      </w:rPr>
    </w:lvl>
  </w:abstractNum>
  <w:abstractNum w:abstractNumId="27">
    <w:nsid w:val="6F817044"/>
    <w:multiLevelType w:val="hybridMultilevel"/>
    <w:tmpl w:val="64A21BFA"/>
    <w:lvl w:ilvl="0" w:tplc="7B7A6278">
      <w:start w:val="1"/>
      <w:numFmt w:val="bullet"/>
      <w:lvlText w:val=""/>
      <w:lvlJc w:val="left"/>
      <w:pPr>
        <w:ind w:left="720" w:hanging="360"/>
      </w:pPr>
      <w:rPr>
        <w:rFonts w:ascii="Symbol" w:hAnsi="Symbol" w:hint="default"/>
      </w:rPr>
    </w:lvl>
    <w:lvl w:ilvl="1" w:tplc="34AAA686">
      <w:start w:val="1"/>
      <w:numFmt w:val="bullet"/>
      <w:lvlText w:val="o"/>
      <w:lvlJc w:val="left"/>
      <w:pPr>
        <w:ind w:left="1440" w:hanging="360"/>
      </w:pPr>
      <w:rPr>
        <w:rFonts w:ascii="Courier New" w:hAnsi="Courier New" w:cs="Courier New" w:hint="default"/>
      </w:rPr>
    </w:lvl>
    <w:lvl w:ilvl="2" w:tplc="D9981F30">
      <w:start w:val="1"/>
      <w:numFmt w:val="bullet"/>
      <w:lvlText w:val=""/>
      <w:lvlJc w:val="left"/>
      <w:pPr>
        <w:ind w:left="2160" w:hanging="360"/>
      </w:pPr>
      <w:rPr>
        <w:rFonts w:ascii="Wingdings" w:hAnsi="Wingdings" w:hint="default"/>
      </w:rPr>
    </w:lvl>
    <w:lvl w:ilvl="3" w:tplc="EFB201AC">
      <w:start w:val="1"/>
      <w:numFmt w:val="bullet"/>
      <w:lvlText w:val=""/>
      <w:lvlJc w:val="left"/>
      <w:pPr>
        <w:ind w:left="2880" w:hanging="360"/>
      </w:pPr>
      <w:rPr>
        <w:rFonts w:ascii="Symbol" w:hAnsi="Symbol" w:hint="default"/>
      </w:rPr>
    </w:lvl>
    <w:lvl w:ilvl="4" w:tplc="9E386DAE">
      <w:start w:val="1"/>
      <w:numFmt w:val="bullet"/>
      <w:lvlText w:val="o"/>
      <w:lvlJc w:val="left"/>
      <w:pPr>
        <w:ind w:left="3600" w:hanging="360"/>
      </w:pPr>
      <w:rPr>
        <w:rFonts w:ascii="Courier New" w:hAnsi="Courier New" w:cs="Courier New" w:hint="default"/>
      </w:rPr>
    </w:lvl>
    <w:lvl w:ilvl="5" w:tplc="45043C48">
      <w:start w:val="1"/>
      <w:numFmt w:val="bullet"/>
      <w:lvlText w:val=""/>
      <w:lvlJc w:val="left"/>
      <w:pPr>
        <w:ind w:left="4320" w:hanging="360"/>
      </w:pPr>
      <w:rPr>
        <w:rFonts w:ascii="Wingdings" w:hAnsi="Wingdings" w:hint="default"/>
      </w:rPr>
    </w:lvl>
    <w:lvl w:ilvl="6" w:tplc="151AFAEC">
      <w:start w:val="1"/>
      <w:numFmt w:val="bullet"/>
      <w:lvlText w:val=""/>
      <w:lvlJc w:val="left"/>
      <w:pPr>
        <w:ind w:left="5040" w:hanging="360"/>
      </w:pPr>
      <w:rPr>
        <w:rFonts w:ascii="Symbol" w:hAnsi="Symbol" w:hint="default"/>
      </w:rPr>
    </w:lvl>
    <w:lvl w:ilvl="7" w:tplc="D1901E6E" w:tentative="1">
      <w:start w:val="1"/>
      <w:numFmt w:val="bullet"/>
      <w:lvlText w:val="o"/>
      <w:lvlJc w:val="left"/>
      <w:pPr>
        <w:ind w:left="5760" w:hanging="360"/>
      </w:pPr>
      <w:rPr>
        <w:rFonts w:ascii="Courier New" w:hAnsi="Courier New" w:cs="Courier New" w:hint="default"/>
      </w:rPr>
    </w:lvl>
    <w:lvl w:ilvl="8" w:tplc="CB949460" w:tentative="1">
      <w:start w:val="1"/>
      <w:numFmt w:val="bullet"/>
      <w:lvlText w:val=""/>
      <w:lvlJc w:val="left"/>
      <w:pPr>
        <w:ind w:left="6480" w:hanging="360"/>
      </w:pPr>
      <w:rPr>
        <w:rFonts w:ascii="Wingdings" w:hAnsi="Wingdings" w:hint="default"/>
      </w:rPr>
    </w:lvl>
  </w:abstractNum>
  <w:abstractNum w:abstractNumId="28">
    <w:nsid w:val="73207599"/>
    <w:multiLevelType w:val="hybridMultilevel"/>
    <w:tmpl w:val="985C9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9FE6AC7"/>
    <w:multiLevelType w:val="multilevel"/>
    <w:tmpl w:val="47CE18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7"/>
  </w:num>
  <w:num w:numId="3">
    <w:abstractNumId w:val="12"/>
  </w:num>
  <w:num w:numId="4">
    <w:abstractNumId w:val="29"/>
  </w:num>
  <w:num w:numId="5">
    <w:abstractNumId w:val="7"/>
  </w:num>
  <w:num w:numId="6">
    <w:abstractNumId w:val="14"/>
  </w:num>
  <w:num w:numId="7">
    <w:abstractNumId w:val="24"/>
  </w:num>
  <w:num w:numId="8">
    <w:abstractNumId w:val="16"/>
  </w:num>
  <w:num w:numId="9">
    <w:abstractNumId w:val="20"/>
  </w:num>
  <w:num w:numId="10">
    <w:abstractNumId w:val="17"/>
    <w:lvlOverride w:ilvl="0">
      <w:startOverride w:val="1"/>
    </w:lvlOverride>
  </w:num>
  <w:num w:numId="11">
    <w:abstractNumId w:val="3"/>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num>
  <w:num w:numId="16">
    <w:abstractNumId w:val="21"/>
  </w:num>
  <w:num w:numId="17">
    <w:abstractNumId w:val="18"/>
  </w:num>
  <w:num w:numId="18">
    <w:abstractNumId w:val="13"/>
  </w:num>
  <w:num w:numId="19">
    <w:abstractNumId w:val="22"/>
  </w:num>
  <w:num w:numId="20">
    <w:abstractNumId w:val="1"/>
  </w:num>
  <w:num w:numId="21">
    <w:abstractNumId w:val="15"/>
  </w:num>
  <w:num w:numId="22">
    <w:abstractNumId w:val="6"/>
  </w:num>
  <w:num w:numId="23">
    <w:abstractNumId w:val="23"/>
  </w:num>
  <w:num w:numId="24">
    <w:abstractNumId w:val="5"/>
  </w:num>
  <w:num w:numId="25">
    <w:abstractNumId w:val="0"/>
  </w:num>
  <w:num w:numId="26">
    <w:abstractNumId w:val="19"/>
  </w:num>
  <w:num w:numId="27">
    <w:abstractNumId w:val="9"/>
  </w:num>
  <w:num w:numId="28">
    <w:abstractNumId w:val="27"/>
  </w:num>
  <w:num w:numId="29">
    <w:abstractNumId w:val="2"/>
  </w:num>
  <w:num w:numId="30">
    <w:abstractNumId w:val="25"/>
  </w:num>
  <w:num w:numId="31">
    <w:abstractNumId w:val="26"/>
  </w:num>
  <w:num w:numId="32">
    <w:abstractNumId w:val="28"/>
  </w:num>
  <w:num w:numId="33">
    <w:abstractNumId w:val="8"/>
  </w:num>
  <w:num w:numId="34">
    <w:abstractNumId w:val="11"/>
  </w:num>
  <w:num w:numId="35">
    <w:abstractNumId w:val="4"/>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EC4A3F"/>
    <w:rsid w:val="000049DD"/>
    <w:rsid w:val="00004FEC"/>
    <w:rsid w:val="00007CFE"/>
    <w:rsid w:val="000133F3"/>
    <w:rsid w:val="00014B0B"/>
    <w:rsid w:val="000157D8"/>
    <w:rsid w:val="0001658E"/>
    <w:rsid w:val="000218DE"/>
    <w:rsid w:val="00023BEA"/>
    <w:rsid w:val="000312AD"/>
    <w:rsid w:val="00036B37"/>
    <w:rsid w:val="00036CB2"/>
    <w:rsid w:val="0003783B"/>
    <w:rsid w:val="00040BCB"/>
    <w:rsid w:val="000412B6"/>
    <w:rsid w:val="0004385A"/>
    <w:rsid w:val="00046C28"/>
    <w:rsid w:val="00046E45"/>
    <w:rsid w:val="00051348"/>
    <w:rsid w:val="0005159C"/>
    <w:rsid w:val="00051DD8"/>
    <w:rsid w:val="0005546F"/>
    <w:rsid w:val="00055FAB"/>
    <w:rsid w:val="00062413"/>
    <w:rsid w:val="00067A35"/>
    <w:rsid w:val="00076FC6"/>
    <w:rsid w:val="000777AD"/>
    <w:rsid w:val="00077B55"/>
    <w:rsid w:val="000806B5"/>
    <w:rsid w:val="00081DEA"/>
    <w:rsid w:val="00081ECA"/>
    <w:rsid w:val="000840EE"/>
    <w:rsid w:val="000840FB"/>
    <w:rsid w:val="00090235"/>
    <w:rsid w:val="000918C8"/>
    <w:rsid w:val="0009351C"/>
    <w:rsid w:val="00093F4E"/>
    <w:rsid w:val="000948B8"/>
    <w:rsid w:val="000949F9"/>
    <w:rsid w:val="00094E59"/>
    <w:rsid w:val="0009577E"/>
    <w:rsid w:val="000A14B0"/>
    <w:rsid w:val="000A3137"/>
    <w:rsid w:val="000A3B29"/>
    <w:rsid w:val="000A442E"/>
    <w:rsid w:val="000A6078"/>
    <w:rsid w:val="000A7EB7"/>
    <w:rsid w:val="000B09FE"/>
    <w:rsid w:val="000B1399"/>
    <w:rsid w:val="000B2A47"/>
    <w:rsid w:val="000B3868"/>
    <w:rsid w:val="000B5279"/>
    <w:rsid w:val="000C0226"/>
    <w:rsid w:val="000C177D"/>
    <w:rsid w:val="000C2379"/>
    <w:rsid w:val="000C297D"/>
    <w:rsid w:val="000C49DC"/>
    <w:rsid w:val="000C4F30"/>
    <w:rsid w:val="000C54BE"/>
    <w:rsid w:val="000D252E"/>
    <w:rsid w:val="000D2769"/>
    <w:rsid w:val="000D28EF"/>
    <w:rsid w:val="000D2912"/>
    <w:rsid w:val="000D49C5"/>
    <w:rsid w:val="000D664F"/>
    <w:rsid w:val="000E2379"/>
    <w:rsid w:val="000E3148"/>
    <w:rsid w:val="000E34D6"/>
    <w:rsid w:val="000E5E47"/>
    <w:rsid w:val="000E60BD"/>
    <w:rsid w:val="000F1B79"/>
    <w:rsid w:val="001052A4"/>
    <w:rsid w:val="00110B50"/>
    <w:rsid w:val="0011117B"/>
    <w:rsid w:val="001112D1"/>
    <w:rsid w:val="001126C3"/>
    <w:rsid w:val="001143FE"/>
    <w:rsid w:val="001145F1"/>
    <w:rsid w:val="00115ED7"/>
    <w:rsid w:val="001200A3"/>
    <w:rsid w:val="00120E87"/>
    <w:rsid w:val="00120EC1"/>
    <w:rsid w:val="001222D5"/>
    <w:rsid w:val="00132487"/>
    <w:rsid w:val="001363A7"/>
    <w:rsid w:val="00137E28"/>
    <w:rsid w:val="001413D9"/>
    <w:rsid w:val="0014372C"/>
    <w:rsid w:val="001468EA"/>
    <w:rsid w:val="00146E19"/>
    <w:rsid w:val="001517AE"/>
    <w:rsid w:val="00153EF8"/>
    <w:rsid w:val="00155CEB"/>
    <w:rsid w:val="00157F62"/>
    <w:rsid w:val="00160202"/>
    <w:rsid w:val="00161E0F"/>
    <w:rsid w:val="001623AE"/>
    <w:rsid w:val="00164113"/>
    <w:rsid w:val="00164174"/>
    <w:rsid w:val="00164EC6"/>
    <w:rsid w:val="001652DB"/>
    <w:rsid w:val="001667C9"/>
    <w:rsid w:val="001668BF"/>
    <w:rsid w:val="00170025"/>
    <w:rsid w:val="00173E37"/>
    <w:rsid w:val="00177252"/>
    <w:rsid w:val="00177870"/>
    <w:rsid w:val="001778B9"/>
    <w:rsid w:val="00183383"/>
    <w:rsid w:val="00185E73"/>
    <w:rsid w:val="00187CB1"/>
    <w:rsid w:val="001901D6"/>
    <w:rsid w:val="00190C97"/>
    <w:rsid w:val="001915D8"/>
    <w:rsid w:val="00192CA4"/>
    <w:rsid w:val="0019342A"/>
    <w:rsid w:val="00193D54"/>
    <w:rsid w:val="00193F65"/>
    <w:rsid w:val="00193FAC"/>
    <w:rsid w:val="0019442D"/>
    <w:rsid w:val="00194847"/>
    <w:rsid w:val="001A0BBE"/>
    <w:rsid w:val="001A1B53"/>
    <w:rsid w:val="001A54E8"/>
    <w:rsid w:val="001A71CA"/>
    <w:rsid w:val="001B0D8D"/>
    <w:rsid w:val="001B2A56"/>
    <w:rsid w:val="001B30F8"/>
    <w:rsid w:val="001B3CE6"/>
    <w:rsid w:val="001B57F4"/>
    <w:rsid w:val="001B6277"/>
    <w:rsid w:val="001B6A94"/>
    <w:rsid w:val="001B7A3B"/>
    <w:rsid w:val="001C4B18"/>
    <w:rsid w:val="001C4C05"/>
    <w:rsid w:val="001C597D"/>
    <w:rsid w:val="001C61F3"/>
    <w:rsid w:val="001C6C65"/>
    <w:rsid w:val="001D2927"/>
    <w:rsid w:val="001D2DCF"/>
    <w:rsid w:val="001D2F9A"/>
    <w:rsid w:val="001D3A7A"/>
    <w:rsid w:val="001D3AFB"/>
    <w:rsid w:val="001D7224"/>
    <w:rsid w:val="001E0E81"/>
    <w:rsid w:val="001E0EC0"/>
    <w:rsid w:val="001E2641"/>
    <w:rsid w:val="001E5214"/>
    <w:rsid w:val="001E5F07"/>
    <w:rsid w:val="001E61F8"/>
    <w:rsid w:val="001E6432"/>
    <w:rsid w:val="001E65BD"/>
    <w:rsid w:val="001E6E0E"/>
    <w:rsid w:val="001F2304"/>
    <w:rsid w:val="001F2534"/>
    <w:rsid w:val="001F423F"/>
    <w:rsid w:val="001F4508"/>
    <w:rsid w:val="001F4C4E"/>
    <w:rsid w:val="0020013D"/>
    <w:rsid w:val="002021F3"/>
    <w:rsid w:val="002033C5"/>
    <w:rsid w:val="00203DCA"/>
    <w:rsid w:val="0020693B"/>
    <w:rsid w:val="002141E6"/>
    <w:rsid w:val="00217026"/>
    <w:rsid w:val="00222195"/>
    <w:rsid w:val="00222233"/>
    <w:rsid w:val="002332E5"/>
    <w:rsid w:val="00233319"/>
    <w:rsid w:val="00234C52"/>
    <w:rsid w:val="00234F8F"/>
    <w:rsid w:val="00236526"/>
    <w:rsid w:val="00237BC5"/>
    <w:rsid w:val="00240318"/>
    <w:rsid w:val="00242A98"/>
    <w:rsid w:val="0024577E"/>
    <w:rsid w:val="002507EE"/>
    <w:rsid w:val="00252821"/>
    <w:rsid w:val="00255CB3"/>
    <w:rsid w:val="00256605"/>
    <w:rsid w:val="00257CB8"/>
    <w:rsid w:val="00257EA5"/>
    <w:rsid w:val="00260285"/>
    <w:rsid w:val="00263571"/>
    <w:rsid w:val="0026446B"/>
    <w:rsid w:val="002649D4"/>
    <w:rsid w:val="002676BD"/>
    <w:rsid w:val="00271583"/>
    <w:rsid w:val="002728E7"/>
    <w:rsid w:val="002739AB"/>
    <w:rsid w:val="002761E4"/>
    <w:rsid w:val="00276AF3"/>
    <w:rsid w:val="00281FB9"/>
    <w:rsid w:val="00282074"/>
    <w:rsid w:val="00282BB9"/>
    <w:rsid w:val="00285BAE"/>
    <w:rsid w:val="0028657B"/>
    <w:rsid w:val="002865F1"/>
    <w:rsid w:val="00292A80"/>
    <w:rsid w:val="00294794"/>
    <w:rsid w:val="00294FA7"/>
    <w:rsid w:val="00295C3C"/>
    <w:rsid w:val="002A274C"/>
    <w:rsid w:val="002A27D6"/>
    <w:rsid w:val="002A2A69"/>
    <w:rsid w:val="002A47D0"/>
    <w:rsid w:val="002A5C32"/>
    <w:rsid w:val="002A6B31"/>
    <w:rsid w:val="002A7AA7"/>
    <w:rsid w:val="002B00EF"/>
    <w:rsid w:val="002B4F81"/>
    <w:rsid w:val="002B59BA"/>
    <w:rsid w:val="002B7119"/>
    <w:rsid w:val="002C199C"/>
    <w:rsid w:val="002C3F40"/>
    <w:rsid w:val="002C5718"/>
    <w:rsid w:val="002C6AF5"/>
    <w:rsid w:val="002D1114"/>
    <w:rsid w:val="002D2D30"/>
    <w:rsid w:val="002D45A1"/>
    <w:rsid w:val="002E08C6"/>
    <w:rsid w:val="002E46E5"/>
    <w:rsid w:val="002F19DB"/>
    <w:rsid w:val="002F1A0E"/>
    <w:rsid w:val="002F1E17"/>
    <w:rsid w:val="002F38FD"/>
    <w:rsid w:val="002F3B78"/>
    <w:rsid w:val="002F4CF0"/>
    <w:rsid w:val="002F6C02"/>
    <w:rsid w:val="002F6FC5"/>
    <w:rsid w:val="002F7BC4"/>
    <w:rsid w:val="002F7CB2"/>
    <w:rsid w:val="00301C50"/>
    <w:rsid w:val="0030276F"/>
    <w:rsid w:val="0030375C"/>
    <w:rsid w:val="003062D9"/>
    <w:rsid w:val="00311FE1"/>
    <w:rsid w:val="00316A22"/>
    <w:rsid w:val="0032110A"/>
    <w:rsid w:val="00321322"/>
    <w:rsid w:val="00321A0C"/>
    <w:rsid w:val="00322081"/>
    <w:rsid w:val="00327325"/>
    <w:rsid w:val="00330211"/>
    <w:rsid w:val="00332260"/>
    <w:rsid w:val="00333EB1"/>
    <w:rsid w:val="00335959"/>
    <w:rsid w:val="003369EE"/>
    <w:rsid w:val="003421CA"/>
    <w:rsid w:val="00342A76"/>
    <w:rsid w:val="0034331F"/>
    <w:rsid w:val="0035106C"/>
    <w:rsid w:val="00351305"/>
    <w:rsid w:val="0035163F"/>
    <w:rsid w:val="00354558"/>
    <w:rsid w:val="00355EC7"/>
    <w:rsid w:val="003561B5"/>
    <w:rsid w:val="00356DCE"/>
    <w:rsid w:val="0035748C"/>
    <w:rsid w:val="00361CFD"/>
    <w:rsid w:val="00362916"/>
    <w:rsid w:val="00370460"/>
    <w:rsid w:val="003719A2"/>
    <w:rsid w:val="00373449"/>
    <w:rsid w:val="00373A1C"/>
    <w:rsid w:val="00374B26"/>
    <w:rsid w:val="003773E9"/>
    <w:rsid w:val="00382C38"/>
    <w:rsid w:val="00387901"/>
    <w:rsid w:val="00392A15"/>
    <w:rsid w:val="00397613"/>
    <w:rsid w:val="00397D69"/>
    <w:rsid w:val="003A0A82"/>
    <w:rsid w:val="003A1EA4"/>
    <w:rsid w:val="003A254A"/>
    <w:rsid w:val="003A516A"/>
    <w:rsid w:val="003A52ED"/>
    <w:rsid w:val="003A5CA6"/>
    <w:rsid w:val="003A6D4A"/>
    <w:rsid w:val="003A776F"/>
    <w:rsid w:val="003B3EB1"/>
    <w:rsid w:val="003B7455"/>
    <w:rsid w:val="003B75F4"/>
    <w:rsid w:val="003B7DC3"/>
    <w:rsid w:val="003C0580"/>
    <w:rsid w:val="003C0D4C"/>
    <w:rsid w:val="003C1077"/>
    <w:rsid w:val="003C34D1"/>
    <w:rsid w:val="003C3597"/>
    <w:rsid w:val="003C3F50"/>
    <w:rsid w:val="003C5595"/>
    <w:rsid w:val="003C55CE"/>
    <w:rsid w:val="003C6747"/>
    <w:rsid w:val="003D0296"/>
    <w:rsid w:val="003D15CF"/>
    <w:rsid w:val="003E0D31"/>
    <w:rsid w:val="003E5756"/>
    <w:rsid w:val="003E7A3A"/>
    <w:rsid w:val="003F70AE"/>
    <w:rsid w:val="0040063C"/>
    <w:rsid w:val="0040068B"/>
    <w:rsid w:val="00401E41"/>
    <w:rsid w:val="004043A2"/>
    <w:rsid w:val="004055DE"/>
    <w:rsid w:val="00406274"/>
    <w:rsid w:val="00413090"/>
    <w:rsid w:val="004135C3"/>
    <w:rsid w:val="00414481"/>
    <w:rsid w:val="00416158"/>
    <w:rsid w:val="00417394"/>
    <w:rsid w:val="00421007"/>
    <w:rsid w:val="00421EAF"/>
    <w:rsid w:val="00423A79"/>
    <w:rsid w:val="00425B56"/>
    <w:rsid w:val="00431484"/>
    <w:rsid w:val="00435DAE"/>
    <w:rsid w:val="00436B08"/>
    <w:rsid w:val="00440134"/>
    <w:rsid w:val="00440A5F"/>
    <w:rsid w:val="00442BF2"/>
    <w:rsid w:val="0044491B"/>
    <w:rsid w:val="004463A5"/>
    <w:rsid w:val="00446921"/>
    <w:rsid w:val="00446B4E"/>
    <w:rsid w:val="0044727E"/>
    <w:rsid w:val="0045342A"/>
    <w:rsid w:val="00454214"/>
    <w:rsid w:val="004554DC"/>
    <w:rsid w:val="00456A95"/>
    <w:rsid w:val="00457F66"/>
    <w:rsid w:val="00460055"/>
    <w:rsid w:val="0046134E"/>
    <w:rsid w:val="0046224A"/>
    <w:rsid w:val="00474162"/>
    <w:rsid w:val="00475D19"/>
    <w:rsid w:val="00483773"/>
    <w:rsid w:val="00486049"/>
    <w:rsid w:val="00491855"/>
    <w:rsid w:val="00492518"/>
    <w:rsid w:val="00494A72"/>
    <w:rsid w:val="00495E0B"/>
    <w:rsid w:val="004A0F6B"/>
    <w:rsid w:val="004A53A0"/>
    <w:rsid w:val="004B2D60"/>
    <w:rsid w:val="004B32B8"/>
    <w:rsid w:val="004B49ED"/>
    <w:rsid w:val="004B537B"/>
    <w:rsid w:val="004B61F9"/>
    <w:rsid w:val="004C0848"/>
    <w:rsid w:val="004C184C"/>
    <w:rsid w:val="004C51D7"/>
    <w:rsid w:val="004D0FC1"/>
    <w:rsid w:val="004D14FD"/>
    <w:rsid w:val="004D3DAB"/>
    <w:rsid w:val="004D4245"/>
    <w:rsid w:val="004D7AE6"/>
    <w:rsid w:val="004E116E"/>
    <w:rsid w:val="004E2C18"/>
    <w:rsid w:val="004E38FF"/>
    <w:rsid w:val="004F0738"/>
    <w:rsid w:val="004F20B6"/>
    <w:rsid w:val="004F3340"/>
    <w:rsid w:val="004F4965"/>
    <w:rsid w:val="004F5F6D"/>
    <w:rsid w:val="0050104D"/>
    <w:rsid w:val="00501268"/>
    <w:rsid w:val="00503983"/>
    <w:rsid w:val="005076BA"/>
    <w:rsid w:val="005129DE"/>
    <w:rsid w:val="00513907"/>
    <w:rsid w:val="00516910"/>
    <w:rsid w:val="00517309"/>
    <w:rsid w:val="00521973"/>
    <w:rsid w:val="00523F31"/>
    <w:rsid w:val="00526935"/>
    <w:rsid w:val="00530F39"/>
    <w:rsid w:val="00531AD2"/>
    <w:rsid w:val="00531B56"/>
    <w:rsid w:val="00533472"/>
    <w:rsid w:val="00533AF9"/>
    <w:rsid w:val="0053506E"/>
    <w:rsid w:val="005352E6"/>
    <w:rsid w:val="00541468"/>
    <w:rsid w:val="00542280"/>
    <w:rsid w:val="00547272"/>
    <w:rsid w:val="005507FD"/>
    <w:rsid w:val="00552AB2"/>
    <w:rsid w:val="005540E5"/>
    <w:rsid w:val="0055470B"/>
    <w:rsid w:val="00560156"/>
    <w:rsid w:val="00570B23"/>
    <w:rsid w:val="00572959"/>
    <w:rsid w:val="00576A55"/>
    <w:rsid w:val="005804FD"/>
    <w:rsid w:val="0058118D"/>
    <w:rsid w:val="005814A5"/>
    <w:rsid w:val="00581950"/>
    <w:rsid w:val="005836FE"/>
    <w:rsid w:val="00590D75"/>
    <w:rsid w:val="00591756"/>
    <w:rsid w:val="00597FC6"/>
    <w:rsid w:val="005A5625"/>
    <w:rsid w:val="005A764F"/>
    <w:rsid w:val="005B0630"/>
    <w:rsid w:val="005B36AC"/>
    <w:rsid w:val="005B4A56"/>
    <w:rsid w:val="005C1EBF"/>
    <w:rsid w:val="005C2A01"/>
    <w:rsid w:val="005C4B16"/>
    <w:rsid w:val="005C5711"/>
    <w:rsid w:val="005C72AB"/>
    <w:rsid w:val="005D0F75"/>
    <w:rsid w:val="005D1821"/>
    <w:rsid w:val="005D24E4"/>
    <w:rsid w:val="005D2A99"/>
    <w:rsid w:val="005D317E"/>
    <w:rsid w:val="005D3E91"/>
    <w:rsid w:val="005E037D"/>
    <w:rsid w:val="005E1D14"/>
    <w:rsid w:val="005E27C1"/>
    <w:rsid w:val="005E49C6"/>
    <w:rsid w:val="005E4DF2"/>
    <w:rsid w:val="005F29DB"/>
    <w:rsid w:val="0060276F"/>
    <w:rsid w:val="006033AE"/>
    <w:rsid w:val="00604127"/>
    <w:rsid w:val="00604C6F"/>
    <w:rsid w:val="00605E1E"/>
    <w:rsid w:val="00605F80"/>
    <w:rsid w:val="00607EE2"/>
    <w:rsid w:val="006113A9"/>
    <w:rsid w:val="00614EC0"/>
    <w:rsid w:val="00614FA4"/>
    <w:rsid w:val="006171E5"/>
    <w:rsid w:val="0062119D"/>
    <w:rsid w:val="00621A0B"/>
    <w:rsid w:val="0062397C"/>
    <w:rsid w:val="00623D6C"/>
    <w:rsid w:val="00624081"/>
    <w:rsid w:val="00624DE6"/>
    <w:rsid w:val="00627195"/>
    <w:rsid w:val="0062783C"/>
    <w:rsid w:val="00634288"/>
    <w:rsid w:val="00635AA8"/>
    <w:rsid w:val="00636E48"/>
    <w:rsid w:val="00640112"/>
    <w:rsid w:val="00642617"/>
    <w:rsid w:val="00643750"/>
    <w:rsid w:val="00646306"/>
    <w:rsid w:val="00651275"/>
    <w:rsid w:val="0065171E"/>
    <w:rsid w:val="0065219A"/>
    <w:rsid w:val="0065399E"/>
    <w:rsid w:val="006560C2"/>
    <w:rsid w:val="006573E3"/>
    <w:rsid w:val="0066160F"/>
    <w:rsid w:val="00666372"/>
    <w:rsid w:val="00675E7F"/>
    <w:rsid w:val="00676392"/>
    <w:rsid w:val="00680237"/>
    <w:rsid w:val="0068171A"/>
    <w:rsid w:val="0068313F"/>
    <w:rsid w:val="00683336"/>
    <w:rsid w:val="00684750"/>
    <w:rsid w:val="0068580F"/>
    <w:rsid w:val="00685D64"/>
    <w:rsid w:val="00691224"/>
    <w:rsid w:val="006934DB"/>
    <w:rsid w:val="006A1BB2"/>
    <w:rsid w:val="006A3ABF"/>
    <w:rsid w:val="006B48E5"/>
    <w:rsid w:val="006B51C9"/>
    <w:rsid w:val="006B63C7"/>
    <w:rsid w:val="006C0FBE"/>
    <w:rsid w:val="006C17EA"/>
    <w:rsid w:val="006C1C04"/>
    <w:rsid w:val="006C2600"/>
    <w:rsid w:val="006C3A90"/>
    <w:rsid w:val="006C4571"/>
    <w:rsid w:val="006C5E90"/>
    <w:rsid w:val="006C7C13"/>
    <w:rsid w:val="006D0476"/>
    <w:rsid w:val="006D0DEC"/>
    <w:rsid w:val="006D10B9"/>
    <w:rsid w:val="006D1A99"/>
    <w:rsid w:val="006D353B"/>
    <w:rsid w:val="006D651A"/>
    <w:rsid w:val="006E3D32"/>
    <w:rsid w:val="006E433D"/>
    <w:rsid w:val="006E4F44"/>
    <w:rsid w:val="006E6B61"/>
    <w:rsid w:val="006E7905"/>
    <w:rsid w:val="006F0DCF"/>
    <w:rsid w:val="006F1C16"/>
    <w:rsid w:val="006F1CD7"/>
    <w:rsid w:val="006F23DB"/>
    <w:rsid w:val="006F3862"/>
    <w:rsid w:val="006F3F8D"/>
    <w:rsid w:val="006F6D33"/>
    <w:rsid w:val="006F7237"/>
    <w:rsid w:val="00704525"/>
    <w:rsid w:val="0070742D"/>
    <w:rsid w:val="00713549"/>
    <w:rsid w:val="00714956"/>
    <w:rsid w:val="00715914"/>
    <w:rsid w:val="00717B80"/>
    <w:rsid w:val="00720353"/>
    <w:rsid w:val="00723241"/>
    <w:rsid w:val="007240D8"/>
    <w:rsid w:val="007247E2"/>
    <w:rsid w:val="00724E0E"/>
    <w:rsid w:val="007254C7"/>
    <w:rsid w:val="00726C8F"/>
    <w:rsid w:val="007308EE"/>
    <w:rsid w:val="00733D5B"/>
    <w:rsid w:val="007411E2"/>
    <w:rsid w:val="00742962"/>
    <w:rsid w:val="00743A6A"/>
    <w:rsid w:val="00743F2F"/>
    <w:rsid w:val="0074599A"/>
    <w:rsid w:val="00750038"/>
    <w:rsid w:val="007502E7"/>
    <w:rsid w:val="00752E33"/>
    <w:rsid w:val="00754E9F"/>
    <w:rsid w:val="00756724"/>
    <w:rsid w:val="00756EE4"/>
    <w:rsid w:val="007635DF"/>
    <w:rsid w:val="007654EF"/>
    <w:rsid w:val="00770CD1"/>
    <w:rsid w:val="0078035D"/>
    <w:rsid w:val="00780C16"/>
    <w:rsid w:val="007818B7"/>
    <w:rsid w:val="00781D8D"/>
    <w:rsid w:val="00783D4B"/>
    <w:rsid w:val="00786702"/>
    <w:rsid w:val="00790749"/>
    <w:rsid w:val="007A35E6"/>
    <w:rsid w:val="007B13B7"/>
    <w:rsid w:val="007B1CE9"/>
    <w:rsid w:val="007B3BAF"/>
    <w:rsid w:val="007B4B78"/>
    <w:rsid w:val="007B4EA5"/>
    <w:rsid w:val="007B57A2"/>
    <w:rsid w:val="007C18D6"/>
    <w:rsid w:val="007C6EC8"/>
    <w:rsid w:val="007D02C4"/>
    <w:rsid w:val="007D240C"/>
    <w:rsid w:val="007D4808"/>
    <w:rsid w:val="007D4AE4"/>
    <w:rsid w:val="007D4BE9"/>
    <w:rsid w:val="007D7831"/>
    <w:rsid w:val="007D7C78"/>
    <w:rsid w:val="007E0FEA"/>
    <w:rsid w:val="007E2317"/>
    <w:rsid w:val="007E3455"/>
    <w:rsid w:val="007E349B"/>
    <w:rsid w:val="007E3ABF"/>
    <w:rsid w:val="007E43F8"/>
    <w:rsid w:val="007E45FD"/>
    <w:rsid w:val="007E71D9"/>
    <w:rsid w:val="007E7805"/>
    <w:rsid w:val="007F1DA5"/>
    <w:rsid w:val="007F35A4"/>
    <w:rsid w:val="00802049"/>
    <w:rsid w:val="00804023"/>
    <w:rsid w:val="00804ACB"/>
    <w:rsid w:val="008079C0"/>
    <w:rsid w:val="00810A42"/>
    <w:rsid w:val="0081579D"/>
    <w:rsid w:val="00815E61"/>
    <w:rsid w:val="00815F74"/>
    <w:rsid w:val="0081621D"/>
    <w:rsid w:val="00817240"/>
    <w:rsid w:val="00817742"/>
    <w:rsid w:val="00817765"/>
    <w:rsid w:val="008234DE"/>
    <w:rsid w:val="008247B2"/>
    <w:rsid w:val="00825117"/>
    <w:rsid w:val="00830227"/>
    <w:rsid w:val="00831EB3"/>
    <w:rsid w:val="008338F6"/>
    <w:rsid w:val="00834560"/>
    <w:rsid w:val="00834A5B"/>
    <w:rsid w:val="00834CFB"/>
    <w:rsid w:val="008369FF"/>
    <w:rsid w:val="00836D81"/>
    <w:rsid w:val="00837498"/>
    <w:rsid w:val="00837525"/>
    <w:rsid w:val="008434B9"/>
    <w:rsid w:val="00847718"/>
    <w:rsid w:val="00850EFA"/>
    <w:rsid w:val="00851CDE"/>
    <w:rsid w:val="008522FF"/>
    <w:rsid w:val="008526DA"/>
    <w:rsid w:val="00852BE6"/>
    <w:rsid w:val="008563BD"/>
    <w:rsid w:val="00856B1E"/>
    <w:rsid w:val="00857078"/>
    <w:rsid w:val="00857F67"/>
    <w:rsid w:val="00860311"/>
    <w:rsid w:val="008606A3"/>
    <w:rsid w:val="00860794"/>
    <w:rsid w:val="0086289E"/>
    <w:rsid w:val="00863945"/>
    <w:rsid w:val="00865AFD"/>
    <w:rsid w:val="00865D6A"/>
    <w:rsid w:val="00870D4C"/>
    <w:rsid w:val="00871C44"/>
    <w:rsid w:val="008736A3"/>
    <w:rsid w:val="008744D2"/>
    <w:rsid w:val="00876F3B"/>
    <w:rsid w:val="00883B47"/>
    <w:rsid w:val="0088404C"/>
    <w:rsid w:val="008846B1"/>
    <w:rsid w:val="008852C0"/>
    <w:rsid w:val="008852E9"/>
    <w:rsid w:val="00885336"/>
    <w:rsid w:val="00885D04"/>
    <w:rsid w:val="00886C0C"/>
    <w:rsid w:val="0088710B"/>
    <w:rsid w:val="008907EC"/>
    <w:rsid w:val="00891D0F"/>
    <w:rsid w:val="00893BD1"/>
    <w:rsid w:val="008945A0"/>
    <w:rsid w:val="00894ADC"/>
    <w:rsid w:val="00895011"/>
    <w:rsid w:val="00896053"/>
    <w:rsid w:val="008979D5"/>
    <w:rsid w:val="008A2B8E"/>
    <w:rsid w:val="008A2EBA"/>
    <w:rsid w:val="008A44F9"/>
    <w:rsid w:val="008B3E0C"/>
    <w:rsid w:val="008B602D"/>
    <w:rsid w:val="008C078A"/>
    <w:rsid w:val="008C0891"/>
    <w:rsid w:val="008C28C2"/>
    <w:rsid w:val="008C2DFD"/>
    <w:rsid w:val="008C35A5"/>
    <w:rsid w:val="008C3AE0"/>
    <w:rsid w:val="008C6434"/>
    <w:rsid w:val="008C654D"/>
    <w:rsid w:val="008D37D9"/>
    <w:rsid w:val="008D4C72"/>
    <w:rsid w:val="008D745C"/>
    <w:rsid w:val="008D7999"/>
    <w:rsid w:val="008E21A3"/>
    <w:rsid w:val="008E3B9A"/>
    <w:rsid w:val="008E434C"/>
    <w:rsid w:val="008E5BE9"/>
    <w:rsid w:val="008F0148"/>
    <w:rsid w:val="008F01CE"/>
    <w:rsid w:val="008F1A39"/>
    <w:rsid w:val="008F4597"/>
    <w:rsid w:val="008F5007"/>
    <w:rsid w:val="008F7AAF"/>
    <w:rsid w:val="00900701"/>
    <w:rsid w:val="0090581D"/>
    <w:rsid w:val="00910432"/>
    <w:rsid w:val="00915067"/>
    <w:rsid w:val="00915D17"/>
    <w:rsid w:val="00915DCE"/>
    <w:rsid w:val="00920325"/>
    <w:rsid w:val="00923D8D"/>
    <w:rsid w:val="00925C45"/>
    <w:rsid w:val="009269EA"/>
    <w:rsid w:val="00927DEC"/>
    <w:rsid w:val="00931C4C"/>
    <w:rsid w:val="00933A88"/>
    <w:rsid w:val="00935F1A"/>
    <w:rsid w:val="00936C3A"/>
    <w:rsid w:val="0093746F"/>
    <w:rsid w:val="00937DB0"/>
    <w:rsid w:val="00944459"/>
    <w:rsid w:val="00944828"/>
    <w:rsid w:val="00945D6C"/>
    <w:rsid w:val="00951643"/>
    <w:rsid w:val="00953E52"/>
    <w:rsid w:val="0095549B"/>
    <w:rsid w:val="00956CEC"/>
    <w:rsid w:val="00960CE9"/>
    <w:rsid w:val="00964A1D"/>
    <w:rsid w:val="009679AC"/>
    <w:rsid w:val="00973C75"/>
    <w:rsid w:val="00974E85"/>
    <w:rsid w:val="009763EF"/>
    <w:rsid w:val="00976F1B"/>
    <w:rsid w:val="00977CFE"/>
    <w:rsid w:val="00985F57"/>
    <w:rsid w:val="0098604E"/>
    <w:rsid w:val="00987599"/>
    <w:rsid w:val="00994A41"/>
    <w:rsid w:val="0099548B"/>
    <w:rsid w:val="00995A1B"/>
    <w:rsid w:val="00995C8C"/>
    <w:rsid w:val="009960FF"/>
    <w:rsid w:val="00996BDC"/>
    <w:rsid w:val="009970DA"/>
    <w:rsid w:val="009A5F02"/>
    <w:rsid w:val="009B0021"/>
    <w:rsid w:val="009B4043"/>
    <w:rsid w:val="009B710F"/>
    <w:rsid w:val="009B7862"/>
    <w:rsid w:val="009C2ACC"/>
    <w:rsid w:val="009C66C0"/>
    <w:rsid w:val="009D34A7"/>
    <w:rsid w:val="009D3807"/>
    <w:rsid w:val="009D589C"/>
    <w:rsid w:val="009E1826"/>
    <w:rsid w:val="009E1B40"/>
    <w:rsid w:val="009E24BC"/>
    <w:rsid w:val="009E279C"/>
    <w:rsid w:val="009E47A4"/>
    <w:rsid w:val="009E66A7"/>
    <w:rsid w:val="009E6DD5"/>
    <w:rsid w:val="009F1DED"/>
    <w:rsid w:val="009F3D99"/>
    <w:rsid w:val="009F4819"/>
    <w:rsid w:val="00A021F2"/>
    <w:rsid w:val="00A044FB"/>
    <w:rsid w:val="00A07923"/>
    <w:rsid w:val="00A11C6E"/>
    <w:rsid w:val="00A12263"/>
    <w:rsid w:val="00A14AE6"/>
    <w:rsid w:val="00A21134"/>
    <w:rsid w:val="00A224F2"/>
    <w:rsid w:val="00A23939"/>
    <w:rsid w:val="00A25993"/>
    <w:rsid w:val="00A2617F"/>
    <w:rsid w:val="00A32011"/>
    <w:rsid w:val="00A33BEA"/>
    <w:rsid w:val="00A33CD5"/>
    <w:rsid w:val="00A36E07"/>
    <w:rsid w:val="00A36E36"/>
    <w:rsid w:val="00A37BDC"/>
    <w:rsid w:val="00A40986"/>
    <w:rsid w:val="00A4437F"/>
    <w:rsid w:val="00A525D1"/>
    <w:rsid w:val="00A611BF"/>
    <w:rsid w:val="00A61FF2"/>
    <w:rsid w:val="00A635E7"/>
    <w:rsid w:val="00A66017"/>
    <w:rsid w:val="00A67F38"/>
    <w:rsid w:val="00A70359"/>
    <w:rsid w:val="00A72087"/>
    <w:rsid w:val="00A7378D"/>
    <w:rsid w:val="00A76C38"/>
    <w:rsid w:val="00A8021E"/>
    <w:rsid w:val="00A81455"/>
    <w:rsid w:val="00A819AB"/>
    <w:rsid w:val="00A8203C"/>
    <w:rsid w:val="00A82655"/>
    <w:rsid w:val="00A82813"/>
    <w:rsid w:val="00A8335C"/>
    <w:rsid w:val="00A837B2"/>
    <w:rsid w:val="00A84643"/>
    <w:rsid w:val="00A87CCA"/>
    <w:rsid w:val="00A939F8"/>
    <w:rsid w:val="00A97B6D"/>
    <w:rsid w:val="00AA19F4"/>
    <w:rsid w:val="00AA26AD"/>
    <w:rsid w:val="00AA43EF"/>
    <w:rsid w:val="00AB0D5C"/>
    <w:rsid w:val="00AB2CD3"/>
    <w:rsid w:val="00AB3304"/>
    <w:rsid w:val="00AB387D"/>
    <w:rsid w:val="00AB4758"/>
    <w:rsid w:val="00AB5429"/>
    <w:rsid w:val="00AB583A"/>
    <w:rsid w:val="00AB5DEC"/>
    <w:rsid w:val="00AB76FC"/>
    <w:rsid w:val="00AB7750"/>
    <w:rsid w:val="00AC05B5"/>
    <w:rsid w:val="00AC2102"/>
    <w:rsid w:val="00AC3CE6"/>
    <w:rsid w:val="00AC4FE8"/>
    <w:rsid w:val="00AC7C8E"/>
    <w:rsid w:val="00AD0BCF"/>
    <w:rsid w:val="00AD0ED4"/>
    <w:rsid w:val="00AD11F6"/>
    <w:rsid w:val="00AD1BB8"/>
    <w:rsid w:val="00AD34BA"/>
    <w:rsid w:val="00AD35BF"/>
    <w:rsid w:val="00AE0068"/>
    <w:rsid w:val="00AE35F0"/>
    <w:rsid w:val="00AE3954"/>
    <w:rsid w:val="00AE4379"/>
    <w:rsid w:val="00AE4F95"/>
    <w:rsid w:val="00AE572E"/>
    <w:rsid w:val="00AE7940"/>
    <w:rsid w:val="00AF1641"/>
    <w:rsid w:val="00AF21DA"/>
    <w:rsid w:val="00AF46D6"/>
    <w:rsid w:val="00AF47A2"/>
    <w:rsid w:val="00AF49E5"/>
    <w:rsid w:val="00AF5D91"/>
    <w:rsid w:val="00AF612E"/>
    <w:rsid w:val="00AF6206"/>
    <w:rsid w:val="00AF76B2"/>
    <w:rsid w:val="00B032BC"/>
    <w:rsid w:val="00B05BC2"/>
    <w:rsid w:val="00B0776F"/>
    <w:rsid w:val="00B1019D"/>
    <w:rsid w:val="00B12CDA"/>
    <w:rsid w:val="00B13701"/>
    <w:rsid w:val="00B231D3"/>
    <w:rsid w:val="00B2466D"/>
    <w:rsid w:val="00B265D8"/>
    <w:rsid w:val="00B31E69"/>
    <w:rsid w:val="00B336AC"/>
    <w:rsid w:val="00B33785"/>
    <w:rsid w:val="00B342B9"/>
    <w:rsid w:val="00B35C71"/>
    <w:rsid w:val="00B36139"/>
    <w:rsid w:val="00B36722"/>
    <w:rsid w:val="00B3694D"/>
    <w:rsid w:val="00B400A5"/>
    <w:rsid w:val="00B448B8"/>
    <w:rsid w:val="00B52430"/>
    <w:rsid w:val="00B52BF8"/>
    <w:rsid w:val="00B5434E"/>
    <w:rsid w:val="00B559F7"/>
    <w:rsid w:val="00B5718E"/>
    <w:rsid w:val="00B61AFC"/>
    <w:rsid w:val="00B62B41"/>
    <w:rsid w:val="00B62BE7"/>
    <w:rsid w:val="00B65C6F"/>
    <w:rsid w:val="00B67643"/>
    <w:rsid w:val="00B7079E"/>
    <w:rsid w:val="00B7135B"/>
    <w:rsid w:val="00B72960"/>
    <w:rsid w:val="00B72F5F"/>
    <w:rsid w:val="00B73A4A"/>
    <w:rsid w:val="00B74619"/>
    <w:rsid w:val="00B802D5"/>
    <w:rsid w:val="00B80BF1"/>
    <w:rsid w:val="00B817E6"/>
    <w:rsid w:val="00B820B8"/>
    <w:rsid w:val="00B831EE"/>
    <w:rsid w:val="00B865A6"/>
    <w:rsid w:val="00B867E7"/>
    <w:rsid w:val="00B91F5F"/>
    <w:rsid w:val="00B924B1"/>
    <w:rsid w:val="00B93758"/>
    <w:rsid w:val="00B942D9"/>
    <w:rsid w:val="00B94DD9"/>
    <w:rsid w:val="00B979B6"/>
    <w:rsid w:val="00BA154A"/>
    <w:rsid w:val="00BA4F6A"/>
    <w:rsid w:val="00BA517E"/>
    <w:rsid w:val="00BB112A"/>
    <w:rsid w:val="00BB1A5F"/>
    <w:rsid w:val="00BB49B4"/>
    <w:rsid w:val="00BC1751"/>
    <w:rsid w:val="00BC2622"/>
    <w:rsid w:val="00BC37F8"/>
    <w:rsid w:val="00BC4B34"/>
    <w:rsid w:val="00BC702D"/>
    <w:rsid w:val="00BD046B"/>
    <w:rsid w:val="00BD1093"/>
    <w:rsid w:val="00BD1460"/>
    <w:rsid w:val="00BD6951"/>
    <w:rsid w:val="00BD6D4C"/>
    <w:rsid w:val="00BE0ADB"/>
    <w:rsid w:val="00BF2779"/>
    <w:rsid w:val="00BF4441"/>
    <w:rsid w:val="00BF5A2D"/>
    <w:rsid w:val="00BF612F"/>
    <w:rsid w:val="00C01364"/>
    <w:rsid w:val="00C02CB8"/>
    <w:rsid w:val="00C040B0"/>
    <w:rsid w:val="00C04FAD"/>
    <w:rsid w:val="00C1232B"/>
    <w:rsid w:val="00C12DBC"/>
    <w:rsid w:val="00C13669"/>
    <w:rsid w:val="00C139F2"/>
    <w:rsid w:val="00C224AE"/>
    <w:rsid w:val="00C22AC3"/>
    <w:rsid w:val="00C23D3F"/>
    <w:rsid w:val="00C2707E"/>
    <w:rsid w:val="00C272E7"/>
    <w:rsid w:val="00C27639"/>
    <w:rsid w:val="00C33D10"/>
    <w:rsid w:val="00C37BC0"/>
    <w:rsid w:val="00C4101B"/>
    <w:rsid w:val="00C43853"/>
    <w:rsid w:val="00C44285"/>
    <w:rsid w:val="00C45E1F"/>
    <w:rsid w:val="00C461DD"/>
    <w:rsid w:val="00C50B29"/>
    <w:rsid w:val="00C532F4"/>
    <w:rsid w:val="00C554A4"/>
    <w:rsid w:val="00C55C05"/>
    <w:rsid w:val="00C55FD9"/>
    <w:rsid w:val="00C56798"/>
    <w:rsid w:val="00C568A9"/>
    <w:rsid w:val="00C604C3"/>
    <w:rsid w:val="00C64493"/>
    <w:rsid w:val="00C650CD"/>
    <w:rsid w:val="00C6678F"/>
    <w:rsid w:val="00C7115D"/>
    <w:rsid w:val="00C72833"/>
    <w:rsid w:val="00C7321A"/>
    <w:rsid w:val="00C74684"/>
    <w:rsid w:val="00C7468C"/>
    <w:rsid w:val="00C74BEE"/>
    <w:rsid w:val="00C75019"/>
    <w:rsid w:val="00C7716E"/>
    <w:rsid w:val="00C8001A"/>
    <w:rsid w:val="00C80386"/>
    <w:rsid w:val="00C84D79"/>
    <w:rsid w:val="00C85987"/>
    <w:rsid w:val="00C862F1"/>
    <w:rsid w:val="00C875C4"/>
    <w:rsid w:val="00C921CA"/>
    <w:rsid w:val="00CA2A82"/>
    <w:rsid w:val="00CA4494"/>
    <w:rsid w:val="00CA4802"/>
    <w:rsid w:val="00CA6A2A"/>
    <w:rsid w:val="00CB0391"/>
    <w:rsid w:val="00CB0699"/>
    <w:rsid w:val="00CB133D"/>
    <w:rsid w:val="00CB2609"/>
    <w:rsid w:val="00CB3785"/>
    <w:rsid w:val="00CB5D25"/>
    <w:rsid w:val="00CB661A"/>
    <w:rsid w:val="00CC193B"/>
    <w:rsid w:val="00CC287E"/>
    <w:rsid w:val="00CC37A5"/>
    <w:rsid w:val="00CC3D34"/>
    <w:rsid w:val="00CC403D"/>
    <w:rsid w:val="00CC47D6"/>
    <w:rsid w:val="00CC673F"/>
    <w:rsid w:val="00CC72EC"/>
    <w:rsid w:val="00CD4E80"/>
    <w:rsid w:val="00CD7F10"/>
    <w:rsid w:val="00CE2F29"/>
    <w:rsid w:val="00CE3850"/>
    <w:rsid w:val="00CE7F7A"/>
    <w:rsid w:val="00CF4662"/>
    <w:rsid w:val="00CF4781"/>
    <w:rsid w:val="00D0308C"/>
    <w:rsid w:val="00D10281"/>
    <w:rsid w:val="00D11308"/>
    <w:rsid w:val="00D16597"/>
    <w:rsid w:val="00D20687"/>
    <w:rsid w:val="00D208FE"/>
    <w:rsid w:val="00D20B5A"/>
    <w:rsid w:val="00D242AB"/>
    <w:rsid w:val="00D247A3"/>
    <w:rsid w:val="00D30A8C"/>
    <w:rsid w:val="00D34B0E"/>
    <w:rsid w:val="00D3540C"/>
    <w:rsid w:val="00D36BC0"/>
    <w:rsid w:val="00D43329"/>
    <w:rsid w:val="00D45838"/>
    <w:rsid w:val="00D461BA"/>
    <w:rsid w:val="00D52BAF"/>
    <w:rsid w:val="00D54123"/>
    <w:rsid w:val="00D54966"/>
    <w:rsid w:val="00D56814"/>
    <w:rsid w:val="00D57CC6"/>
    <w:rsid w:val="00D64707"/>
    <w:rsid w:val="00D66581"/>
    <w:rsid w:val="00D6661B"/>
    <w:rsid w:val="00D722D0"/>
    <w:rsid w:val="00D7338D"/>
    <w:rsid w:val="00D74AD5"/>
    <w:rsid w:val="00D76124"/>
    <w:rsid w:val="00D761C5"/>
    <w:rsid w:val="00D77568"/>
    <w:rsid w:val="00D80908"/>
    <w:rsid w:val="00D80F83"/>
    <w:rsid w:val="00D84B3A"/>
    <w:rsid w:val="00D84D5F"/>
    <w:rsid w:val="00D86B2C"/>
    <w:rsid w:val="00D875B4"/>
    <w:rsid w:val="00D90C46"/>
    <w:rsid w:val="00D915F1"/>
    <w:rsid w:val="00D92E77"/>
    <w:rsid w:val="00D936D7"/>
    <w:rsid w:val="00D94838"/>
    <w:rsid w:val="00D97EC1"/>
    <w:rsid w:val="00DA4390"/>
    <w:rsid w:val="00DA6E89"/>
    <w:rsid w:val="00DA7B3F"/>
    <w:rsid w:val="00DB135B"/>
    <w:rsid w:val="00DB5317"/>
    <w:rsid w:val="00DB59CA"/>
    <w:rsid w:val="00DB75C7"/>
    <w:rsid w:val="00DB7BC1"/>
    <w:rsid w:val="00DC0AD5"/>
    <w:rsid w:val="00DC0C89"/>
    <w:rsid w:val="00DC373D"/>
    <w:rsid w:val="00DC4D3E"/>
    <w:rsid w:val="00DC635A"/>
    <w:rsid w:val="00DC6BC9"/>
    <w:rsid w:val="00DC71A1"/>
    <w:rsid w:val="00DC767D"/>
    <w:rsid w:val="00DC7978"/>
    <w:rsid w:val="00DC79BC"/>
    <w:rsid w:val="00DD11FD"/>
    <w:rsid w:val="00DD2D77"/>
    <w:rsid w:val="00DD4A2D"/>
    <w:rsid w:val="00DD4F4A"/>
    <w:rsid w:val="00DE31EB"/>
    <w:rsid w:val="00DE3A87"/>
    <w:rsid w:val="00DE435C"/>
    <w:rsid w:val="00DE58BF"/>
    <w:rsid w:val="00DE7225"/>
    <w:rsid w:val="00DF011F"/>
    <w:rsid w:val="00DF0D44"/>
    <w:rsid w:val="00DF60DD"/>
    <w:rsid w:val="00DF7CD2"/>
    <w:rsid w:val="00E011D6"/>
    <w:rsid w:val="00E03D77"/>
    <w:rsid w:val="00E10DCA"/>
    <w:rsid w:val="00E11ABB"/>
    <w:rsid w:val="00E11D68"/>
    <w:rsid w:val="00E12ACE"/>
    <w:rsid w:val="00E13EF7"/>
    <w:rsid w:val="00E14B1E"/>
    <w:rsid w:val="00E15D41"/>
    <w:rsid w:val="00E17255"/>
    <w:rsid w:val="00E20783"/>
    <w:rsid w:val="00E20CC2"/>
    <w:rsid w:val="00E20FF4"/>
    <w:rsid w:val="00E237F1"/>
    <w:rsid w:val="00E30291"/>
    <w:rsid w:val="00E33E0A"/>
    <w:rsid w:val="00E34CE8"/>
    <w:rsid w:val="00E35308"/>
    <w:rsid w:val="00E35622"/>
    <w:rsid w:val="00E35E6C"/>
    <w:rsid w:val="00E4082F"/>
    <w:rsid w:val="00E4389D"/>
    <w:rsid w:val="00E46CD7"/>
    <w:rsid w:val="00E5020D"/>
    <w:rsid w:val="00E5365C"/>
    <w:rsid w:val="00E54704"/>
    <w:rsid w:val="00E5508B"/>
    <w:rsid w:val="00E65FCE"/>
    <w:rsid w:val="00E66DF1"/>
    <w:rsid w:val="00E67B0E"/>
    <w:rsid w:val="00E7220C"/>
    <w:rsid w:val="00E77115"/>
    <w:rsid w:val="00E83A0D"/>
    <w:rsid w:val="00E8553A"/>
    <w:rsid w:val="00E8774F"/>
    <w:rsid w:val="00E909B2"/>
    <w:rsid w:val="00E90C2A"/>
    <w:rsid w:val="00E91A85"/>
    <w:rsid w:val="00E9485A"/>
    <w:rsid w:val="00E9541E"/>
    <w:rsid w:val="00EA0394"/>
    <w:rsid w:val="00EA15E6"/>
    <w:rsid w:val="00EA1FCF"/>
    <w:rsid w:val="00EA2FAD"/>
    <w:rsid w:val="00EA5EA8"/>
    <w:rsid w:val="00EA6225"/>
    <w:rsid w:val="00EB16BF"/>
    <w:rsid w:val="00EB2859"/>
    <w:rsid w:val="00EB4C5D"/>
    <w:rsid w:val="00EB4E3C"/>
    <w:rsid w:val="00EB5A5A"/>
    <w:rsid w:val="00EB5D6F"/>
    <w:rsid w:val="00EC0A22"/>
    <w:rsid w:val="00EC4A3F"/>
    <w:rsid w:val="00EC6836"/>
    <w:rsid w:val="00EE0482"/>
    <w:rsid w:val="00EE1BEE"/>
    <w:rsid w:val="00EE2519"/>
    <w:rsid w:val="00EE32DD"/>
    <w:rsid w:val="00EE4E8B"/>
    <w:rsid w:val="00EE50AC"/>
    <w:rsid w:val="00EE6185"/>
    <w:rsid w:val="00EF49A8"/>
    <w:rsid w:val="00EF519A"/>
    <w:rsid w:val="00F00F8A"/>
    <w:rsid w:val="00F03422"/>
    <w:rsid w:val="00F06A53"/>
    <w:rsid w:val="00F07866"/>
    <w:rsid w:val="00F07A4B"/>
    <w:rsid w:val="00F10FE3"/>
    <w:rsid w:val="00F11C00"/>
    <w:rsid w:val="00F121D0"/>
    <w:rsid w:val="00F1684A"/>
    <w:rsid w:val="00F17967"/>
    <w:rsid w:val="00F231DC"/>
    <w:rsid w:val="00F26174"/>
    <w:rsid w:val="00F26C64"/>
    <w:rsid w:val="00F27613"/>
    <w:rsid w:val="00F344FC"/>
    <w:rsid w:val="00F35108"/>
    <w:rsid w:val="00F40313"/>
    <w:rsid w:val="00F409DD"/>
    <w:rsid w:val="00F42576"/>
    <w:rsid w:val="00F44913"/>
    <w:rsid w:val="00F44A11"/>
    <w:rsid w:val="00F45795"/>
    <w:rsid w:val="00F50FA5"/>
    <w:rsid w:val="00F53A86"/>
    <w:rsid w:val="00F54D93"/>
    <w:rsid w:val="00F574B9"/>
    <w:rsid w:val="00F6003A"/>
    <w:rsid w:val="00F619C8"/>
    <w:rsid w:val="00F62B6A"/>
    <w:rsid w:val="00F65D21"/>
    <w:rsid w:val="00F66D64"/>
    <w:rsid w:val="00F70FBD"/>
    <w:rsid w:val="00F779D0"/>
    <w:rsid w:val="00F8083F"/>
    <w:rsid w:val="00F81496"/>
    <w:rsid w:val="00F8149B"/>
    <w:rsid w:val="00F8364F"/>
    <w:rsid w:val="00F83A76"/>
    <w:rsid w:val="00F83D4E"/>
    <w:rsid w:val="00F85BDC"/>
    <w:rsid w:val="00F871A2"/>
    <w:rsid w:val="00F90145"/>
    <w:rsid w:val="00F94C7F"/>
    <w:rsid w:val="00F94E44"/>
    <w:rsid w:val="00FA6E18"/>
    <w:rsid w:val="00FB174F"/>
    <w:rsid w:val="00FB4EB8"/>
    <w:rsid w:val="00FB5261"/>
    <w:rsid w:val="00FB6664"/>
    <w:rsid w:val="00FB6A25"/>
    <w:rsid w:val="00FC0614"/>
    <w:rsid w:val="00FC21D6"/>
    <w:rsid w:val="00FC5DC7"/>
    <w:rsid w:val="00FC7114"/>
    <w:rsid w:val="00FC7FE2"/>
    <w:rsid w:val="00FD421D"/>
    <w:rsid w:val="00FD4A12"/>
    <w:rsid w:val="00FD5A12"/>
    <w:rsid w:val="00FD7091"/>
    <w:rsid w:val="00FE1677"/>
    <w:rsid w:val="00FE4CCE"/>
    <w:rsid w:val="00FE7532"/>
    <w:rsid w:val="00FF358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E3"/>
    <w:rPr>
      <w:rFonts w:ascii="Arial" w:hAnsi="Arial"/>
    </w:rPr>
  </w:style>
  <w:style w:type="paragraph" w:styleId="Ttulo1">
    <w:name w:val="heading 1"/>
    <w:aliases w:val="Título Primer Nivel"/>
    <w:basedOn w:val="Normal"/>
    <w:next w:val="Normal"/>
    <w:link w:val="Ttulo1Car"/>
    <w:autoRedefine/>
    <w:uiPriority w:val="9"/>
    <w:qFormat/>
    <w:rsid w:val="006573E3"/>
    <w:pPr>
      <w:keepNext/>
      <w:numPr>
        <w:numId w:val="1"/>
      </w:numPr>
      <w:spacing w:before="2000" w:after="480" w:line="240" w:lineRule="auto"/>
      <w:ind w:left="360"/>
      <w:outlineLvl w:val="0"/>
    </w:pPr>
    <w:rPr>
      <w:rFonts w:eastAsia="Times New Roman" w:cs="Arial"/>
      <w:b/>
      <w:bCs/>
      <w:kern w:val="32"/>
      <w:sz w:val="40"/>
      <w:szCs w:val="32"/>
      <w:lang w:val="es-ES" w:eastAsia="es-ES"/>
    </w:rPr>
  </w:style>
  <w:style w:type="paragraph" w:styleId="Ttulo2">
    <w:name w:val="heading 2"/>
    <w:aliases w:val="Título Segundo nivel"/>
    <w:basedOn w:val="Normal"/>
    <w:next w:val="Normal"/>
    <w:link w:val="Ttulo2Car"/>
    <w:uiPriority w:val="9"/>
    <w:unhideWhenUsed/>
    <w:qFormat/>
    <w:rsid w:val="0058118D"/>
    <w:pPr>
      <w:keepNext/>
      <w:keepLines/>
      <w:numPr>
        <w:ilvl w:val="1"/>
        <w:numId w:val="1"/>
      </w:numPr>
      <w:spacing w:before="400" w:line="240" w:lineRule="auto"/>
      <w:ind w:left="576"/>
      <w:outlineLvl w:val="1"/>
    </w:pPr>
    <w:rPr>
      <w:rFonts w:eastAsiaTheme="majorEastAsia" w:cstheme="majorBidi"/>
      <w:b/>
      <w:bCs/>
      <w:sz w:val="32"/>
      <w:szCs w:val="26"/>
    </w:rPr>
  </w:style>
  <w:style w:type="paragraph" w:styleId="Ttulo3">
    <w:name w:val="heading 3"/>
    <w:aliases w:val="Título Tercer nivel"/>
    <w:basedOn w:val="Normal"/>
    <w:next w:val="Normal"/>
    <w:link w:val="Ttulo3Car"/>
    <w:uiPriority w:val="9"/>
    <w:unhideWhenUsed/>
    <w:qFormat/>
    <w:rsid w:val="006573E3"/>
    <w:pPr>
      <w:keepNext/>
      <w:keepLines/>
      <w:numPr>
        <w:ilvl w:val="2"/>
        <w:numId w:val="1"/>
      </w:numPr>
      <w:spacing w:before="400" w:line="240" w:lineRule="auto"/>
      <w:ind w:left="720"/>
      <w:outlineLvl w:val="2"/>
    </w:pPr>
    <w:rPr>
      <w:rFonts w:eastAsiaTheme="majorEastAsia" w:cstheme="majorBidi"/>
      <w:b/>
      <w:bCs/>
      <w:sz w:val="28"/>
    </w:rPr>
  </w:style>
  <w:style w:type="paragraph" w:styleId="Ttulo4">
    <w:name w:val="heading 4"/>
    <w:aliases w:val="Título Cuarto nivel"/>
    <w:basedOn w:val="Normal"/>
    <w:next w:val="Normal"/>
    <w:link w:val="Ttulo4Car"/>
    <w:uiPriority w:val="9"/>
    <w:unhideWhenUsed/>
    <w:qFormat/>
    <w:rsid w:val="006573E3"/>
    <w:pPr>
      <w:keepNext/>
      <w:keepLines/>
      <w:numPr>
        <w:numId w:val="9"/>
      </w:numPr>
      <w:spacing w:before="400" w:line="240" w:lineRule="auto"/>
      <w:ind w:left="360"/>
      <w:outlineLvl w:val="3"/>
    </w:pPr>
    <w:rPr>
      <w:rFonts w:eastAsiaTheme="majorEastAsia" w:cstheme="majorBidi"/>
      <w:bCs/>
      <w:iCs/>
    </w:rPr>
  </w:style>
  <w:style w:type="paragraph" w:styleId="Ttulo5">
    <w:name w:val="heading 5"/>
    <w:basedOn w:val="Normal"/>
    <w:next w:val="Normal"/>
    <w:link w:val="Ttulo5Car"/>
    <w:uiPriority w:val="9"/>
    <w:semiHidden/>
    <w:unhideWhenUsed/>
    <w:qFormat/>
    <w:rsid w:val="006573E3"/>
    <w:pPr>
      <w:keepNext/>
      <w:keepLines/>
      <w:numPr>
        <w:ilvl w:val="4"/>
        <w:numId w:val="1"/>
      </w:numPr>
      <w:spacing w:before="200" w:after="0"/>
      <w:outlineLvl w:val="4"/>
    </w:pPr>
    <w:rPr>
      <w:rFonts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8C078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C078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C078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C078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9F2"/>
    <w:pPr>
      <w:tabs>
        <w:tab w:val="left" w:pos="2580"/>
        <w:tab w:val="left" w:pos="2985"/>
        <w:tab w:val="center" w:pos="4419"/>
        <w:tab w:val="right" w:pos="8838"/>
      </w:tabs>
      <w:spacing w:after="120"/>
      <w:jc w:val="right"/>
    </w:pPr>
    <w:rPr>
      <w:b/>
      <w:bCs/>
      <w:color w:val="1F497D" w:themeColor="text2"/>
      <w:sz w:val="28"/>
      <w:szCs w:val="28"/>
    </w:rPr>
  </w:style>
  <w:style w:type="character" w:customStyle="1" w:styleId="EncabezadoCar">
    <w:name w:val="Encabezado Car"/>
    <w:basedOn w:val="Fuentedeprrafopredeter"/>
    <w:link w:val="Encabezado"/>
    <w:uiPriority w:val="99"/>
    <w:rsid w:val="00C139F2"/>
    <w:rPr>
      <w:b/>
      <w:bCs/>
      <w:color w:val="1F497D" w:themeColor="text2"/>
      <w:sz w:val="28"/>
      <w:szCs w:val="28"/>
    </w:rPr>
  </w:style>
  <w:style w:type="paragraph" w:styleId="Piedepgina">
    <w:name w:val="footer"/>
    <w:basedOn w:val="Normal"/>
    <w:link w:val="PiedepginaCar"/>
    <w:uiPriority w:val="99"/>
    <w:unhideWhenUsed/>
    <w:rsid w:val="00217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026"/>
  </w:style>
  <w:style w:type="character" w:customStyle="1" w:styleId="Ttulo1Car">
    <w:name w:val="Título 1 Car"/>
    <w:aliases w:val="Título Primer Nivel Car"/>
    <w:basedOn w:val="Fuentedeprrafopredeter"/>
    <w:link w:val="Ttulo1"/>
    <w:uiPriority w:val="9"/>
    <w:rsid w:val="006573E3"/>
    <w:rPr>
      <w:rFonts w:ascii="Arial" w:eastAsia="Times New Roman" w:hAnsi="Arial" w:cs="Arial"/>
      <w:b/>
      <w:bCs/>
      <w:kern w:val="32"/>
      <w:sz w:val="40"/>
      <w:szCs w:val="32"/>
      <w:lang w:val="es-ES" w:eastAsia="es-ES"/>
    </w:rPr>
  </w:style>
  <w:style w:type="paragraph" w:customStyle="1" w:styleId="Estilo1">
    <w:name w:val="Estilo1"/>
    <w:basedOn w:val="Normal"/>
    <w:rsid w:val="008338F6"/>
    <w:pPr>
      <w:spacing w:after="0" w:line="240" w:lineRule="auto"/>
      <w:jc w:val="center"/>
    </w:pPr>
    <w:rPr>
      <w:rFonts w:eastAsia="Times New Roman" w:cs="Times New Roman"/>
      <w:sz w:val="24"/>
      <w:szCs w:val="24"/>
      <w:lang w:val="es-ES" w:eastAsia="es-ES"/>
    </w:rPr>
  </w:style>
  <w:style w:type="character" w:styleId="Hipervnculo">
    <w:name w:val="Hyperlink"/>
    <w:basedOn w:val="Fuentedeprrafopredeter"/>
    <w:uiPriority w:val="99"/>
    <w:rsid w:val="008338F6"/>
    <w:rPr>
      <w:color w:val="0000FF"/>
      <w:u w:val="single"/>
    </w:rPr>
  </w:style>
  <w:style w:type="paragraph" w:styleId="Prrafodelista">
    <w:name w:val="List Paragraph"/>
    <w:basedOn w:val="Normal"/>
    <w:uiPriority w:val="34"/>
    <w:qFormat/>
    <w:rsid w:val="00A8021E"/>
    <w:pPr>
      <w:spacing w:after="0" w:line="360" w:lineRule="auto"/>
      <w:jc w:val="both"/>
    </w:pPr>
    <w:rPr>
      <w:rFonts w:eastAsia="Times New Roman" w:cs="Times New Roman"/>
      <w:szCs w:val="24"/>
      <w:lang w:val="es-ES" w:eastAsia="es-ES"/>
    </w:rPr>
  </w:style>
  <w:style w:type="paragraph" w:styleId="Textodeglobo">
    <w:name w:val="Balloon Text"/>
    <w:basedOn w:val="Normal"/>
    <w:link w:val="TextodegloboCar"/>
    <w:uiPriority w:val="99"/>
    <w:semiHidden/>
    <w:unhideWhenUsed/>
    <w:rsid w:val="008338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8F6"/>
    <w:rPr>
      <w:rFonts w:ascii="Tahoma" w:hAnsi="Tahoma" w:cs="Tahoma"/>
      <w:sz w:val="16"/>
      <w:szCs w:val="16"/>
    </w:rPr>
  </w:style>
  <w:style w:type="paragraph" w:styleId="TtulodeTDC">
    <w:name w:val="TOC Heading"/>
    <w:basedOn w:val="Normal"/>
    <w:next w:val="Normal"/>
    <w:link w:val="TtulodeTDCCar"/>
    <w:uiPriority w:val="39"/>
    <w:unhideWhenUsed/>
    <w:qFormat/>
    <w:rsid w:val="006573E3"/>
    <w:pPr>
      <w:keepLines/>
      <w:spacing w:after="0" w:line="240" w:lineRule="auto"/>
    </w:pPr>
    <w:rPr>
      <w:rFonts w:eastAsiaTheme="majorEastAsia" w:cstheme="majorBidi"/>
      <w:szCs w:val="28"/>
    </w:rPr>
  </w:style>
  <w:style w:type="paragraph" w:styleId="TDC2">
    <w:name w:val="toc 2"/>
    <w:basedOn w:val="Normal"/>
    <w:next w:val="Normal"/>
    <w:autoRedefine/>
    <w:uiPriority w:val="39"/>
    <w:unhideWhenUsed/>
    <w:qFormat/>
    <w:rsid w:val="006573E3"/>
    <w:pPr>
      <w:spacing w:after="0" w:line="240" w:lineRule="auto"/>
      <w:ind w:left="221"/>
    </w:pPr>
    <w:rPr>
      <w:rFonts w:eastAsiaTheme="minorEastAsia"/>
      <w:lang w:val="es-ES"/>
    </w:rPr>
  </w:style>
  <w:style w:type="paragraph" w:styleId="TDC1">
    <w:name w:val="toc 1"/>
    <w:basedOn w:val="Normal"/>
    <w:next w:val="Normal"/>
    <w:autoRedefine/>
    <w:uiPriority w:val="39"/>
    <w:unhideWhenUsed/>
    <w:qFormat/>
    <w:rsid w:val="00E66DF1"/>
    <w:pPr>
      <w:tabs>
        <w:tab w:val="left" w:pos="440"/>
        <w:tab w:val="right" w:leader="dot" w:pos="8789"/>
      </w:tabs>
      <w:spacing w:before="200" w:after="0" w:line="240" w:lineRule="auto"/>
      <w:jc w:val="both"/>
    </w:pPr>
    <w:rPr>
      <w:rFonts w:eastAsiaTheme="minorEastAsia" w:cs="Arial"/>
      <w:b/>
      <w:noProof/>
      <w:szCs w:val="24"/>
      <w:lang w:val="es-ES"/>
    </w:rPr>
  </w:style>
  <w:style w:type="paragraph" w:styleId="TDC3">
    <w:name w:val="toc 3"/>
    <w:basedOn w:val="Normal"/>
    <w:next w:val="Normal"/>
    <w:autoRedefine/>
    <w:uiPriority w:val="39"/>
    <w:unhideWhenUsed/>
    <w:qFormat/>
    <w:rsid w:val="00891D0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00"/>
        <w:tab w:val="right" w:leader="dot" w:pos="8789"/>
      </w:tabs>
      <w:spacing w:after="0" w:line="240" w:lineRule="auto"/>
      <w:ind w:left="442"/>
    </w:pPr>
    <w:rPr>
      <w:rFonts w:eastAsiaTheme="minorEastAsia"/>
      <w:noProof/>
      <w:lang w:val="es-ES"/>
    </w:rPr>
  </w:style>
  <w:style w:type="paragraph" w:styleId="Epgrafe">
    <w:name w:val="caption"/>
    <w:basedOn w:val="Normal"/>
    <w:next w:val="Normal"/>
    <w:uiPriority w:val="35"/>
    <w:unhideWhenUsed/>
    <w:qFormat/>
    <w:rsid w:val="00D20687"/>
    <w:pPr>
      <w:spacing w:line="240" w:lineRule="auto"/>
    </w:pPr>
    <w:rPr>
      <w:b/>
      <w:bCs/>
      <w:color w:val="4F81BD" w:themeColor="accent1"/>
      <w:sz w:val="18"/>
      <w:szCs w:val="18"/>
    </w:rPr>
  </w:style>
  <w:style w:type="table" w:styleId="Tablaconcuadrcula">
    <w:name w:val="Table Grid"/>
    <w:basedOn w:val="Tablanormal"/>
    <w:uiPriority w:val="59"/>
    <w:rsid w:val="008C64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ennegrita">
    <w:name w:val="Strong"/>
    <w:aliases w:val="Texto de la tesis"/>
    <w:basedOn w:val="Fuentedeprrafopredeter"/>
    <w:uiPriority w:val="22"/>
    <w:qFormat/>
    <w:rsid w:val="006573E3"/>
    <w:rPr>
      <w:rFonts w:ascii="Arial" w:hAnsi="Arial"/>
      <w:bCs/>
      <w:sz w:val="24"/>
    </w:rPr>
  </w:style>
  <w:style w:type="paragraph" w:styleId="Subttulo">
    <w:name w:val="Subtitle"/>
    <w:aliases w:val="Título Anexos"/>
    <w:basedOn w:val="Normal"/>
    <w:next w:val="Normal"/>
    <w:link w:val="SubttuloCar"/>
    <w:uiPriority w:val="11"/>
    <w:qFormat/>
    <w:rsid w:val="006573E3"/>
    <w:pPr>
      <w:numPr>
        <w:numId w:val="2"/>
      </w:numPr>
      <w:spacing w:before="2000" w:after="480" w:line="240" w:lineRule="auto"/>
      <w:ind w:left="714" w:hanging="357"/>
    </w:pPr>
    <w:rPr>
      <w:rFonts w:eastAsiaTheme="majorEastAsia" w:cstheme="majorBidi"/>
      <w:b/>
      <w:iCs/>
      <w:spacing w:val="15"/>
      <w:sz w:val="42"/>
      <w:szCs w:val="24"/>
    </w:rPr>
  </w:style>
  <w:style w:type="character" w:customStyle="1" w:styleId="SubttuloCar">
    <w:name w:val="Subtítulo Car"/>
    <w:aliases w:val="Título Anexos Car"/>
    <w:basedOn w:val="Fuentedeprrafopredeter"/>
    <w:link w:val="Subttulo"/>
    <w:uiPriority w:val="11"/>
    <w:rsid w:val="006573E3"/>
    <w:rPr>
      <w:rFonts w:ascii="Arial" w:eastAsiaTheme="majorEastAsia" w:hAnsi="Arial" w:cstheme="majorBidi"/>
      <w:b/>
      <w:iCs/>
      <w:spacing w:val="15"/>
      <w:sz w:val="42"/>
      <w:szCs w:val="24"/>
    </w:rPr>
  </w:style>
  <w:style w:type="character" w:customStyle="1" w:styleId="Ttulo2Car">
    <w:name w:val="Título 2 Car"/>
    <w:aliases w:val="Título Segundo nivel Car"/>
    <w:basedOn w:val="Fuentedeprrafopredeter"/>
    <w:link w:val="Ttulo2"/>
    <w:uiPriority w:val="9"/>
    <w:rsid w:val="0058118D"/>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6573E3"/>
    <w:rPr>
      <w:rFonts w:ascii="Arial" w:eastAsiaTheme="majorEastAsia" w:hAnsi="Arial" w:cstheme="majorBidi"/>
      <w:b/>
      <w:bCs/>
      <w:sz w:val="28"/>
    </w:rPr>
  </w:style>
  <w:style w:type="character" w:styleId="Ttulodellibro">
    <w:name w:val="Book Title"/>
    <w:basedOn w:val="Fuentedeprrafopredeter"/>
    <w:uiPriority w:val="33"/>
    <w:qFormat/>
    <w:rsid w:val="006573E3"/>
    <w:rPr>
      <w:rFonts w:ascii="Arial" w:hAnsi="Arial"/>
      <w:b/>
      <w:bCs/>
      <w:smallCaps/>
      <w:spacing w:val="5"/>
    </w:rPr>
  </w:style>
  <w:style w:type="character" w:customStyle="1" w:styleId="Ttulo4Car">
    <w:name w:val="Título 4 Car"/>
    <w:aliases w:val="Título Cuarto nivel Car"/>
    <w:basedOn w:val="Fuentedeprrafopredeter"/>
    <w:link w:val="Ttulo4"/>
    <w:uiPriority w:val="9"/>
    <w:rsid w:val="006573E3"/>
    <w:rPr>
      <w:rFonts w:ascii="Arial" w:eastAsiaTheme="majorEastAsia" w:hAnsi="Arial" w:cstheme="majorBidi"/>
      <w:bCs/>
      <w:iCs/>
    </w:rPr>
  </w:style>
  <w:style w:type="paragraph" w:styleId="TDC5">
    <w:name w:val="toc 5"/>
    <w:basedOn w:val="Normal"/>
    <w:next w:val="Normal"/>
    <w:autoRedefine/>
    <w:uiPriority w:val="39"/>
    <w:unhideWhenUsed/>
    <w:rsid w:val="006573E3"/>
    <w:pPr>
      <w:tabs>
        <w:tab w:val="left" w:pos="1760"/>
        <w:tab w:val="right" w:leader="dot" w:pos="8789"/>
      </w:tabs>
      <w:spacing w:after="0" w:line="240" w:lineRule="auto"/>
      <w:ind w:left="879"/>
    </w:pPr>
    <w:rPr>
      <w:noProof/>
    </w:rPr>
  </w:style>
  <w:style w:type="paragraph" w:styleId="TDC6">
    <w:name w:val="toc 6"/>
    <w:basedOn w:val="Normal"/>
    <w:next w:val="Normal"/>
    <w:autoRedefine/>
    <w:uiPriority w:val="39"/>
    <w:unhideWhenUsed/>
    <w:rsid w:val="00BF5A2D"/>
    <w:pPr>
      <w:spacing w:after="100"/>
      <w:ind w:left="1100"/>
    </w:pPr>
  </w:style>
  <w:style w:type="paragraph" w:styleId="TDC4">
    <w:name w:val="toc 4"/>
    <w:basedOn w:val="Normal"/>
    <w:next w:val="Normal"/>
    <w:autoRedefine/>
    <w:uiPriority w:val="39"/>
    <w:unhideWhenUsed/>
    <w:rsid w:val="006573E3"/>
    <w:pPr>
      <w:spacing w:after="0" w:line="240" w:lineRule="auto"/>
      <w:ind w:left="658"/>
    </w:pPr>
  </w:style>
  <w:style w:type="paragraph" w:styleId="TDC7">
    <w:name w:val="toc 7"/>
    <w:basedOn w:val="Normal"/>
    <w:next w:val="Normal"/>
    <w:autoRedefine/>
    <w:uiPriority w:val="39"/>
    <w:unhideWhenUsed/>
    <w:rsid w:val="00BF5A2D"/>
    <w:pPr>
      <w:spacing w:after="100"/>
      <w:ind w:left="1320"/>
    </w:pPr>
  </w:style>
  <w:style w:type="paragraph" w:styleId="NormalWeb">
    <w:name w:val="Normal (Web)"/>
    <w:basedOn w:val="Normal"/>
    <w:uiPriority w:val="99"/>
    <w:unhideWhenUsed/>
    <w:rsid w:val="002333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233319"/>
  </w:style>
  <w:style w:type="character" w:customStyle="1" w:styleId="editsection">
    <w:name w:val="editsection"/>
    <w:basedOn w:val="Fuentedeprrafopredeter"/>
    <w:rsid w:val="00233319"/>
  </w:style>
  <w:style w:type="character" w:styleId="Hipervnculovisitado">
    <w:name w:val="FollowedHyperlink"/>
    <w:basedOn w:val="Fuentedeprrafopredeter"/>
    <w:uiPriority w:val="99"/>
    <w:semiHidden/>
    <w:unhideWhenUsed/>
    <w:rsid w:val="00BD046B"/>
    <w:rPr>
      <w:color w:val="800080" w:themeColor="followedHyperlink"/>
      <w:u w:val="single"/>
    </w:rPr>
  </w:style>
  <w:style w:type="character" w:customStyle="1" w:styleId="Ttulo5Car">
    <w:name w:val="Título 5 Car"/>
    <w:basedOn w:val="Fuentedeprrafopredeter"/>
    <w:link w:val="Ttulo5"/>
    <w:uiPriority w:val="9"/>
    <w:semiHidden/>
    <w:rsid w:val="006573E3"/>
    <w:rPr>
      <w:rFonts w:ascii="Arial" w:eastAsiaTheme="majorEastAsia" w:hAnsi="Arial" w:cstheme="majorBidi"/>
      <w:color w:val="243F60" w:themeColor="accent1" w:themeShade="7F"/>
    </w:rPr>
  </w:style>
  <w:style w:type="character" w:customStyle="1" w:styleId="Ttulo6Car">
    <w:name w:val="Título 6 Car"/>
    <w:basedOn w:val="Fuentedeprrafopredeter"/>
    <w:link w:val="Ttulo6"/>
    <w:uiPriority w:val="9"/>
    <w:semiHidden/>
    <w:rsid w:val="008C078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C07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C07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C078A"/>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6573E3"/>
    <w:pPr>
      <w:spacing w:before="480" w:after="300" w:line="240" w:lineRule="auto"/>
      <w:contextualSpacing/>
      <w:jc w:val="center"/>
    </w:pPr>
    <w:rPr>
      <w:rFonts w:eastAsiaTheme="majorEastAsia" w:cstheme="majorBidi"/>
      <w:b/>
      <w:spacing w:val="5"/>
      <w:kern w:val="28"/>
      <w:sz w:val="48"/>
      <w:szCs w:val="52"/>
    </w:rPr>
  </w:style>
  <w:style w:type="character" w:customStyle="1" w:styleId="TtuloCar">
    <w:name w:val="Título Car"/>
    <w:basedOn w:val="Fuentedeprrafopredeter"/>
    <w:link w:val="Ttulo"/>
    <w:uiPriority w:val="10"/>
    <w:rsid w:val="006573E3"/>
    <w:rPr>
      <w:rFonts w:ascii="Arial" w:eastAsiaTheme="majorEastAsia" w:hAnsi="Arial" w:cstheme="majorBidi"/>
      <w:b/>
      <w:spacing w:val="5"/>
      <w:kern w:val="28"/>
      <w:sz w:val="48"/>
      <w:szCs w:val="52"/>
    </w:rPr>
  </w:style>
  <w:style w:type="paragraph" w:customStyle="1" w:styleId="Ttulospreliminares">
    <w:name w:val="Títulos preliminares"/>
    <w:basedOn w:val="TtulodeTDC"/>
    <w:link w:val="TtulospreliminaresCar"/>
    <w:qFormat/>
    <w:rsid w:val="006573E3"/>
    <w:pPr>
      <w:spacing w:before="2000" w:after="200"/>
    </w:pPr>
    <w:rPr>
      <w:b/>
      <w:sz w:val="36"/>
    </w:rPr>
  </w:style>
  <w:style w:type="paragraph" w:customStyle="1" w:styleId="Ttulospreliminares2">
    <w:name w:val="Títulos preliminares 2"/>
    <w:basedOn w:val="Normal"/>
    <w:link w:val="Ttulospreliminares2Car"/>
    <w:qFormat/>
    <w:rsid w:val="006573E3"/>
    <w:pPr>
      <w:spacing w:before="2000" w:line="240" w:lineRule="auto"/>
    </w:pPr>
    <w:rPr>
      <w:b/>
      <w:sz w:val="40"/>
    </w:rPr>
  </w:style>
  <w:style w:type="character" w:customStyle="1" w:styleId="TtulodeTDCCar">
    <w:name w:val="Título de TDC Car"/>
    <w:basedOn w:val="Fuentedeprrafopredeter"/>
    <w:link w:val="TtulodeTDC"/>
    <w:uiPriority w:val="39"/>
    <w:rsid w:val="006573E3"/>
    <w:rPr>
      <w:rFonts w:ascii="Arial" w:eastAsiaTheme="majorEastAsia" w:hAnsi="Arial" w:cstheme="majorBidi"/>
      <w:szCs w:val="28"/>
    </w:rPr>
  </w:style>
  <w:style w:type="character" w:customStyle="1" w:styleId="TtulospreliminaresCar">
    <w:name w:val="Títulos preliminares Car"/>
    <w:basedOn w:val="TtulodeTDCCar"/>
    <w:link w:val="Ttulospreliminares"/>
    <w:rsid w:val="006573E3"/>
    <w:rPr>
      <w:rFonts w:ascii="Arial" w:eastAsiaTheme="majorEastAsia" w:hAnsi="Arial" w:cstheme="majorBidi"/>
      <w:b/>
      <w:sz w:val="36"/>
      <w:szCs w:val="28"/>
    </w:rPr>
  </w:style>
  <w:style w:type="character" w:styleId="Textodelmarcadordeposicin">
    <w:name w:val="Placeholder Text"/>
    <w:basedOn w:val="Fuentedeprrafopredeter"/>
    <w:uiPriority w:val="99"/>
    <w:semiHidden/>
    <w:rsid w:val="00342A76"/>
    <w:rPr>
      <w:color w:val="808080"/>
    </w:rPr>
  </w:style>
  <w:style w:type="character" w:customStyle="1" w:styleId="Ttulospreliminares2Car">
    <w:name w:val="Títulos preliminares 2 Car"/>
    <w:basedOn w:val="Fuentedeprrafopredeter"/>
    <w:link w:val="Ttulospreliminares2"/>
    <w:rsid w:val="006573E3"/>
    <w:rPr>
      <w:rFonts w:ascii="Arial" w:hAnsi="Arial"/>
      <w:b/>
      <w:sz w:val="40"/>
    </w:rPr>
  </w:style>
  <w:style w:type="paragraph" w:styleId="Mapadeldocumento">
    <w:name w:val="Document Map"/>
    <w:basedOn w:val="Normal"/>
    <w:link w:val="MapadeldocumentoCar"/>
    <w:uiPriority w:val="99"/>
    <w:semiHidden/>
    <w:unhideWhenUsed/>
    <w:rsid w:val="0035748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35748C"/>
    <w:rPr>
      <w:rFonts w:ascii="Tahoma" w:hAnsi="Tahoma" w:cs="Tahoma"/>
      <w:sz w:val="16"/>
      <w:szCs w:val="16"/>
    </w:rPr>
  </w:style>
  <w:style w:type="paragraph" w:styleId="Textonotapie">
    <w:name w:val="footnote text"/>
    <w:basedOn w:val="Normal"/>
    <w:link w:val="TextonotapieCar"/>
    <w:uiPriority w:val="99"/>
    <w:unhideWhenUsed/>
    <w:rsid w:val="002F1E17"/>
    <w:pPr>
      <w:spacing w:after="0" w:line="240" w:lineRule="auto"/>
    </w:pPr>
    <w:rPr>
      <w:sz w:val="20"/>
      <w:szCs w:val="20"/>
    </w:rPr>
  </w:style>
  <w:style w:type="character" w:customStyle="1" w:styleId="TextonotapieCar">
    <w:name w:val="Texto nota pie Car"/>
    <w:basedOn w:val="Fuentedeprrafopredeter"/>
    <w:link w:val="Textonotapie"/>
    <w:uiPriority w:val="99"/>
    <w:rsid w:val="002F1E17"/>
    <w:rPr>
      <w:sz w:val="20"/>
      <w:szCs w:val="20"/>
    </w:rPr>
  </w:style>
  <w:style w:type="character" w:styleId="Refdenotaalpie">
    <w:name w:val="footnote reference"/>
    <w:basedOn w:val="Fuentedeprrafopredeter"/>
    <w:uiPriority w:val="99"/>
    <w:unhideWhenUsed/>
    <w:rsid w:val="002F1E17"/>
    <w:rPr>
      <w:vertAlign w:val="superscript"/>
    </w:rPr>
  </w:style>
  <w:style w:type="paragraph" w:styleId="Textonotaalfinal">
    <w:name w:val="endnote text"/>
    <w:basedOn w:val="Normal"/>
    <w:link w:val="TextonotaalfinalCar"/>
    <w:uiPriority w:val="99"/>
    <w:semiHidden/>
    <w:unhideWhenUsed/>
    <w:rsid w:val="002F1E1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17"/>
    <w:rPr>
      <w:sz w:val="20"/>
      <w:szCs w:val="20"/>
    </w:rPr>
  </w:style>
  <w:style w:type="character" w:styleId="Refdenotaalfinal">
    <w:name w:val="endnote reference"/>
    <w:basedOn w:val="Fuentedeprrafopredeter"/>
    <w:uiPriority w:val="99"/>
    <w:semiHidden/>
    <w:unhideWhenUsed/>
    <w:rsid w:val="002F1E17"/>
    <w:rPr>
      <w:vertAlign w:val="superscript"/>
    </w:rPr>
  </w:style>
  <w:style w:type="paragraph" w:styleId="Tabladeilustraciones">
    <w:name w:val="table of figures"/>
    <w:basedOn w:val="Normal"/>
    <w:next w:val="Normal"/>
    <w:uiPriority w:val="99"/>
    <w:unhideWhenUsed/>
    <w:rsid w:val="006573E3"/>
    <w:pPr>
      <w:spacing w:after="0"/>
    </w:pPr>
  </w:style>
  <w:style w:type="paragraph" w:styleId="Sinespaciado">
    <w:name w:val="No Spacing"/>
    <w:uiPriority w:val="1"/>
    <w:qFormat/>
    <w:rsid w:val="006573E3"/>
    <w:pPr>
      <w:spacing w:after="0" w:line="240" w:lineRule="auto"/>
    </w:pPr>
    <w:rPr>
      <w:rFonts w:ascii="Arial" w:hAnsi="Arial"/>
    </w:rPr>
  </w:style>
  <w:style w:type="character" w:styleId="nfasissutil">
    <w:name w:val="Subtle Emphasis"/>
    <w:basedOn w:val="Fuentedeprrafopredeter"/>
    <w:uiPriority w:val="19"/>
    <w:qFormat/>
    <w:rsid w:val="006573E3"/>
    <w:rPr>
      <w:rFonts w:ascii="Arial" w:hAnsi="Arial"/>
      <w:i/>
      <w:iCs/>
      <w:color w:val="808080" w:themeColor="text1" w:themeTint="7F"/>
    </w:rPr>
  </w:style>
  <w:style w:type="character" w:styleId="nfasis">
    <w:name w:val="Emphasis"/>
    <w:basedOn w:val="Fuentedeprrafopredeter"/>
    <w:uiPriority w:val="20"/>
    <w:qFormat/>
    <w:rsid w:val="006573E3"/>
    <w:rPr>
      <w:rFonts w:ascii="Arial" w:hAnsi="Arial"/>
      <w:i/>
      <w:iCs/>
    </w:rPr>
  </w:style>
  <w:style w:type="character" w:styleId="nfasisintenso">
    <w:name w:val="Intense Emphasis"/>
    <w:basedOn w:val="Fuentedeprrafopredeter"/>
    <w:uiPriority w:val="21"/>
    <w:qFormat/>
    <w:rsid w:val="006573E3"/>
    <w:rPr>
      <w:rFonts w:ascii="Arial" w:hAnsi="Arial"/>
      <w:b/>
      <w:bCs/>
      <w:i/>
      <w:iCs/>
      <w:color w:val="4F81BD" w:themeColor="accent1"/>
    </w:rPr>
  </w:style>
  <w:style w:type="paragraph" w:styleId="Cita">
    <w:name w:val="Quote"/>
    <w:basedOn w:val="Normal"/>
    <w:next w:val="Normal"/>
    <w:link w:val="CitaCar"/>
    <w:uiPriority w:val="29"/>
    <w:qFormat/>
    <w:rsid w:val="006573E3"/>
    <w:rPr>
      <w:i/>
      <w:iCs/>
      <w:color w:val="000000" w:themeColor="text1"/>
    </w:rPr>
  </w:style>
  <w:style w:type="character" w:customStyle="1" w:styleId="CitaCar">
    <w:name w:val="Cita Car"/>
    <w:basedOn w:val="Fuentedeprrafopredeter"/>
    <w:link w:val="Cita"/>
    <w:uiPriority w:val="29"/>
    <w:rsid w:val="006573E3"/>
    <w:rPr>
      <w:rFonts w:ascii="Arial" w:hAnsi="Arial"/>
      <w:i/>
      <w:iCs/>
      <w:color w:val="000000" w:themeColor="text1"/>
    </w:rPr>
  </w:style>
  <w:style w:type="paragraph" w:styleId="TDC9">
    <w:name w:val="toc 9"/>
    <w:basedOn w:val="Normal"/>
    <w:next w:val="Normal"/>
    <w:autoRedefine/>
    <w:uiPriority w:val="39"/>
    <w:semiHidden/>
    <w:unhideWhenUsed/>
    <w:rsid w:val="006573E3"/>
    <w:pPr>
      <w:spacing w:after="100"/>
      <w:ind w:left="1760"/>
    </w:pPr>
  </w:style>
  <w:style w:type="paragraph" w:customStyle="1" w:styleId="Bibliografia">
    <w:name w:val="Bibliografia"/>
    <w:basedOn w:val="Textoindependiente"/>
    <w:rsid w:val="008434B9"/>
    <w:pPr>
      <w:spacing w:after="480" w:line="360" w:lineRule="auto"/>
      <w:ind w:left="709" w:hanging="709"/>
      <w:jc w:val="both"/>
    </w:pPr>
    <w:rPr>
      <w:rFonts w:ascii="Arial" w:eastAsia="Times New Roman" w:hAnsi="Arial"/>
      <w:sz w:val="24"/>
      <w:szCs w:val="24"/>
      <w:lang w:val="es-ES" w:eastAsia="es-CO"/>
    </w:rPr>
  </w:style>
  <w:style w:type="paragraph" w:styleId="Textoindependiente">
    <w:name w:val="Body Text"/>
    <w:basedOn w:val="Normal"/>
    <w:link w:val="TextoindependienteCar"/>
    <w:uiPriority w:val="99"/>
    <w:semiHidden/>
    <w:unhideWhenUsed/>
    <w:rsid w:val="008434B9"/>
    <w:pPr>
      <w:spacing w:after="120"/>
    </w:pPr>
    <w:rPr>
      <w:rFonts w:ascii="Calibri" w:eastAsia="Calibri" w:hAnsi="Calibri" w:cs="Times New Roman"/>
      <w:sz w:val="20"/>
      <w:szCs w:val="20"/>
    </w:rPr>
  </w:style>
  <w:style w:type="character" w:customStyle="1" w:styleId="TextoindependienteCar">
    <w:name w:val="Texto independiente Car"/>
    <w:basedOn w:val="Fuentedeprrafopredeter"/>
    <w:link w:val="Textoindependiente"/>
    <w:uiPriority w:val="99"/>
    <w:semiHidden/>
    <w:rsid w:val="008434B9"/>
    <w:rPr>
      <w:rFonts w:ascii="Calibri" w:eastAsia="Calibri" w:hAnsi="Calibri" w:cs="Times New Roman"/>
      <w:sz w:val="20"/>
      <w:szCs w:val="20"/>
    </w:rPr>
  </w:style>
  <w:style w:type="paragraph" w:customStyle="1" w:styleId="D01-Prrafonuevon">
    <w:name w:val="D01-Párrafo nuevo.n"/>
    <w:basedOn w:val="Normal"/>
    <w:rsid w:val="008434B9"/>
    <w:pPr>
      <w:spacing w:before="140" w:after="0" w:line="300" w:lineRule="exact"/>
      <w:jc w:val="both"/>
    </w:pPr>
    <w:rPr>
      <w:rFonts w:ascii="Times" w:eastAsia="Times New Roman" w:hAnsi="Times" w:cs="Times New Roman"/>
      <w:sz w:val="24"/>
      <w:szCs w:val="20"/>
      <w:lang w:val="es-ES_tradnl" w:eastAsia="es-ES"/>
    </w:rPr>
  </w:style>
  <w:style w:type="character" w:customStyle="1" w:styleId="genus">
    <w:name w:val="genus"/>
    <w:basedOn w:val="Fuentedeprrafopredeter"/>
    <w:rsid w:val="008434B9"/>
  </w:style>
  <w:style w:type="character" w:styleId="Refdecomentario">
    <w:name w:val="annotation reference"/>
    <w:uiPriority w:val="99"/>
    <w:semiHidden/>
    <w:unhideWhenUsed/>
    <w:rsid w:val="008434B9"/>
    <w:rPr>
      <w:sz w:val="16"/>
      <w:szCs w:val="16"/>
    </w:rPr>
  </w:style>
  <w:style w:type="paragraph" w:styleId="Textocomentario">
    <w:name w:val="annotation text"/>
    <w:basedOn w:val="Normal"/>
    <w:link w:val="TextocomentarioCar"/>
    <w:uiPriority w:val="99"/>
    <w:semiHidden/>
    <w:unhideWhenUsed/>
    <w:rsid w:val="008434B9"/>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8434B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434B9"/>
    <w:rPr>
      <w:b/>
      <w:bCs/>
    </w:rPr>
  </w:style>
  <w:style w:type="character" w:customStyle="1" w:styleId="AsuntodelcomentarioCar">
    <w:name w:val="Asunto del comentario Car"/>
    <w:basedOn w:val="TextocomentarioCar"/>
    <w:link w:val="Asuntodelcomentario"/>
    <w:uiPriority w:val="99"/>
    <w:semiHidden/>
    <w:rsid w:val="008434B9"/>
    <w:rPr>
      <w:rFonts w:ascii="Calibri" w:eastAsia="Calibri" w:hAnsi="Calibri" w:cs="Times New Roman"/>
      <w:b/>
      <w:bCs/>
      <w:sz w:val="20"/>
      <w:szCs w:val="20"/>
    </w:rPr>
  </w:style>
  <w:style w:type="character" w:customStyle="1" w:styleId="apple-converted-space">
    <w:name w:val="apple-converted-space"/>
    <w:basedOn w:val="Fuentedeprrafopredeter"/>
    <w:rsid w:val="00EC6836"/>
  </w:style>
  <w:style w:type="character" w:styleId="Nmerodepgina">
    <w:name w:val="page number"/>
    <w:basedOn w:val="Fuentedeprrafopredeter"/>
    <w:uiPriority w:val="99"/>
    <w:semiHidden/>
    <w:unhideWhenUsed/>
    <w:rsid w:val="00185E73"/>
  </w:style>
  <w:style w:type="character" w:styleId="Nmerodelnea">
    <w:name w:val="line number"/>
    <w:basedOn w:val="Fuentedeprrafopredeter"/>
    <w:uiPriority w:val="99"/>
    <w:semiHidden/>
    <w:unhideWhenUsed/>
    <w:rsid w:val="00185E73"/>
  </w:style>
  <w:style w:type="table" w:styleId="Sombreadoclaro-nfasis1">
    <w:name w:val="Light Shading Accent 1"/>
    <w:basedOn w:val="Tablanormal"/>
    <w:uiPriority w:val="60"/>
    <w:rsid w:val="00977CFE"/>
    <w:pPr>
      <w:spacing w:after="0" w:line="240" w:lineRule="auto"/>
    </w:pPr>
    <w:rPr>
      <w:rFonts w:eastAsiaTheme="minorEastAsia"/>
      <w:color w:val="365F91" w:themeColor="accent1" w:themeShade="BF"/>
      <w:lang w:val="es-ES_tradnl" w:eastAsia="es-E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850E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E3"/>
    <w:rPr>
      <w:rFonts w:ascii="Arial" w:hAnsi="Arial"/>
    </w:rPr>
  </w:style>
  <w:style w:type="paragraph" w:styleId="Ttulo1">
    <w:name w:val="heading 1"/>
    <w:aliases w:val="Título Primer Nivel"/>
    <w:basedOn w:val="Normal"/>
    <w:next w:val="Normal"/>
    <w:link w:val="Ttulo1Car"/>
    <w:autoRedefine/>
    <w:uiPriority w:val="9"/>
    <w:qFormat/>
    <w:rsid w:val="006573E3"/>
    <w:pPr>
      <w:keepNext/>
      <w:numPr>
        <w:numId w:val="1"/>
      </w:numPr>
      <w:spacing w:before="2000" w:after="480" w:line="240" w:lineRule="auto"/>
      <w:ind w:left="360"/>
      <w:outlineLvl w:val="0"/>
    </w:pPr>
    <w:rPr>
      <w:rFonts w:eastAsia="Times New Roman" w:cs="Arial"/>
      <w:b/>
      <w:bCs/>
      <w:kern w:val="32"/>
      <w:sz w:val="40"/>
      <w:szCs w:val="32"/>
      <w:lang w:val="es-ES" w:eastAsia="es-ES"/>
    </w:rPr>
  </w:style>
  <w:style w:type="paragraph" w:styleId="Ttulo2">
    <w:name w:val="heading 2"/>
    <w:aliases w:val="Título Segundo nivel"/>
    <w:basedOn w:val="Normal"/>
    <w:next w:val="Normal"/>
    <w:link w:val="Ttulo2Car"/>
    <w:uiPriority w:val="9"/>
    <w:unhideWhenUsed/>
    <w:qFormat/>
    <w:rsid w:val="0058118D"/>
    <w:pPr>
      <w:keepNext/>
      <w:keepLines/>
      <w:numPr>
        <w:ilvl w:val="1"/>
        <w:numId w:val="1"/>
      </w:numPr>
      <w:spacing w:before="400" w:line="240" w:lineRule="auto"/>
      <w:ind w:left="576"/>
      <w:outlineLvl w:val="1"/>
    </w:pPr>
    <w:rPr>
      <w:rFonts w:eastAsiaTheme="majorEastAsia" w:cstheme="majorBidi"/>
      <w:b/>
      <w:bCs/>
      <w:sz w:val="32"/>
      <w:szCs w:val="26"/>
    </w:rPr>
  </w:style>
  <w:style w:type="paragraph" w:styleId="Ttulo3">
    <w:name w:val="heading 3"/>
    <w:aliases w:val="Título Tercer nivel"/>
    <w:basedOn w:val="Normal"/>
    <w:next w:val="Normal"/>
    <w:link w:val="Ttulo3Car"/>
    <w:uiPriority w:val="9"/>
    <w:unhideWhenUsed/>
    <w:qFormat/>
    <w:rsid w:val="006573E3"/>
    <w:pPr>
      <w:keepNext/>
      <w:keepLines/>
      <w:numPr>
        <w:ilvl w:val="2"/>
        <w:numId w:val="1"/>
      </w:numPr>
      <w:spacing w:before="400" w:line="240" w:lineRule="auto"/>
      <w:ind w:left="720"/>
      <w:outlineLvl w:val="2"/>
    </w:pPr>
    <w:rPr>
      <w:rFonts w:eastAsiaTheme="majorEastAsia" w:cstheme="majorBidi"/>
      <w:b/>
      <w:bCs/>
      <w:sz w:val="28"/>
    </w:rPr>
  </w:style>
  <w:style w:type="paragraph" w:styleId="Ttulo4">
    <w:name w:val="heading 4"/>
    <w:aliases w:val="Título Cuarto nivel"/>
    <w:basedOn w:val="Normal"/>
    <w:next w:val="Normal"/>
    <w:link w:val="Ttulo4Car"/>
    <w:uiPriority w:val="9"/>
    <w:unhideWhenUsed/>
    <w:qFormat/>
    <w:rsid w:val="006573E3"/>
    <w:pPr>
      <w:keepNext/>
      <w:keepLines/>
      <w:numPr>
        <w:numId w:val="9"/>
      </w:numPr>
      <w:spacing w:before="400" w:line="240" w:lineRule="auto"/>
      <w:ind w:left="360"/>
      <w:outlineLvl w:val="3"/>
    </w:pPr>
    <w:rPr>
      <w:rFonts w:eastAsiaTheme="majorEastAsia" w:cstheme="majorBidi"/>
      <w:bCs/>
      <w:iCs/>
    </w:rPr>
  </w:style>
  <w:style w:type="paragraph" w:styleId="Ttulo5">
    <w:name w:val="heading 5"/>
    <w:basedOn w:val="Normal"/>
    <w:next w:val="Normal"/>
    <w:link w:val="Ttulo5Car"/>
    <w:uiPriority w:val="9"/>
    <w:semiHidden/>
    <w:unhideWhenUsed/>
    <w:qFormat/>
    <w:rsid w:val="006573E3"/>
    <w:pPr>
      <w:keepNext/>
      <w:keepLines/>
      <w:numPr>
        <w:ilvl w:val="4"/>
        <w:numId w:val="1"/>
      </w:numPr>
      <w:spacing w:before="200" w:after="0"/>
      <w:outlineLvl w:val="4"/>
    </w:pPr>
    <w:rPr>
      <w:rFonts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8C078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C078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C078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C078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9F2"/>
    <w:pPr>
      <w:tabs>
        <w:tab w:val="left" w:pos="2580"/>
        <w:tab w:val="left" w:pos="2985"/>
        <w:tab w:val="center" w:pos="4419"/>
        <w:tab w:val="right" w:pos="8838"/>
      </w:tabs>
      <w:spacing w:after="120"/>
      <w:jc w:val="right"/>
    </w:pPr>
    <w:rPr>
      <w:b/>
      <w:bCs/>
      <w:color w:val="1F497D" w:themeColor="text2"/>
      <w:sz w:val="28"/>
      <w:szCs w:val="28"/>
    </w:rPr>
  </w:style>
  <w:style w:type="character" w:customStyle="1" w:styleId="EncabezadoCar">
    <w:name w:val="Encabezado Car"/>
    <w:basedOn w:val="Fuentedeprrafopredeter"/>
    <w:link w:val="Encabezado"/>
    <w:uiPriority w:val="99"/>
    <w:rsid w:val="00C139F2"/>
    <w:rPr>
      <w:b/>
      <w:bCs/>
      <w:color w:val="1F497D" w:themeColor="text2"/>
      <w:sz w:val="28"/>
      <w:szCs w:val="28"/>
    </w:rPr>
  </w:style>
  <w:style w:type="paragraph" w:styleId="Piedepgina">
    <w:name w:val="footer"/>
    <w:basedOn w:val="Normal"/>
    <w:link w:val="PiedepginaCar"/>
    <w:uiPriority w:val="99"/>
    <w:unhideWhenUsed/>
    <w:rsid w:val="00217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026"/>
  </w:style>
  <w:style w:type="character" w:customStyle="1" w:styleId="Ttulo1Car">
    <w:name w:val="Título 1 Car"/>
    <w:aliases w:val="Título Primer Nivel Car"/>
    <w:basedOn w:val="Fuentedeprrafopredeter"/>
    <w:link w:val="Ttulo1"/>
    <w:uiPriority w:val="9"/>
    <w:rsid w:val="006573E3"/>
    <w:rPr>
      <w:rFonts w:ascii="Arial" w:eastAsia="Times New Roman" w:hAnsi="Arial" w:cs="Arial"/>
      <w:b/>
      <w:bCs/>
      <w:kern w:val="32"/>
      <w:sz w:val="40"/>
      <w:szCs w:val="32"/>
      <w:lang w:val="es-ES" w:eastAsia="es-ES"/>
    </w:rPr>
  </w:style>
  <w:style w:type="paragraph" w:customStyle="1" w:styleId="Estilo1">
    <w:name w:val="Estilo1"/>
    <w:basedOn w:val="Normal"/>
    <w:rsid w:val="008338F6"/>
    <w:pPr>
      <w:spacing w:after="0" w:line="240" w:lineRule="auto"/>
      <w:jc w:val="center"/>
    </w:pPr>
    <w:rPr>
      <w:rFonts w:eastAsia="Times New Roman" w:cs="Times New Roman"/>
      <w:sz w:val="24"/>
      <w:szCs w:val="24"/>
      <w:lang w:val="es-ES" w:eastAsia="es-ES"/>
    </w:rPr>
  </w:style>
  <w:style w:type="character" w:styleId="Hipervnculo">
    <w:name w:val="Hyperlink"/>
    <w:basedOn w:val="Fuentedeprrafopredeter"/>
    <w:uiPriority w:val="99"/>
    <w:rsid w:val="008338F6"/>
    <w:rPr>
      <w:color w:val="0000FF"/>
      <w:u w:val="single"/>
    </w:rPr>
  </w:style>
  <w:style w:type="paragraph" w:styleId="Prrafodelista">
    <w:name w:val="List Paragraph"/>
    <w:basedOn w:val="Normal"/>
    <w:uiPriority w:val="34"/>
    <w:qFormat/>
    <w:rsid w:val="00A8021E"/>
    <w:pPr>
      <w:spacing w:after="0" w:line="360" w:lineRule="auto"/>
      <w:jc w:val="both"/>
    </w:pPr>
    <w:rPr>
      <w:rFonts w:eastAsia="Times New Roman" w:cs="Times New Roman"/>
      <w:szCs w:val="24"/>
      <w:lang w:val="es-ES" w:eastAsia="es-ES"/>
    </w:rPr>
  </w:style>
  <w:style w:type="paragraph" w:styleId="Textodeglobo">
    <w:name w:val="Balloon Text"/>
    <w:basedOn w:val="Normal"/>
    <w:link w:val="TextodegloboCar"/>
    <w:uiPriority w:val="99"/>
    <w:semiHidden/>
    <w:unhideWhenUsed/>
    <w:rsid w:val="008338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8F6"/>
    <w:rPr>
      <w:rFonts w:ascii="Tahoma" w:hAnsi="Tahoma" w:cs="Tahoma"/>
      <w:sz w:val="16"/>
      <w:szCs w:val="16"/>
    </w:rPr>
  </w:style>
  <w:style w:type="paragraph" w:styleId="Encabezadodetabladecontenido">
    <w:name w:val="TOC Heading"/>
    <w:basedOn w:val="Normal"/>
    <w:next w:val="Normal"/>
    <w:link w:val="EncabezadodetabladecontenidoCar"/>
    <w:uiPriority w:val="39"/>
    <w:unhideWhenUsed/>
    <w:qFormat/>
    <w:rsid w:val="006573E3"/>
    <w:pPr>
      <w:keepLines/>
      <w:spacing w:after="0" w:line="240" w:lineRule="auto"/>
    </w:pPr>
    <w:rPr>
      <w:rFonts w:eastAsiaTheme="majorEastAsia" w:cstheme="majorBidi"/>
      <w:szCs w:val="28"/>
    </w:rPr>
  </w:style>
  <w:style w:type="paragraph" w:styleId="TDC2">
    <w:name w:val="toc 2"/>
    <w:basedOn w:val="Normal"/>
    <w:next w:val="Normal"/>
    <w:autoRedefine/>
    <w:uiPriority w:val="39"/>
    <w:unhideWhenUsed/>
    <w:qFormat/>
    <w:rsid w:val="006573E3"/>
    <w:pPr>
      <w:spacing w:after="0" w:line="240" w:lineRule="auto"/>
      <w:ind w:left="221"/>
    </w:pPr>
    <w:rPr>
      <w:rFonts w:eastAsiaTheme="minorEastAsia"/>
      <w:lang w:val="es-ES"/>
    </w:rPr>
  </w:style>
  <w:style w:type="paragraph" w:styleId="TDC1">
    <w:name w:val="toc 1"/>
    <w:basedOn w:val="Normal"/>
    <w:next w:val="Normal"/>
    <w:autoRedefine/>
    <w:uiPriority w:val="39"/>
    <w:unhideWhenUsed/>
    <w:qFormat/>
    <w:rsid w:val="00E66DF1"/>
    <w:pPr>
      <w:tabs>
        <w:tab w:val="left" w:pos="440"/>
        <w:tab w:val="right" w:leader="dot" w:pos="8789"/>
      </w:tabs>
      <w:spacing w:before="200" w:after="0" w:line="240" w:lineRule="auto"/>
      <w:jc w:val="both"/>
    </w:pPr>
    <w:rPr>
      <w:rFonts w:eastAsiaTheme="minorEastAsia" w:cs="Arial"/>
      <w:b/>
      <w:noProof/>
      <w:szCs w:val="24"/>
      <w:lang w:val="es-ES"/>
    </w:rPr>
  </w:style>
  <w:style w:type="paragraph" w:styleId="TDC3">
    <w:name w:val="toc 3"/>
    <w:basedOn w:val="Normal"/>
    <w:next w:val="Normal"/>
    <w:autoRedefine/>
    <w:uiPriority w:val="39"/>
    <w:unhideWhenUsed/>
    <w:qFormat/>
    <w:rsid w:val="00891D0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00"/>
        <w:tab w:val="right" w:leader="dot" w:pos="8789"/>
      </w:tabs>
      <w:spacing w:after="0" w:line="240" w:lineRule="auto"/>
      <w:ind w:left="442"/>
    </w:pPr>
    <w:rPr>
      <w:rFonts w:eastAsiaTheme="minorEastAsia"/>
      <w:noProof/>
      <w:lang w:val="es-ES"/>
    </w:rPr>
  </w:style>
  <w:style w:type="paragraph" w:styleId="Epgrafe">
    <w:name w:val="caption"/>
    <w:basedOn w:val="Normal"/>
    <w:next w:val="Normal"/>
    <w:uiPriority w:val="35"/>
    <w:unhideWhenUsed/>
    <w:qFormat/>
    <w:rsid w:val="00D20687"/>
    <w:pPr>
      <w:spacing w:line="240" w:lineRule="auto"/>
    </w:pPr>
    <w:rPr>
      <w:b/>
      <w:bCs/>
      <w:color w:val="4F81BD" w:themeColor="accent1"/>
      <w:sz w:val="18"/>
      <w:szCs w:val="18"/>
    </w:rPr>
  </w:style>
  <w:style w:type="table" w:styleId="Tablaconcuadrcula">
    <w:name w:val="Table Grid"/>
    <w:basedOn w:val="Tablanormal"/>
    <w:uiPriority w:val="59"/>
    <w:rsid w:val="008C64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ennegrita">
    <w:name w:val="Strong"/>
    <w:aliases w:val="Texto de la tesis"/>
    <w:basedOn w:val="Fuentedeprrafopredeter"/>
    <w:uiPriority w:val="22"/>
    <w:qFormat/>
    <w:rsid w:val="006573E3"/>
    <w:rPr>
      <w:rFonts w:ascii="Arial" w:hAnsi="Arial"/>
      <w:bCs/>
      <w:sz w:val="24"/>
    </w:rPr>
  </w:style>
  <w:style w:type="paragraph" w:styleId="Subttulo">
    <w:name w:val="Subtitle"/>
    <w:aliases w:val="Título Anexos"/>
    <w:basedOn w:val="Normal"/>
    <w:next w:val="Normal"/>
    <w:link w:val="SubttuloCar"/>
    <w:uiPriority w:val="11"/>
    <w:qFormat/>
    <w:rsid w:val="006573E3"/>
    <w:pPr>
      <w:numPr>
        <w:numId w:val="2"/>
      </w:numPr>
      <w:spacing w:before="2000" w:after="480" w:line="240" w:lineRule="auto"/>
      <w:ind w:left="714" w:hanging="357"/>
    </w:pPr>
    <w:rPr>
      <w:rFonts w:eastAsiaTheme="majorEastAsia" w:cstheme="majorBidi"/>
      <w:b/>
      <w:iCs/>
      <w:spacing w:val="15"/>
      <w:sz w:val="42"/>
      <w:szCs w:val="24"/>
    </w:rPr>
  </w:style>
  <w:style w:type="character" w:customStyle="1" w:styleId="SubttuloCar">
    <w:name w:val="Subtítulo Car"/>
    <w:aliases w:val="Título Anexos Car"/>
    <w:basedOn w:val="Fuentedeprrafopredeter"/>
    <w:link w:val="Subttulo"/>
    <w:uiPriority w:val="11"/>
    <w:rsid w:val="006573E3"/>
    <w:rPr>
      <w:rFonts w:ascii="Arial" w:eastAsiaTheme="majorEastAsia" w:hAnsi="Arial" w:cstheme="majorBidi"/>
      <w:b/>
      <w:iCs/>
      <w:spacing w:val="15"/>
      <w:sz w:val="42"/>
      <w:szCs w:val="24"/>
    </w:rPr>
  </w:style>
  <w:style w:type="character" w:customStyle="1" w:styleId="Ttulo2Car">
    <w:name w:val="Título 2 Car"/>
    <w:aliases w:val="Título Segundo nivel Car"/>
    <w:basedOn w:val="Fuentedeprrafopredeter"/>
    <w:link w:val="Ttulo2"/>
    <w:uiPriority w:val="9"/>
    <w:rsid w:val="0058118D"/>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6573E3"/>
    <w:rPr>
      <w:rFonts w:ascii="Arial" w:eastAsiaTheme="majorEastAsia" w:hAnsi="Arial" w:cstheme="majorBidi"/>
      <w:b/>
      <w:bCs/>
      <w:sz w:val="28"/>
    </w:rPr>
  </w:style>
  <w:style w:type="character" w:styleId="Ttulodelibro">
    <w:name w:val="Book Title"/>
    <w:basedOn w:val="Fuentedeprrafopredeter"/>
    <w:uiPriority w:val="33"/>
    <w:qFormat/>
    <w:rsid w:val="006573E3"/>
    <w:rPr>
      <w:rFonts w:ascii="Arial" w:hAnsi="Arial"/>
      <w:b/>
      <w:bCs/>
      <w:smallCaps/>
      <w:spacing w:val="5"/>
    </w:rPr>
  </w:style>
  <w:style w:type="character" w:customStyle="1" w:styleId="Ttulo4Car">
    <w:name w:val="Título 4 Car"/>
    <w:aliases w:val="Título Cuarto nivel Car"/>
    <w:basedOn w:val="Fuentedeprrafopredeter"/>
    <w:link w:val="Ttulo4"/>
    <w:uiPriority w:val="9"/>
    <w:rsid w:val="006573E3"/>
    <w:rPr>
      <w:rFonts w:ascii="Arial" w:eastAsiaTheme="majorEastAsia" w:hAnsi="Arial" w:cstheme="majorBidi"/>
      <w:bCs/>
      <w:iCs/>
    </w:rPr>
  </w:style>
  <w:style w:type="paragraph" w:styleId="TDC5">
    <w:name w:val="toc 5"/>
    <w:basedOn w:val="Normal"/>
    <w:next w:val="Normal"/>
    <w:autoRedefine/>
    <w:uiPriority w:val="39"/>
    <w:unhideWhenUsed/>
    <w:rsid w:val="006573E3"/>
    <w:pPr>
      <w:tabs>
        <w:tab w:val="left" w:pos="1760"/>
        <w:tab w:val="right" w:leader="dot" w:pos="8789"/>
      </w:tabs>
      <w:spacing w:after="0" w:line="240" w:lineRule="auto"/>
      <w:ind w:left="879"/>
    </w:pPr>
    <w:rPr>
      <w:noProof/>
    </w:rPr>
  </w:style>
  <w:style w:type="paragraph" w:styleId="TDC6">
    <w:name w:val="toc 6"/>
    <w:basedOn w:val="Normal"/>
    <w:next w:val="Normal"/>
    <w:autoRedefine/>
    <w:uiPriority w:val="39"/>
    <w:unhideWhenUsed/>
    <w:rsid w:val="00BF5A2D"/>
    <w:pPr>
      <w:spacing w:after="100"/>
      <w:ind w:left="1100"/>
    </w:pPr>
  </w:style>
  <w:style w:type="paragraph" w:styleId="TDC4">
    <w:name w:val="toc 4"/>
    <w:basedOn w:val="Normal"/>
    <w:next w:val="Normal"/>
    <w:autoRedefine/>
    <w:uiPriority w:val="39"/>
    <w:unhideWhenUsed/>
    <w:rsid w:val="006573E3"/>
    <w:pPr>
      <w:spacing w:after="0" w:line="240" w:lineRule="auto"/>
      <w:ind w:left="658"/>
    </w:pPr>
  </w:style>
  <w:style w:type="paragraph" w:styleId="TDC7">
    <w:name w:val="toc 7"/>
    <w:basedOn w:val="Normal"/>
    <w:next w:val="Normal"/>
    <w:autoRedefine/>
    <w:uiPriority w:val="39"/>
    <w:unhideWhenUsed/>
    <w:rsid w:val="00BF5A2D"/>
    <w:pPr>
      <w:spacing w:after="100"/>
      <w:ind w:left="1320"/>
    </w:pPr>
  </w:style>
  <w:style w:type="paragraph" w:styleId="NormalWeb">
    <w:name w:val="Normal (Web)"/>
    <w:basedOn w:val="Normal"/>
    <w:uiPriority w:val="99"/>
    <w:unhideWhenUsed/>
    <w:rsid w:val="002333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233319"/>
  </w:style>
  <w:style w:type="character" w:customStyle="1" w:styleId="editsection">
    <w:name w:val="editsection"/>
    <w:basedOn w:val="Fuentedeprrafopredeter"/>
    <w:rsid w:val="00233319"/>
  </w:style>
  <w:style w:type="character" w:styleId="Hipervnculovisitado">
    <w:name w:val="FollowedHyperlink"/>
    <w:basedOn w:val="Fuentedeprrafopredeter"/>
    <w:uiPriority w:val="99"/>
    <w:semiHidden/>
    <w:unhideWhenUsed/>
    <w:rsid w:val="00BD046B"/>
    <w:rPr>
      <w:color w:val="800080" w:themeColor="followedHyperlink"/>
      <w:u w:val="single"/>
    </w:rPr>
  </w:style>
  <w:style w:type="character" w:customStyle="1" w:styleId="Ttulo5Car">
    <w:name w:val="Título 5 Car"/>
    <w:basedOn w:val="Fuentedeprrafopredeter"/>
    <w:link w:val="Ttulo5"/>
    <w:uiPriority w:val="9"/>
    <w:semiHidden/>
    <w:rsid w:val="006573E3"/>
    <w:rPr>
      <w:rFonts w:ascii="Arial" w:eastAsiaTheme="majorEastAsia" w:hAnsi="Arial" w:cstheme="majorBidi"/>
      <w:color w:val="243F60" w:themeColor="accent1" w:themeShade="7F"/>
    </w:rPr>
  </w:style>
  <w:style w:type="character" w:customStyle="1" w:styleId="Ttulo6Car">
    <w:name w:val="Título 6 Car"/>
    <w:basedOn w:val="Fuentedeprrafopredeter"/>
    <w:link w:val="Ttulo6"/>
    <w:uiPriority w:val="9"/>
    <w:semiHidden/>
    <w:rsid w:val="008C078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C07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C07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C078A"/>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6573E3"/>
    <w:pPr>
      <w:spacing w:before="480" w:after="300" w:line="240" w:lineRule="auto"/>
      <w:contextualSpacing/>
      <w:jc w:val="center"/>
    </w:pPr>
    <w:rPr>
      <w:rFonts w:eastAsiaTheme="majorEastAsia" w:cstheme="majorBidi"/>
      <w:b/>
      <w:spacing w:val="5"/>
      <w:kern w:val="28"/>
      <w:sz w:val="48"/>
      <w:szCs w:val="52"/>
    </w:rPr>
  </w:style>
  <w:style w:type="character" w:customStyle="1" w:styleId="TtuloCar">
    <w:name w:val="Título Car"/>
    <w:basedOn w:val="Fuentedeprrafopredeter"/>
    <w:link w:val="Ttulo"/>
    <w:uiPriority w:val="10"/>
    <w:rsid w:val="006573E3"/>
    <w:rPr>
      <w:rFonts w:ascii="Arial" w:eastAsiaTheme="majorEastAsia" w:hAnsi="Arial" w:cstheme="majorBidi"/>
      <w:b/>
      <w:spacing w:val="5"/>
      <w:kern w:val="28"/>
      <w:sz w:val="48"/>
      <w:szCs w:val="52"/>
    </w:rPr>
  </w:style>
  <w:style w:type="paragraph" w:customStyle="1" w:styleId="Ttulospreliminares">
    <w:name w:val="Títulos preliminares"/>
    <w:basedOn w:val="Encabezadodetabladecontenido"/>
    <w:link w:val="TtulospreliminaresCar"/>
    <w:qFormat/>
    <w:rsid w:val="006573E3"/>
    <w:pPr>
      <w:spacing w:before="2000" w:after="200"/>
    </w:pPr>
    <w:rPr>
      <w:b/>
      <w:sz w:val="36"/>
    </w:rPr>
  </w:style>
  <w:style w:type="paragraph" w:customStyle="1" w:styleId="Ttulospreliminares2">
    <w:name w:val="Títulos preliminares 2"/>
    <w:basedOn w:val="Normal"/>
    <w:link w:val="Ttulospreliminares2Car"/>
    <w:qFormat/>
    <w:rsid w:val="006573E3"/>
    <w:pPr>
      <w:spacing w:before="2000" w:line="240" w:lineRule="auto"/>
    </w:pPr>
    <w:rPr>
      <w:b/>
      <w:sz w:val="40"/>
    </w:rPr>
  </w:style>
  <w:style w:type="character" w:customStyle="1" w:styleId="EncabezadodetabladecontenidoCar">
    <w:name w:val="Encabezado de tabla de contenido Car"/>
    <w:basedOn w:val="Fuentedeprrafopredeter"/>
    <w:link w:val="Encabezadodetabladecontenido"/>
    <w:uiPriority w:val="39"/>
    <w:rsid w:val="006573E3"/>
    <w:rPr>
      <w:rFonts w:ascii="Arial" w:eastAsiaTheme="majorEastAsia" w:hAnsi="Arial" w:cstheme="majorBidi"/>
      <w:szCs w:val="28"/>
    </w:rPr>
  </w:style>
  <w:style w:type="character" w:customStyle="1" w:styleId="TtulospreliminaresCar">
    <w:name w:val="Títulos preliminares Car"/>
    <w:basedOn w:val="EncabezadodetabladecontenidoCar"/>
    <w:link w:val="Ttulospreliminares"/>
    <w:rsid w:val="006573E3"/>
    <w:rPr>
      <w:rFonts w:ascii="Arial" w:eastAsiaTheme="majorEastAsia" w:hAnsi="Arial" w:cstheme="majorBidi"/>
      <w:b/>
      <w:sz w:val="36"/>
      <w:szCs w:val="28"/>
    </w:rPr>
  </w:style>
  <w:style w:type="character" w:styleId="Textodelmarcadordeposicin">
    <w:name w:val="Placeholder Text"/>
    <w:basedOn w:val="Fuentedeprrafopredeter"/>
    <w:uiPriority w:val="99"/>
    <w:semiHidden/>
    <w:rsid w:val="00342A76"/>
    <w:rPr>
      <w:color w:val="808080"/>
    </w:rPr>
  </w:style>
  <w:style w:type="character" w:customStyle="1" w:styleId="Ttulospreliminares2Car">
    <w:name w:val="Títulos preliminares 2 Car"/>
    <w:basedOn w:val="Fuentedeprrafopredeter"/>
    <w:link w:val="Ttulospreliminares2"/>
    <w:rsid w:val="006573E3"/>
    <w:rPr>
      <w:rFonts w:ascii="Arial" w:hAnsi="Arial"/>
      <w:b/>
      <w:sz w:val="40"/>
    </w:rPr>
  </w:style>
  <w:style w:type="paragraph" w:styleId="Mapadeldocumento">
    <w:name w:val="Document Map"/>
    <w:basedOn w:val="Normal"/>
    <w:link w:val="MapadeldocumentoCar"/>
    <w:uiPriority w:val="99"/>
    <w:semiHidden/>
    <w:unhideWhenUsed/>
    <w:rsid w:val="0035748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35748C"/>
    <w:rPr>
      <w:rFonts w:ascii="Tahoma" w:hAnsi="Tahoma" w:cs="Tahoma"/>
      <w:sz w:val="16"/>
      <w:szCs w:val="16"/>
    </w:rPr>
  </w:style>
  <w:style w:type="paragraph" w:styleId="Textonotapie">
    <w:name w:val="footnote text"/>
    <w:basedOn w:val="Normal"/>
    <w:link w:val="TextonotapieCar"/>
    <w:uiPriority w:val="99"/>
    <w:unhideWhenUsed/>
    <w:rsid w:val="002F1E17"/>
    <w:pPr>
      <w:spacing w:after="0" w:line="240" w:lineRule="auto"/>
    </w:pPr>
    <w:rPr>
      <w:sz w:val="20"/>
      <w:szCs w:val="20"/>
    </w:rPr>
  </w:style>
  <w:style w:type="character" w:customStyle="1" w:styleId="TextonotapieCar">
    <w:name w:val="Texto nota pie Car"/>
    <w:basedOn w:val="Fuentedeprrafopredeter"/>
    <w:link w:val="Textonotapie"/>
    <w:uiPriority w:val="99"/>
    <w:rsid w:val="002F1E17"/>
    <w:rPr>
      <w:sz w:val="20"/>
      <w:szCs w:val="20"/>
    </w:rPr>
  </w:style>
  <w:style w:type="character" w:styleId="Refdenotaalpie">
    <w:name w:val="footnote reference"/>
    <w:basedOn w:val="Fuentedeprrafopredeter"/>
    <w:uiPriority w:val="99"/>
    <w:unhideWhenUsed/>
    <w:rsid w:val="002F1E17"/>
    <w:rPr>
      <w:vertAlign w:val="superscript"/>
    </w:rPr>
  </w:style>
  <w:style w:type="paragraph" w:styleId="Textonotaalfinal">
    <w:name w:val="endnote text"/>
    <w:basedOn w:val="Normal"/>
    <w:link w:val="TextonotaalfinalCar"/>
    <w:uiPriority w:val="99"/>
    <w:semiHidden/>
    <w:unhideWhenUsed/>
    <w:rsid w:val="002F1E1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17"/>
    <w:rPr>
      <w:sz w:val="20"/>
      <w:szCs w:val="20"/>
    </w:rPr>
  </w:style>
  <w:style w:type="character" w:styleId="Refdenotaalfinal">
    <w:name w:val="endnote reference"/>
    <w:basedOn w:val="Fuentedeprrafopredeter"/>
    <w:uiPriority w:val="99"/>
    <w:semiHidden/>
    <w:unhideWhenUsed/>
    <w:rsid w:val="002F1E17"/>
    <w:rPr>
      <w:vertAlign w:val="superscript"/>
    </w:rPr>
  </w:style>
  <w:style w:type="paragraph" w:styleId="Tabladeilustraciones">
    <w:name w:val="table of figures"/>
    <w:basedOn w:val="Normal"/>
    <w:next w:val="Normal"/>
    <w:uiPriority w:val="99"/>
    <w:unhideWhenUsed/>
    <w:rsid w:val="006573E3"/>
    <w:pPr>
      <w:spacing w:after="0"/>
    </w:pPr>
  </w:style>
  <w:style w:type="paragraph" w:styleId="Sinespaciado">
    <w:name w:val="No Spacing"/>
    <w:uiPriority w:val="1"/>
    <w:qFormat/>
    <w:rsid w:val="006573E3"/>
    <w:pPr>
      <w:spacing w:after="0" w:line="240" w:lineRule="auto"/>
    </w:pPr>
    <w:rPr>
      <w:rFonts w:ascii="Arial" w:hAnsi="Arial"/>
    </w:rPr>
  </w:style>
  <w:style w:type="character" w:styleId="nfasissutil">
    <w:name w:val="Subtle Emphasis"/>
    <w:basedOn w:val="Fuentedeprrafopredeter"/>
    <w:uiPriority w:val="19"/>
    <w:qFormat/>
    <w:rsid w:val="006573E3"/>
    <w:rPr>
      <w:rFonts w:ascii="Arial" w:hAnsi="Arial"/>
      <w:i/>
      <w:iCs/>
      <w:color w:val="808080" w:themeColor="text1" w:themeTint="7F"/>
    </w:rPr>
  </w:style>
  <w:style w:type="character" w:styleId="Enfasis">
    <w:name w:val="Emphasis"/>
    <w:basedOn w:val="Fuentedeprrafopredeter"/>
    <w:uiPriority w:val="20"/>
    <w:qFormat/>
    <w:rsid w:val="006573E3"/>
    <w:rPr>
      <w:rFonts w:ascii="Arial" w:hAnsi="Arial"/>
      <w:i/>
      <w:iCs/>
    </w:rPr>
  </w:style>
  <w:style w:type="character" w:styleId="nfasisintenso">
    <w:name w:val="Intense Emphasis"/>
    <w:basedOn w:val="Fuentedeprrafopredeter"/>
    <w:uiPriority w:val="21"/>
    <w:qFormat/>
    <w:rsid w:val="006573E3"/>
    <w:rPr>
      <w:rFonts w:ascii="Arial" w:hAnsi="Arial"/>
      <w:b/>
      <w:bCs/>
      <w:i/>
      <w:iCs/>
      <w:color w:val="4F81BD" w:themeColor="accent1"/>
    </w:rPr>
  </w:style>
  <w:style w:type="paragraph" w:styleId="Cita">
    <w:name w:val="Quote"/>
    <w:basedOn w:val="Normal"/>
    <w:next w:val="Normal"/>
    <w:link w:val="CitaCar"/>
    <w:uiPriority w:val="29"/>
    <w:qFormat/>
    <w:rsid w:val="006573E3"/>
    <w:rPr>
      <w:i/>
      <w:iCs/>
      <w:color w:val="000000" w:themeColor="text1"/>
    </w:rPr>
  </w:style>
  <w:style w:type="character" w:customStyle="1" w:styleId="CitaCar">
    <w:name w:val="Cita Car"/>
    <w:basedOn w:val="Fuentedeprrafopredeter"/>
    <w:link w:val="Cita"/>
    <w:uiPriority w:val="29"/>
    <w:rsid w:val="006573E3"/>
    <w:rPr>
      <w:rFonts w:ascii="Arial" w:hAnsi="Arial"/>
      <w:i/>
      <w:iCs/>
      <w:color w:val="000000" w:themeColor="text1"/>
    </w:rPr>
  </w:style>
  <w:style w:type="paragraph" w:styleId="TDC9">
    <w:name w:val="toc 9"/>
    <w:basedOn w:val="Normal"/>
    <w:next w:val="Normal"/>
    <w:autoRedefine/>
    <w:uiPriority w:val="39"/>
    <w:semiHidden/>
    <w:unhideWhenUsed/>
    <w:rsid w:val="006573E3"/>
    <w:pPr>
      <w:spacing w:after="100"/>
      <w:ind w:left="1760"/>
    </w:pPr>
  </w:style>
  <w:style w:type="paragraph" w:customStyle="1" w:styleId="Bibliografia">
    <w:name w:val="Bibliografia"/>
    <w:basedOn w:val="Textodecuerpo"/>
    <w:rsid w:val="008434B9"/>
    <w:pPr>
      <w:spacing w:after="480" w:line="360" w:lineRule="auto"/>
      <w:ind w:left="709" w:hanging="709"/>
      <w:jc w:val="both"/>
    </w:pPr>
    <w:rPr>
      <w:rFonts w:ascii="Arial" w:eastAsia="Times New Roman" w:hAnsi="Arial"/>
      <w:sz w:val="24"/>
      <w:szCs w:val="24"/>
      <w:lang w:val="es-ES" w:eastAsia="es-CO"/>
    </w:rPr>
  </w:style>
  <w:style w:type="paragraph" w:styleId="Textodecuerpo">
    <w:name w:val="Body Text"/>
    <w:basedOn w:val="Normal"/>
    <w:link w:val="TextodecuerpoCar"/>
    <w:uiPriority w:val="99"/>
    <w:semiHidden/>
    <w:unhideWhenUsed/>
    <w:rsid w:val="008434B9"/>
    <w:pPr>
      <w:spacing w:after="120"/>
    </w:pPr>
    <w:rPr>
      <w:rFonts w:ascii="Calibri" w:eastAsia="Calibri" w:hAnsi="Calibri" w:cs="Times New Roman"/>
      <w:sz w:val="20"/>
      <w:szCs w:val="20"/>
    </w:rPr>
  </w:style>
  <w:style w:type="character" w:customStyle="1" w:styleId="TextodecuerpoCar">
    <w:name w:val="Texto de cuerpo Car"/>
    <w:basedOn w:val="Fuentedeprrafopredeter"/>
    <w:link w:val="Textodecuerpo"/>
    <w:uiPriority w:val="99"/>
    <w:semiHidden/>
    <w:rsid w:val="008434B9"/>
    <w:rPr>
      <w:rFonts w:ascii="Calibri" w:eastAsia="Calibri" w:hAnsi="Calibri" w:cs="Times New Roman"/>
      <w:sz w:val="20"/>
      <w:szCs w:val="20"/>
    </w:rPr>
  </w:style>
  <w:style w:type="paragraph" w:customStyle="1" w:styleId="D01-Prrafonuevon">
    <w:name w:val="D01-Párrafo nuevo.n"/>
    <w:basedOn w:val="Normal"/>
    <w:rsid w:val="008434B9"/>
    <w:pPr>
      <w:spacing w:before="140" w:after="0" w:line="300" w:lineRule="exact"/>
      <w:jc w:val="both"/>
    </w:pPr>
    <w:rPr>
      <w:rFonts w:ascii="Times" w:eastAsia="Times New Roman" w:hAnsi="Times" w:cs="Times New Roman"/>
      <w:sz w:val="24"/>
      <w:szCs w:val="20"/>
      <w:lang w:val="es-ES_tradnl" w:eastAsia="es-ES"/>
    </w:rPr>
  </w:style>
  <w:style w:type="character" w:customStyle="1" w:styleId="genus">
    <w:name w:val="genus"/>
    <w:basedOn w:val="Fuentedeprrafopredeter"/>
    <w:rsid w:val="008434B9"/>
  </w:style>
  <w:style w:type="character" w:styleId="Refdecomentario">
    <w:name w:val="annotation reference"/>
    <w:uiPriority w:val="99"/>
    <w:semiHidden/>
    <w:unhideWhenUsed/>
    <w:rsid w:val="008434B9"/>
    <w:rPr>
      <w:sz w:val="16"/>
      <w:szCs w:val="16"/>
    </w:rPr>
  </w:style>
  <w:style w:type="paragraph" w:styleId="Textocomentario">
    <w:name w:val="annotation text"/>
    <w:basedOn w:val="Normal"/>
    <w:link w:val="TextocomentarioCar"/>
    <w:uiPriority w:val="99"/>
    <w:semiHidden/>
    <w:unhideWhenUsed/>
    <w:rsid w:val="008434B9"/>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8434B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434B9"/>
    <w:rPr>
      <w:b/>
      <w:bCs/>
    </w:rPr>
  </w:style>
  <w:style w:type="character" w:customStyle="1" w:styleId="AsuntodelcomentarioCar">
    <w:name w:val="Asunto del comentario Car"/>
    <w:basedOn w:val="TextocomentarioCar"/>
    <w:link w:val="Asuntodelcomentario"/>
    <w:uiPriority w:val="99"/>
    <w:semiHidden/>
    <w:rsid w:val="008434B9"/>
    <w:rPr>
      <w:rFonts w:ascii="Calibri" w:eastAsia="Calibri" w:hAnsi="Calibri" w:cs="Times New Roman"/>
      <w:b/>
      <w:bCs/>
      <w:sz w:val="20"/>
      <w:szCs w:val="20"/>
    </w:rPr>
  </w:style>
  <w:style w:type="character" w:customStyle="1" w:styleId="apple-converted-space">
    <w:name w:val="apple-converted-space"/>
    <w:basedOn w:val="Fuentedeprrafopredeter"/>
    <w:rsid w:val="00EC6836"/>
  </w:style>
  <w:style w:type="character" w:styleId="Nmerodepgina">
    <w:name w:val="page number"/>
    <w:basedOn w:val="Fuentedeprrafopredeter"/>
    <w:uiPriority w:val="99"/>
    <w:semiHidden/>
    <w:unhideWhenUsed/>
    <w:rsid w:val="00185E73"/>
  </w:style>
  <w:style w:type="character" w:styleId="Nmerodelnea">
    <w:name w:val="line number"/>
    <w:basedOn w:val="Fuentedeprrafopredeter"/>
    <w:uiPriority w:val="99"/>
    <w:semiHidden/>
    <w:unhideWhenUsed/>
    <w:rsid w:val="00185E73"/>
  </w:style>
  <w:style w:type="table" w:styleId="Sombreadoclaro-nfasis1">
    <w:name w:val="Light Shading Accent 1"/>
    <w:basedOn w:val="Tablanormal"/>
    <w:uiPriority w:val="60"/>
    <w:rsid w:val="00977CFE"/>
    <w:pPr>
      <w:spacing w:after="0" w:line="240" w:lineRule="auto"/>
    </w:pPr>
    <w:rPr>
      <w:rFonts w:eastAsiaTheme="minorEastAsia"/>
      <w:color w:val="365F91" w:themeColor="accent1" w:themeShade="BF"/>
      <w:lang w:val="es-ES_tradnl" w:eastAsia="es-E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850EFA"/>
  </w:style>
</w:styles>
</file>

<file path=word/webSettings.xml><?xml version="1.0" encoding="utf-8"?>
<w:webSettings xmlns:r="http://schemas.openxmlformats.org/officeDocument/2006/relationships" xmlns:w="http://schemas.openxmlformats.org/wordprocessingml/2006/main">
  <w:divs>
    <w:div w:id="5401860">
      <w:bodyDiv w:val="1"/>
      <w:marLeft w:val="0"/>
      <w:marRight w:val="0"/>
      <w:marTop w:val="0"/>
      <w:marBottom w:val="0"/>
      <w:divBdr>
        <w:top w:val="none" w:sz="0" w:space="0" w:color="auto"/>
        <w:left w:val="none" w:sz="0" w:space="0" w:color="auto"/>
        <w:bottom w:val="none" w:sz="0" w:space="0" w:color="auto"/>
        <w:right w:val="none" w:sz="0" w:space="0" w:color="auto"/>
      </w:divBdr>
    </w:div>
    <w:div w:id="15080312">
      <w:bodyDiv w:val="1"/>
      <w:marLeft w:val="0"/>
      <w:marRight w:val="0"/>
      <w:marTop w:val="0"/>
      <w:marBottom w:val="0"/>
      <w:divBdr>
        <w:top w:val="none" w:sz="0" w:space="0" w:color="auto"/>
        <w:left w:val="none" w:sz="0" w:space="0" w:color="auto"/>
        <w:bottom w:val="none" w:sz="0" w:space="0" w:color="auto"/>
        <w:right w:val="none" w:sz="0" w:space="0" w:color="auto"/>
      </w:divBdr>
    </w:div>
    <w:div w:id="41950071">
      <w:bodyDiv w:val="1"/>
      <w:marLeft w:val="0"/>
      <w:marRight w:val="0"/>
      <w:marTop w:val="0"/>
      <w:marBottom w:val="0"/>
      <w:divBdr>
        <w:top w:val="none" w:sz="0" w:space="0" w:color="auto"/>
        <w:left w:val="none" w:sz="0" w:space="0" w:color="auto"/>
        <w:bottom w:val="none" w:sz="0" w:space="0" w:color="auto"/>
        <w:right w:val="none" w:sz="0" w:space="0" w:color="auto"/>
      </w:divBdr>
    </w:div>
    <w:div w:id="45186147">
      <w:bodyDiv w:val="1"/>
      <w:marLeft w:val="0"/>
      <w:marRight w:val="0"/>
      <w:marTop w:val="0"/>
      <w:marBottom w:val="0"/>
      <w:divBdr>
        <w:top w:val="none" w:sz="0" w:space="0" w:color="auto"/>
        <w:left w:val="none" w:sz="0" w:space="0" w:color="auto"/>
        <w:bottom w:val="none" w:sz="0" w:space="0" w:color="auto"/>
        <w:right w:val="none" w:sz="0" w:space="0" w:color="auto"/>
      </w:divBdr>
    </w:div>
    <w:div w:id="94448188">
      <w:bodyDiv w:val="1"/>
      <w:marLeft w:val="0"/>
      <w:marRight w:val="0"/>
      <w:marTop w:val="0"/>
      <w:marBottom w:val="0"/>
      <w:divBdr>
        <w:top w:val="none" w:sz="0" w:space="0" w:color="auto"/>
        <w:left w:val="none" w:sz="0" w:space="0" w:color="auto"/>
        <w:bottom w:val="none" w:sz="0" w:space="0" w:color="auto"/>
        <w:right w:val="none" w:sz="0" w:space="0" w:color="auto"/>
      </w:divBdr>
    </w:div>
    <w:div w:id="99684084">
      <w:bodyDiv w:val="1"/>
      <w:marLeft w:val="0"/>
      <w:marRight w:val="0"/>
      <w:marTop w:val="0"/>
      <w:marBottom w:val="0"/>
      <w:divBdr>
        <w:top w:val="none" w:sz="0" w:space="0" w:color="auto"/>
        <w:left w:val="none" w:sz="0" w:space="0" w:color="auto"/>
        <w:bottom w:val="none" w:sz="0" w:space="0" w:color="auto"/>
        <w:right w:val="none" w:sz="0" w:space="0" w:color="auto"/>
      </w:divBdr>
    </w:div>
    <w:div w:id="122892585">
      <w:bodyDiv w:val="1"/>
      <w:marLeft w:val="0"/>
      <w:marRight w:val="0"/>
      <w:marTop w:val="0"/>
      <w:marBottom w:val="0"/>
      <w:divBdr>
        <w:top w:val="none" w:sz="0" w:space="0" w:color="auto"/>
        <w:left w:val="none" w:sz="0" w:space="0" w:color="auto"/>
        <w:bottom w:val="none" w:sz="0" w:space="0" w:color="auto"/>
        <w:right w:val="none" w:sz="0" w:space="0" w:color="auto"/>
      </w:divBdr>
    </w:div>
    <w:div w:id="148448667">
      <w:bodyDiv w:val="1"/>
      <w:marLeft w:val="0"/>
      <w:marRight w:val="0"/>
      <w:marTop w:val="0"/>
      <w:marBottom w:val="0"/>
      <w:divBdr>
        <w:top w:val="none" w:sz="0" w:space="0" w:color="auto"/>
        <w:left w:val="none" w:sz="0" w:space="0" w:color="auto"/>
        <w:bottom w:val="none" w:sz="0" w:space="0" w:color="auto"/>
        <w:right w:val="none" w:sz="0" w:space="0" w:color="auto"/>
      </w:divBdr>
    </w:div>
    <w:div w:id="201135749">
      <w:bodyDiv w:val="1"/>
      <w:marLeft w:val="0"/>
      <w:marRight w:val="0"/>
      <w:marTop w:val="0"/>
      <w:marBottom w:val="0"/>
      <w:divBdr>
        <w:top w:val="none" w:sz="0" w:space="0" w:color="auto"/>
        <w:left w:val="none" w:sz="0" w:space="0" w:color="auto"/>
        <w:bottom w:val="none" w:sz="0" w:space="0" w:color="auto"/>
        <w:right w:val="none" w:sz="0" w:space="0" w:color="auto"/>
      </w:divBdr>
    </w:div>
    <w:div w:id="230119802">
      <w:bodyDiv w:val="1"/>
      <w:marLeft w:val="0"/>
      <w:marRight w:val="0"/>
      <w:marTop w:val="0"/>
      <w:marBottom w:val="0"/>
      <w:divBdr>
        <w:top w:val="none" w:sz="0" w:space="0" w:color="auto"/>
        <w:left w:val="none" w:sz="0" w:space="0" w:color="auto"/>
        <w:bottom w:val="none" w:sz="0" w:space="0" w:color="auto"/>
        <w:right w:val="none" w:sz="0" w:space="0" w:color="auto"/>
      </w:divBdr>
    </w:div>
    <w:div w:id="235627487">
      <w:bodyDiv w:val="1"/>
      <w:marLeft w:val="0"/>
      <w:marRight w:val="0"/>
      <w:marTop w:val="0"/>
      <w:marBottom w:val="0"/>
      <w:divBdr>
        <w:top w:val="none" w:sz="0" w:space="0" w:color="auto"/>
        <w:left w:val="none" w:sz="0" w:space="0" w:color="auto"/>
        <w:bottom w:val="none" w:sz="0" w:space="0" w:color="auto"/>
        <w:right w:val="none" w:sz="0" w:space="0" w:color="auto"/>
      </w:divBdr>
    </w:div>
    <w:div w:id="243729366">
      <w:bodyDiv w:val="1"/>
      <w:marLeft w:val="0"/>
      <w:marRight w:val="0"/>
      <w:marTop w:val="0"/>
      <w:marBottom w:val="0"/>
      <w:divBdr>
        <w:top w:val="none" w:sz="0" w:space="0" w:color="auto"/>
        <w:left w:val="none" w:sz="0" w:space="0" w:color="auto"/>
        <w:bottom w:val="none" w:sz="0" w:space="0" w:color="auto"/>
        <w:right w:val="none" w:sz="0" w:space="0" w:color="auto"/>
      </w:divBdr>
    </w:div>
    <w:div w:id="258607526">
      <w:bodyDiv w:val="1"/>
      <w:marLeft w:val="0"/>
      <w:marRight w:val="0"/>
      <w:marTop w:val="0"/>
      <w:marBottom w:val="0"/>
      <w:divBdr>
        <w:top w:val="none" w:sz="0" w:space="0" w:color="auto"/>
        <w:left w:val="none" w:sz="0" w:space="0" w:color="auto"/>
        <w:bottom w:val="none" w:sz="0" w:space="0" w:color="auto"/>
        <w:right w:val="none" w:sz="0" w:space="0" w:color="auto"/>
      </w:divBdr>
    </w:div>
    <w:div w:id="261573749">
      <w:bodyDiv w:val="1"/>
      <w:marLeft w:val="0"/>
      <w:marRight w:val="0"/>
      <w:marTop w:val="0"/>
      <w:marBottom w:val="0"/>
      <w:divBdr>
        <w:top w:val="none" w:sz="0" w:space="0" w:color="auto"/>
        <w:left w:val="none" w:sz="0" w:space="0" w:color="auto"/>
        <w:bottom w:val="none" w:sz="0" w:space="0" w:color="auto"/>
        <w:right w:val="none" w:sz="0" w:space="0" w:color="auto"/>
      </w:divBdr>
    </w:div>
    <w:div w:id="264971363">
      <w:bodyDiv w:val="1"/>
      <w:marLeft w:val="0"/>
      <w:marRight w:val="0"/>
      <w:marTop w:val="0"/>
      <w:marBottom w:val="0"/>
      <w:divBdr>
        <w:top w:val="none" w:sz="0" w:space="0" w:color="auto"/>
        <w:left w:val="none" w:sz="0" w:space="0" w:color="auto"/>
        <w:bottom w:val="none" w:sz="0" w:space="0" w:color="auto"/>
        <w:right w:val="none" w:sz="0" w:space="0" w:color="auto"/>
      </w:divBdr>
    </w:div>
    <w:div w:id="296498792">
      <w:bodyDiv w:val="1"/>
      <w:marLeft w:val="0"/>
      <w:marRight w:val="0"/>
      <w:marTop w:val="0"/>
      <w:marBottom w:val="0"/>
      <w:divBdr>
        <w:top w:val="none" w:sz="0" w:space="0" w:color="auto"/>
        <w:left w:val="none" w:sz="0" w:space="0" w:color="auto"/>
        <w:bottom w:val="none" w:sz="0" w:space="0" w:color="auto"/>
        <w:right w:val="none" w:sz="0" w:space="0" w:color="auto"/>
      </w:divBdr>
    </w:div>
    <w:div w:id="323632795">
      <w:bodyDiv w:val="1"/>
      <w:marLeft w:val="0"/>
      <w:marRight w:val="0"/>
      <w:marTop w:val="0"/>
      <w:marBottom w:val="0"/>
      <w:divBdr>
        <w:top w:val="none" w:sz="0" w:space="0" w:color="auto"/>
        <w:left w:val="none" w:sz="0" w:space="0" w:color="auto"/>
        <w:bottom w:val="none" w:sz="0" w:space="0" w:color="auto"/>
        <w:right w:val="none" w:sz="0" w:space="0" w:color="auto"/>
      </w:divBdr>
    </w:div>
    <w:div w:id="348069971">
      <w:bodyDiv w:val="1"/>
      <w:marLeft w:val="0"/>
      <w:marRight w:val="0"/>
      <w:marTop w:val="0"/>
      <w:marBottom w:val="0"/>
      <w:divBdr>
        <w:top w:val="none" w:sz="0" w:space="0" w:color="auto"/>
        <w:left w:val="none" w:sz="0" w:space="0" w:color="auto"/>
        <w:bottom w:val="none" w:sz="0" w:space="0" w:color="auto"/>
        <w:right w:val="none" w:sz="0" w:space="0" w:color="auto"/>
      </w:divBdr>
    </w:div>
    <w:div w:id="351882119">
      <w:bodyDiv w:val="1"/>
      <w:marLeft w:val="0"/>
      <w:marRight w:val="0"/>
      <w:marTop w:val="0"/>
      <w:marBottom w:val="0"/>
      <w:divBdr>
        <w:top w:val="none" w:sz="0" w:space="0" w:color="auto"/>
        <w:left w:val="none" w:sz="0" w:space="0" w:color="auto"/>
        <w:bottom w:val="none" w:sz="0" w:space="0" w:color="auto"/>
        <w:right w:val="none" w:sz="0" w:space="0" w:color="auto"/>
      </w:divBdr>
    </w:div>
    <w:div w:id="351998624">
      <w:bodyDiv w:val="1"/>
      <w:marLeft w:val="0"/>
      <w:marRight w:val="0"/>
      <w:marTop w:val="0"/>
      <w:marBottom w:val="0"/>
      <w:divBdr>
        <w:top w:val="none" w:sz="0" w:space="0" w:color="auto"/>
        <w:left w:val="none" w:sz="0" w:space="0" w:color="auto"/>
        <w:bottom w:val="none" w:sz="0" w:space="0" w:color="auto"/>
        <w:right w:val="none" w:sz="0" w:space="0" w:color="auto"/>
      </w:divBdr>
    </w:div>
    <w:div w:id="363868625">
      <w:bodyDiv w:val="1"/>
      <w:marLeft w:val="0"/>
      <w:marRight w:val="0"/>
      <w:marTop w:val="0"/>
      <w:marBottom w:val="0"/>
      <w:divBdr>
        <w:top w:val="none" w:sz="0" w:space="0" w:color="auto"/>
        <w:left w:val="none" w:sz="0" w:space="0" w:color="auto"/>
        <w:bottom w:val="none" w:sz="0" w:space="0" w:color="auto"/>
        <w:right w:val="none" w:sz="0" w:space="0" w:color="auto"/>
      </w:divBdr>
    </w:div>
    <w:div w:id="364212322">
      <w:bodyDiv w:val="1"/>
      <w:marLeft w:val="0"/>
      <w:marRight w:val="0"/>
      <w:marTop w:val="0"/>
      <w:marBottom w:val="0"/>
      <w:divBdr>
        <w:top w:val="none" w:sz="0" w:space="0" w:color="auto"/>
        <w:left w:val="none" w:sz="0" w:space="0" w:color="auto"/>
        <w:bottom w:val="none" w:sz="0" w:space="0" w:color="auto"/>
        <w:right w:val="none" w:sz="0" w:space="0" w:color="auto"/>
      </w:divBdr>
    </w:div>
    <w:div w:id="375668648">
      <w:bodyDiv w:val="1"/>
      <w:marLeft w:val="0"/>
      <w:marRight w:val="0"/>
      <w:marTop w:val="0"/>
      <w:marBottom w:val="0"/>
      <w:divBdr>
        <w:top w:val="none" w:sz="0" w:space="0" w:color="auto"/>
        <w:left w:val="none" w:sz="0" w:space="0" w:color="auto"/>
        <w:bottom w:val="none" w:sz="0" w:space="0" w:color="auto"/>
        <w:right w:val="none" w:sz="0" w:space="0" w:color="auto"/>
      </w:divBdr>
    </w:div>
    <w:div w:id="405686073">
      <w:bodyDiv w:val="1"/>
      <w:marLeft w:val="0"/>
      <w:marRight w:val="0"/>
      <w:marTop w:val="0"/>
      <w:marBottom w:val="0"/>
      <w:divBdr>
        <w:top w:val="none" w:sz="0" w:space="0" w:color="auto"/>
        <w:left w:val="none" w:sz="0" w:space="0" w:color="auto"/>
        <w:bottom w:val="none" w:sz="0" w:space="0" w:color="auto"/>
        <w:right w:val="none" w:sz="0" w:space="0" w:color="auto"/>
      </w:divBdr>
    </w:div>
    <w:div w:id="408692099">
      <w:bodyDiv w:val="1"/>
      <w:marLeft w:val="0"/>
      <w:marRight w:val="0"/>
      <w:marTop w:val="0"/>
      <w:marBottom w:val="0"/>
      <w:divBdr>
        <w:top w:val="none" w:sz="0" w:space="0" w:color="auto"/>
        <w:left w:val="none" w:sz="0" w:space="0" w:color="auto"/>
        <w:bottom w:val="none" w:sz="0" w:space="0" w:color="auto"/>
        <w:right w:val="none" w:sz="0" w:space="0" w:color="auto"/>
      </w:divBdr>
    </w:div>
    <w:div w:id="421879206">
      <w:bodyDiv w:val="1"/>
      <w:marLeft w:val="0"/>
      <w:marRight w:val="0"/>
      <w:marTop w:val="0"/>
      <w:marBottom w:val="0"/>
      <w:divBdr>
        <w:top w:val="none" w:sz="0" w:space="0" w:color="auto"/>
        <w:left w:val="none" w:sz="0" w:space="0" w:color="auto"/>
        <w:bottom w:val="none" w:sz="0" w:space="0" w:color="auto"/>
        <w:right w:val="none" w:sz="0" w:space="0" w:color="auto"/>
      </w:divBdr>
    </w:div>
    <w:div w:id="427624848">
      <w:bodyDiv w:val="1"/>
      <w:marLeft w:val="0"/>
      <w:marRight w:val="0"/>
      <w:marTop w:val="0"/>
      <w:marBottom w:val="0"/>
      <w:divBdr>
        <w:top w:val="none" w:sz="0" w:space="0" w:color="auto"/>
        <w:left w:val="none" w:sz="0" w:space="0" w:color="auto"/>
        <w:bottom w:val="none" w:sz="0" w:space="0" w:color="auto"/>
        <w:right w:val="none" w:sz="0" w:space="0" w:color="auto"/>
      </w:divBdr>
    </w:div>
    <w:div w:id="439685817">
      <w:bodyDiv w:val="1"/>
      <w:marLeft w:val="0"/>
      <w:marRight w:val="0"/>
      <w:marTop w:val="0"/>
      <w:marBottom w:val="0"/>
      <w:divBdr>
        <w:top w:val="none" w:sz="0" w:space="0" w:color="auto"/>
        <w:left w:val="none" w:sz="0" w:space="0" w:color="auto"/>
        <w:bottom w:val="none" w:sz="0" w:space="0" w:color="auto"/>
        <w:right w:val="none" w:sz="0" w:space="0" w:color="auto"/>
      </w:divBdr>
    </w:div>
    <w:div w:id="441650034">
      <w:bodyDiv w:val="1"/>
      <w:marLeft w:val="0"/>
      <w:marRight w:val="0"/>
      <w:marTop w:val="0"/>
      <w:marBottom w:val="0"/>
      <w:divBdr>
        <w:top w:val="none" w:sz="0" w:space="0" w:color="auto"/>
        <w:left w:val="none" w:sz="0" w:space="0" w:color="auto"/>
        <w:bottom w:val="none" w:sz="0" w:space="0" w:color="auto"/>
        <w:right w:val="none" w:sz="0" w:space="0" w:color="auto"/>
      </w:divBdr>
    </w:div>
    <w:div w:id="449014286">
      <w:bodyDiv w:val="1"/>
      <w:marLeft w:val="0"/>
      <w:marRight w:val="0"/>
      <w:marTop w:val="0"/>
      <w:marBottom w:val="0"/>
      <w:divBdr>
        <w:top w:val="none" w:sz="0" w:space="0" w:color="auto"/>
        <w:left w:val="none" w:sz="0" w:space="0" w:color="auto"/>
        <w:bottom w:val="none" w:sz="0" w:space="0" w:color="auto"/>
        <w:right w:val="none" w:sz="0" w:space="0" w:color="auto"/>
      </w:divBdr>
    </w:div>
    <w:div w:id="481432409">
      <w:bodyDiv w:val="1"/>
      <w:marLeft w:val="0"/>
      <w:marRight w:val="0"/>
      <w:marTop w:val="0"/>
      <w:marBottom w:val="0"/>
      <w:divBdr>
        <w:top w:val="none" w:sz="0" w:space="0" w:color="auto"/>
        <w:left w:val="none" w:sz="0" w:space="0" w:color="auto"/>
        <w:bottom w:val="none" w:sz="0" w:space="0" w:color="auto"/>
        <w:right w:val="none" w:sz="0" w:space="0" w:color="auto"/>
      </w:divBdr>
    </w:div>
    <w:div w:id="486015652">
      <w:bodyDiv w:val="1"/>
      <w:marLeft w:val="0"/>
      <w:marRight w:val="0"/>
      <w:marTop w:val="0"/>
      <w:marBottom w:val="0"/>
      <w:divBdr>
        <w:top w:val="none" w:sz="0" w:space="0" w:color="auto"/>
        <w:left w:val="none" w:sz="0" w:space="0" w:color="auto"/>
        <w:bottom w:val="none" w:sz="0" w:space="0" w:color="auto"/>
        <w:right w:val="none" w:sz="0" w:space="0" w:color="auto"/>
      </w:divBdr>
    </w:div>
    <w:div w:id="498496883">
      <w:bodyDiv w:val="1"/>
      <w:marLeft w:val="0"/>
      <w:marRight w:val="0"/>
      <w:marTop w:val="0"/>
      <w:marBottom w:val="0"/>
      <w:divBdr>
        <w:top w:val="none" w:sz="0" w:space="0" w:color="auto"/>
        <w:left w:val="none" w:sz="0" w:space="0" w:color="auto"/>
        <w:bottom w:val="none" w:sz="0" w:space="0" w:color="auto"/>
        <w:right w:val="none" w:sz="0" w:space="0" w:color="auto"/>
      </w:divBdr>
    </w:div>
    <w:div w:id="515536157">
      <w:bodyDiv w:val="1"/>
      <w:marLeft w:val="0"/>
      <w:marRight w:val="0"/>
      <w:marTop w:val="0"/>
      <w:marBottom w:val="0"/>
      <w:divBdr>
        <w:top w:val="none" w:sz="0" w:space="0" w:color="auto"/>
        <w:left w:val="none" w:sz="0" w:space="0" w:color="auto"/>
        <w:bottom w:val="none" w:sz="0" w:space="0" w:color="auto"/>
        <w:right w:val="none" w:sz="0" w:space="0" w:color="auto"/>
      </w:divBdr>
    </w:div>
    <w:div w:id="520164869">
      <w:bodyDiv w:val="1"/>
      <w:marLeft w:val="0"/>
      <w:marRight w:val="0"/>
      <w:marTop w:val="0"/>
      <w:marBottom w:val="0"/>
      <w:divBdr>
        <w:top w:val="none" w:sz="0" w:space="0" w:color="auto"/>
        <w:left w:val="none" w:sz="0" w:space="0" w:color="auto"/>
        <w:bottom w:val="none" w:sz="0" w:space="0" w:color="auto"/>
        <w:right w:val="none" w:sz="0" w:space="0" w:color="auto"/>
      </w:divBdr>
    </w:div>
    <w:div w:id="590352599">
      <w:bodyDiv w:val="1"/>
      <w:marLeft w:val="0"/>
      <w:marRight w:val="0"/>
      <w:marTop w:val="0"/>
      <w:marBottom w:val="0"/>
      <w:divBdr>
        <w:top w:val="none" w:sz="0" w:space="0" w:color="auto"/>
        <w:left w:val="none" w:sz="0" w:space="0" w:color="auto"/>
        <w:bottom w:val="none" w:sz="0" w:space="0" w:color="auto"/>
        <w:right w:val="none" w:sz="0" w:space="0" w:color="auto"/>
      </w:divBdr>
    </w:div>
    <w:div w:id="592131152">
      <w:bodyDiv w:val="1"/>
      <w:marLeft w:val="0"/>
      <w:marRight w:val="0"/>
      <w:marTop w:val="0"/>
      <w:marBottom w:val="0"/>
      <w:divBdr>
        <w:top w:val="none" w:sz="0" w:space="0" w:color="auto"/>
        <w:left w:val="none" w:sz="0" w:space="0" w:color="auto"/>
        <w:bottom w:val="none" w:sz="0" w:space="0" w:color="auto"/>
        <w:right w:val="none" w:sz="0" w:space="0" w:color="auto"/>
      </w:divBdr>
    </w:div>
    <w:div w:id="595596798">
      <w:bodyDiv w:val="1"/>
      <w:marLeft w:val="0"/>
      <w:marRight w:val="0"/>
      <w:marTop w:val="0"/>
      <w:marBottom w:val="0"/>
      <w:divBdr>
        <w:top w:val="none" w:sz="0" w:space="0" w:color="auto"/>
        <w:left w:val="none" w:sz="0" w:space="0" w:color="auto"/>
        <w:bottom w:val="none" w:sz="0" w:space="0" w:color="auto"/>
        <w:right w:val="none" w:sz="0" w:space="0" w:color="auto"/>
      </w:divBdr>
    </w:div>
    <w:div w:id="600182581">
      <w:bodyDiv w:val="1"/>
      <w:marLeft w:val="0"/>
      <w:marRight w:val="0"/>
      <w:marTop w:val="0"/>
      <w:marBottom w:val="0"/>
      <w:divBdr>
        <w:top w:val="none" w:sz="0" w:space="0" w:color="auto"/>
        <w:left w:val="none" w:sz="0" w:space="0" w:color="auto"/>
        <w:bottom w:val="none" w:sz="0" w:space="0" w:color="auto"/>
        <w:right w:val="none" w:sz="0" w:space="0" w:color="auto"/>
      </w:divBdr>
    </w:div>
    <w:div w:id="644313030">
      <w:bodyDiv w:val="1"/>
      <w:marLeft w:val="0"/>
      <w:marRight w:val="0"/>
      <w:marTop w:val="0"/>
      <w:marBottom w:val="0"/>
      <w:divBdr>
        <w:top w:val="none" w:sz="0" w:space="0" w:color="auto"/>
        <w:left w:val="none" w:sz="0" w:space="0" w:color="auto"/>
        <w:bottom w:val="none" w:sz="0" w:space="0" w:color="auto"/>
        <w:right w:val="none" w:sz="0" w:space="0" w:color="auto"/>
      </w:divBdr>
    </w:div>
    <w:div w:id="654525983">
      <w:bodyDiv w:val="1"/>
      <w:marLeft w:val="0"/>
      <w:marRight w:val="0"/>
      <w:marTop w:val="0"/>
      <w:marBottom w:val="0"/>
      <w:divBdr>
        <w:top w:val="none" w:sz="0" w:space="0" w:color="auto"/>
        <w:left w:val="none" w:sz="0" w:space="0" w:color="auto"/>
        <w:bottom w:val="none" w:sz="0" w:space="0" w:color="auto"/>
        <w:right w:val="none" w:sz="0" w:space="0" w:color="auto"/>
      </w:divBdr>
    </w:div>
    <w:div w:id="679161926">
      <w:bodyDiv w:val="1"/>
      <w:marLeft w:val="0"/>
      <w:marRight w:val="0"/>
      <w:marTop w:val="0"/>
      <w:marBottom w:val="0"/>
      <w:divBdr>
        <w:top w:val="none" w:sz="0" w:space="0" w:color="auto"/>
        <w:left w:val="none" w:sz="0" w:space="0" w:color="auto"/>
        <w:bottom w:val="none" w:sz="0" w:space="0" w:color="auto"/>
        <w:right w:val="none" w:sz="0" w:space="0" w:color="auto"/>
      </w:divBdr>
    </w:div>
    <w:div w:id="696270515">
      <w:bodyDiv w:val="1"/>
      <w:marLeft w:val="0"/>
      <w:marRight w:val="0"/>
      <w:marTop w:val="0"/>
      <w:marBottom w:val="0"/>
      <w:divBdr>
        <w:top w:val="none" w:sz="0" w:space="0" w:color="auto"/>
        <w:left w:val="none" w:sz="0" w:space="0" w:color="auto"/>
        <w:bottom w:val="none" w:sz="0" w:space="0" w:color="auto"/>
        <w:right w:val="none" w:sz="0" w:space="0" w:color="auto"/>
      </w:divBdr>
    </w:div>
    <w:div w:id="699942222">
      <w:bodyDiv w:val="1"/>
      <w:marLeft w:val="0"/>
      <w:marRight w:val="0"/>
      <w:marTop w:val="0"/>
      <w:marBottom w:val="0"/>
      <w:divBdr>
        <w:top w:val="none" w:sz="0" w:space="0" w:color="auto"/>
        <w:left w:val="none" w:sz="0" w:space="0" w:color="auto"/>
        <w:bottom w:val="none" w:sz="0" w:space="0" w:color="auto"/>
        <w:right w:val="none" w:sz="0" w:space="0" w:color="auto"/>
      </w:divBdr>
    </w:div>
    <w:div w:id="755444710">
      <w:bodyDiv w:val="1"/>
      <w:marLeft w:val="0"/>
      <w:marRight w:val="0"/>
      <w:marTop w:val="0"/>
      <w:marBottom w:val="0"/>
      <w:divBdr>
        <w:top w:val="none" w:sz="0" w:space="0" w:color="auto"/>
        <w:left w:val="none" w:sz="0" w:space="0" w:color="auto"/>
        <w:bottom w:val="none" w:sz="0" w:space="0" w:color="auto"/>
        <w:right w:val="none" w:sz="0" w:space="0" w:color="auto"/>
      </w:divBdr>
    </w:div>
    <w:div w:id="765423158">
      <w:bodyDiv w:val="1"/>
      <w:marLeft w:val="0"/>
      <w:marRight w:val="0"/>
      <w:marTop w:val="0"/>
      <w:marBottom w:val="0"/>
      <w:divBdr>
        <w:top w:val="none" w:sz="0" w:space="0" w:color="auto"/>
        <w:left w:val="none" w:sz="0" w:space="0" w:color="auto"/>
        <w:bottom w:val="none" w:sz="0" w:space="0" w:color="auto"/>
        <w:right w:val="none" w:sz="0" w:space="0" w:color="auto"/>
      </w:divBdr>
    </w:div>
    <w:div w:id="780615732">
      <w:bodyDiv w:val="1"/>
      <w:marLeft w:val="0"/>
      <w:marRight w:val="0"/>
      <w:marTop w:val="0"/>
      <w:marBottom w:val="0"/>
      <w:divBdr>
        <w:top w:val="none" w:sz="0" w:space="0" w:color="auto"/>
        <w:left w:val="none" w:sz="0" w:space="0" w:color="auto"/>
        <w:bottom w:val="none" w:sz="0" w:space="0" w:color="auto"/>
        <w:right w:val="none" w:sz="0" w:space="0" w:color="auto"/>
      </w:divBdr>
    </w:div>
    <w:div w:id="788738314">
      <w:bodyDiv w:val="1"/>
      <w:marLeft w:val="0"/>
      <w:marRight w:val="0"/>
      <w:marTop w:val="0"/>
      <w:marBottom w:val="0"/>
      <w:divBdr>
        <w:top w:val="none" w:sz="0" w:space="0" w:color="auto"/>
        <w:left w:val="none" w:sz="0" w:space="0" w:color="auto"/>
        <w:bottom w:val="none" w:sz="0" w:space="0" w:color="auto"/>
        <w:right w:val="none" w:sz="0" w:space="0" w:color="auto"/>
      </w:divBdr>
    </w:div>
    <w:div w:id="797142163">
      <w:bodyDiv w:val="1"/>
      <w:marLeft w:val="0"/>
      <w:marRight w:val="0"/>
      <w:marTop w:val="0"/>
      <w:marBottom w:val="0"/>
      <w:divBdr>
        <w:top w:val="none" w:sz="0" w:space="0" w:color="auto"/>
        <w:left w:val="none" w:sz="0" w:space="0" w:color="auto"/>
        <w:bottom w:val="none" w:sz="0" w:space="0" w:color="auto"/>
        <w:right w:val="none" w:sz="0" w:space="0" w:color="auto"/>
      </w:divBdr>
    </w:div>
    <w:div w:id="798694435">
      <w:bodyDiv w:val="1"/>
      <w:marLeft w:val="0"/>
      <w:marRight w:val="0"/>
      <w:marTop w:val="0"/>
      <w:marBottom w:val="0"/>
      <w:divBdr>
        <w:top w:val="none" w:sz="0" w:space="0" w:color="auto"/>
        <w:left w:val="none" w:sz="0" w:space="0" w:color="auto"/>
        <w:bottom w:val="none" w:sz="0" w:space="0" w:color="auto"/>
        <w:right w:val="none" w:sz="0" w:space="0" w:color="auto"/>
      </w:divBdr>
    </w:div>
    <w:div w:id="801773019">
      <w:bodyDiv w:val="1"/>
      <w:marLeft w:val="0"/>
      <w:marRight w:val="0"/>
      <w:marTop w:val="0"/>
      <w:marBottom w:val="0"/>
      <w:divBdr>
        <w:top w:val="none" w:sz="0" w:space="0" w:color="auto"/>
        <w:left w:val="none" w:sz="0" w:space="0" w:color="auto"/>
        <w:bottom w:val="none" w:sz="0" w:space="0" w:color="auto"/>
        <w:right w:val="none" w:sz="0" w:space="0" w:color="auto"/>
      </w:divBdr>
    </w:div>
    <w:div w:id="817724165">
      <w:bodyDiv w:val="1"/>
      <w:marLeft w:val="0"/>
      <w:marRight w:val="0"/>
      <w:marTop w:val="0"/>
      <w:marBottom w:val="0"/>
      <w:divBdr>
        <w:top w:val="none" w:sz="0" w:space="0" w:color="auto"/>
        <w:left w:val="none" w:sz="0" w:space="0" w:color="auto"/>
        <w:bottom w:val="none" w:sz="0" w:space="0" w:color="auto"/>
        <w:right w:val="none" w:sz="0" w:space="0" w:color="auto"/>
      </w:divBdr>
      <w:divsChild>
        <w:div w:id="1178688593">
          <w:marLeft w:val="0"/>
          <w:marRight w:val="0"/>
          <w:marTop w:val="0"/>
          <w:marBottom w:val="0"/>
          <w:divBdr>
            <w:top w:val="none" w:sz="0" w:space="0" w:color="auto"/>
            <w:left w:val="none" w:sz="0" w:space="0" w:color="auto"/>
            <w:bottom w:val="none" w:sz="0" w:space="0" w:color="auto"/>
            <w:right w:val="none" w:sz="0" w:space="0" w:color="auto"/>
          </w:divBdr>
          <w:divsChild>
            <w:div w:id="2078629066">
              <w:marLeft w:val="0"/>
              <w:marRight w:val="0"/>
              <w:marTop w:val="0"/>
              <w:marBottom w:val="0"/>
              <w:divBdr>
                <w:top w:val="none" w:sz="0" w:space="0" w:color="auto"/>
                <w:left w:val="none" w:sz="0" w:space="0" w:color="auto"/>
                <w:bottom w:val="none" w:sz="0" w:space="0" w:color="auto"/>
                <w:right w:val="none" w:sz="0" w:space="0" w:color="auto"/>
              </w:divBdr>
              <w:divsChild>
                <w:div w:id="465897449">
                  <w:marLeft w:val="0"/>
                  <w:marRight w:val="0"/>
                  <w:marTop w:val="0"/>
                  <w:marBottom w:val="0"/>
                  <w:divBdr>
                    <w:top w:val="none" w:sz="0" w:space="0" w:color="auto"/>
                    <w:left w:val="none" w:sz="0" w:space="0" w:color="auto"/>
                    <w:bottom w:val="none" w:sz="0" w:space="0" w:color="auto"/>
                    <w:right w:val="none" w:sz="0" w:space="0" w:color="auto"/>
                  </w:divBdr>
                  <w:divsChild>
                    <w:div w:id="21077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5301">
      <w:bodyDiv w:val="1"/>
      <w:marLeft w:val="0"/>
      <w:marRight w:val="0"/>
      <w:marTop w:val="0"/>
      <w:marBottom w:val="0"/>
      <w:divBdr>
        <w:top w:val="none" w:sz="0" w:space="0" w:color="auto"/>
        <w:left w:val="none" w:sz="0" w:space="0" w:color="auto"/>
        <w:bottom w:val="none" w:sz="0" w:space="0" w:color="auto"/>
        <w:right w:val="none" w:sz="0" w:space="0" w:color="auto"/>
      </w:divBdr>
    </w:div>
    <w:div w:id="855390244">
      <w:bodyDiv w:val="1"/>
      <w:marLeft w:val="0"/>
      <w:marRight w:val="0"/>
      <w:marTop w:val="0"/>
      <w:marBottom w:val="0"/>
      <w:divBdr>
        <w:top w:val="none" w:sz="0" w:space="0" w:color="auto"/>
        <w:left w:val="none" w:sz="0" w:space="0" w:color="auto"/>
        <w:bottom w:val="none" w:sz="0" w:space="0" w:color="auto"/>
        <w:right w:val="none" w:sz="0" w:space="0" w:color="auto"/>
      </w:divBdr>
    </w:div>
    <w:div w:id="891618860">
      <w:bodyDiv w:val="1"/>
      <w:marLeft w:val="0"/>
      <w:marRight w:val="0"/>
      <w:marTop w:val="0"/>
      <w:marBottom w:val="0"/>
      <w:divBdr>
        <w:top w:val="none" w:sz="0" w:space="0" w:color="auto"/>
        <w:left w:val="none" w:sz="0" w:space="0" w:color="auto"/>
        <w:bottom w:val="none" w:sz="0" w:space="0" w:color="auto"/>
        <w:right w:val="none" w:sz="0" w:space="0" w:color="auto"/>
      </w:divBdr>
    </w:div>
    <w:div w:id="910239300">
      <w:bodyDiv w:val="1"/>
      <w:marLeft w:val="0"/>
      <w:marRight w:val="0"/>
      <w:marTop w:val="0"/>
      <w:marBottom w:val="0"/>
      <w:divBdr>
        <w:top w:val="none" w:sz="0" w:space="0" w:color="auto"/>
        <w:left w:val="none" w:sz="0" w:space="0" w:color="auto"/>
        <w:bottom w:val="none" w:sz="0" w:space="0" w:color="auto"/>
        <w:right w:val="none" w:sz="0" w:space="0" w:color="auto"/>
      </w:divBdr>
    </w:div>
    <w:div w:id="970869237">
      <w:bodyDiv w:val="1"/>
      <w:marLeft w:val="0"/>
      <w:marRight w:val="0"/>
      <w:marTop w:val="0"/>
      <w:marBottom w:val="0"/>
      <w:divBdr>
        <w:top w:val="none" w:sz="0" w:space="0" w:color="auto"/>
        <w:left w:val="none" w:sz="0" w:space="0" w:color="auto"/>
        <w:bottom w:val="none" w:sz="0" w:space="0" w:color="auto"/>
        <w:right w:val="none" w:sz="0" w:space="0" w:color="auto"/>
      </w:divBdr>
    </w:div>
    <w:div w:id="1004288218">
      <w:bodyDiv w:val="1"/>
      <w:marLeft w:val="0"/>
      <w:marRight w:val="0"/>
      <w:marTop w:val="0"/>
      <w:marBottom w:val="0"/>
      <w:divBdr>
        <w:top w:val="none" w:sz="0" w:space="0" w:color="auto"/>
        <w:left w:val="none" w:sz="0" w:space="0" w:color="auto"/>
        <w:bottom w:val="none" w:sz="0" w:space="0" w:color="auto"/>
        <w:right w:val="none" w:sz="0" w:space="0" w:color="auto"/>
      </w:divBdr>
    </w:div>
    <w:div w:id="1010258972">
      <w:bodyDiv w:val="1"/>
      <w:marLeft w:val="0"/>
      <w:marRight w:val="0"/>
      <w:marTop w:val="0"/>
      <w:marBottom w:val="0"/>
      <w:divBdr>
        <w:top w:val="none" w:sz="0" w:space="0" w:color="auto"/>
        <w:left w:val="none" w:sz="0" w:space="0" w:color="auto"/>
        <w:bottom w:val="none" w:sz="0" w:space="0" w:color="auto"/>
        <w:right w:val="none" w:sz="0" w:space="0" w:color="auto"/>
      </w:divBdr>
    </w:div>
    <w:div w:id="1031608791">
      <w:bodyDiv w:val="1"/>
      <w:marLeft w:val="0"/>
      <w:marRight w:val="0"/>
      <w:marTop w:val="0"/>
      <w:marBottom w:val="0"/>
      <w:divBdr>
        <w:top w:val="none" w:sz="0" w:space="0" w:color="auto"/>
        <w:left w:val="none" w:sz="0" w:space="0" w:color="auto"/>
        <w:bottom w:val="none" w:sz="0" w:space="0" w:color="auto"/>
        <w:right w:val="none" w:sz="0" w:space="0" w:color="auto"/>
      </w:divBdr>
    </w:div>
    <w:div w:id="1042245098">
      <w:bodyDiv w:val="1"/>
      <w:marLeft w:val="0"/>
      <w:marRight w:val="0"/>
      <w:marTop w:val="0"/>
      <w:marBottom w:val="0"/>
      <w:divBdr>
        <w:top w:val="none" w:sz="0" w:space="0" w:color="auto"/>
        <w:left w:val="none" w:sz="0" w:space="0" w:color="auto"/>
        <w:bottom w:val="none" w:sz="0" w:space="0" w:color="auto"/>
        <w:right w:val="none" w:sz="0" w:space="0" w:color="auto"/>
      </w:divBdr>
    </w:div>
    <w:div w:id="1042284730">
      <w:bodyDiv w:val="1"/>
      <w:marLeft w:val="0"/>
      <w:marRight w:val="0"/>
      <w:marTop w:val="0"/>
      <w:marBottom w:val="0"/>
      <w:divBdr>
        <w:top w:val="none" w:sz="0" w:space="0" w:color="auto"/>
        <w:left w:val="none" w:sz="0" w:space="0" w:color="auto"/>
        <w:bottom w:val="none" w:sz="0" w:space="0" w:color="auto"/>
        <w:right w:val="none" w:sz="0" w:space="0" w:color="auto"/>
      </w:divBdr>
    </w:div>
    <w:div w:id="1044794412">
      <w:bodyDiv w:val="1"/>
      <w:marLeft w:val="0"/>
      <w:marRight w:val="0"/>
      <w:marTop w:val="0"/>
      <w:marBottom w:val="0"/>
      <w:divBdr>
        <w:top w:val="none" w:sz="0" w:space="0" w:color="auto"/>
        <w:left w:val="none" w:sz="0" w:space="0" w:color="auto"/>
        <w:bottom w:val="none" w:sz="0" w:space="0" w:color="auto"/>
        <w:right w:val="none" w:sz="0" w:space="0" w:color="auto"/>
      </w:divBdr>
    </w:div>
    <w:div w:id="1049650774">
      <w:bodyDiv w:val="1"/>
      <w:marLeft w:val="0"/>
      <w:marRight w:val="0"/>
      <w:marTop w:val="0"/>
      <w:marBottom w:val="0"/>
      <w:divBdr>
        <w:top w:val="none" w:sz="0" w:space="0" w:color="auto"/>
        <w:left w:val="none" w:sz="0" w:space="0" w:color="auto"/>
        <w:bottom w:val="none" w:sz="0" w:space="0" w:color="auto"/>
        <w:right w:val="none" w:sz="0" w:space="0" w:color="auto"/>
      </w:divBdr>
    </w:div>
    <w:div w:id="1084186824">
      <w:bodyDiv w:val="1"/>
      <w:marLeft w:val="0"/>
      <w:marRight w:val="0"/>
      <w:marTop w:val="0"/>
      <w:marBottom w:val="0"/>
      <w:divBdr>
        <w:top w:val="none" w:sz="0" w:space="0" w:color="auto"/>
        <w:left w:val="none" w:sz="0" w:space="0" w:color="auto"/>
        <w:bottom w:val="none" w:sz="0" w:space="0" w:color="auto"/>
        <w:right w:val="none" w:sz="0" w:space="0" w:color="auto"/>
      </w:divBdr>
    </w:div>
    <w:div w:id="1109936137">
      <w:bodyDiv w:val="1"/>
      <w:marLeft w:val="0"/>
      <w:marRight w:val="0"/>
      <w:marTop w:val="0"/>
      <w:marBottom w:val="0"/>
      <w:divBdr>
        <w:top w:val="none" w:sz="0" w:space="0" w:color="auto"/>
        <w:left w:val="none" w:sz="0" w:space="0" w:color="auto"/>
        <w:bottom w:val="none" w:sz="0" w:space="0" w:color="auto"/>
        <w:right w:val="none" w:sz="0" w:space="0" w:color="auto"/>
      </w:divBdr>
    </w:div>
    <w:div w:id="1122652092">
      <w:bodyDiv w:val="1"/>
      <w:marLeft w:val="0"/>
      <w:marRight w:val="0"/>
      <w:marTop w:val="0"/>
      <w:marBottom w:val="0"/>
      <w:divBdr>
        <w:top w:val="none" w:sz="0" w:space="0" w:color="auto"/>
        <w:left w:val="none" w:sz="0" w:space="0" w:color="auto"/>
        <w:bottom w:val="none" w:sz="0" w:space="0" w:color="auto"/>
        <w:right w:val="none" w:sz="0" w:space="0" w:color="auto"/>
      </w:divBdr>
    </w:div>
    <w:div w:id="1184902761">
      <w:bodyDiv w:val="1"/>
      <w:marLeft w:val="0"/>
      <w:marRight w:val="0"/>
      <w:marTop w:val="0"/>
      <w:marBottom w:val="0"/>
      <w:divBdr>
        <w:top w:val="none" w:sz="0" w:space="0" w:color="auto"/>
        <w:left w:val="none" w:sz="0" w:space="0" w:color="auto"/>
        <w:bottom w:val="none" w:sz="0" w:space="0" w:color="auto"/>
        <w:right w:val="none" w:sz="0" w:space="0" w:color="auto"/>
      </w:divBdr>
    </w:div>
    <w:div w:id="1190415554">
      <w:bodyDiv w:val="1"/>
      <w:marLeft w:val="0"/>
      <w:marRight w:val="0"/>
      <w:marTop w:val="0"/>
      <w:marBottom w:val="0"/>
      <w:divBdr>
        <w:top w:val="none" w:sz="0" w:space="0" w:color="auto"/>
        <w:left w:val="none" w:sz="0" w:space="0" w:color="auto"/>
        <w:bottom w:val="none" w:sz="0" w:space="0" w:color="auto"/>
        <w:right w:val="none" w:sz="0" w:space="0" w:color="auto"/>
      </w:divBdr>
    </w:div>
    <w:div w:id="1225458181">
      <w:bodyDiv w:val="1"/>
      <w:marLeft w:val="0"/>
      <w:marRight w:val="0"/>
      <w:marTop w:val="0"/>
      <w:marBottom w:val="0"/>
      <w:divBdr>
        <w:top w:val="none" w:sz="0" w:space="0" w:color="auto"/>
        <w:left w:val="none" w:sz="0" w:space="0" w:color="auto"/>
        <w:bottom w:val="none" w:sz="0" w:space="0" w:color="auto"/>
        <w:right w:val="none" w:sz="0" w:space="0" w:color="auto"/>
      </w:divBdr>
    </w:div>
    <w:div w:id="1233201747">
      <w:bodyDiv w:val="1"/>
      <w:marLeft w:val="0"/>
      <w:marRight w:val="0"/>
      <w:marTop w:val="0"/>
      <w:marBottom w:val="0"/>
      <w:divBdr>
        <w:top w:val="none" w:sz="0" w:space="0" w:color="auto"/>
        <w:left w:val="none" w:sz="0" w:space="0" w:color="auto"/>
        <w:bottom w:val="none" w:sz="0" w:space="0" w:color="auto"/>
        <w:right w:val="none" w:sz="0" w:space="0" w:color="auto"/>
      </w:divBdr>
    </w:div>
    <w:div w:id="1292828809">
      <w:bodyDiv w:val="1"/>
      <w:marLeft w:val="0"/>
      <w:marRight w:val="0"/>
      <w:marTop w:val="0"/>
      <w:marBottom w:val="0"/>
      <w:divBdr>
        <w:top w:val="none" w:sz="0" w:space="0" w:color="auto"/>
        <w:left w:val="none" w:sz="0" w:space="0" w:color="auto"/>
        <w:bottom w:val="none" w:sz="0" w:space="0" w:color="auto"/>
        <w:right w:val="none" w:sz="0" w:space="0" w:color="auto"/>
      </w:divBdr>
    </w:div>
    <w:div w:id="1340697543">
      <w:bodyDiv w:val="1"/>
      <w:marLeft w:val="0"/>
      <w:marRight w:val="0"/>
      <w:marTop w:val="0"/>
      <w:marBottom w:val="0"/>
      <w:divBdr>
        <w:top w:val="none" w:sz="0" w:space="0" w:color="auto"/>
        <w:left w:val="none" w:sz="0" w:space="0" w:color="auto"/>
        <w:bottom w:val="none" w:sz="0" w:space="0" w:color="auto"/>
        <w:right w:val="none" w:sz="0" w:space="0" w:color="auto"/>
      </w:divBdr>
    </w:div>
    <w:div w:id="1341082037">
      <w:bodyDiv w:val="1"/>
      <w:marLeft w:val="0"/>
      <w:marRight w:val="0"/>
      <w:marTop w:val="0"/>
      <w:marBottom w:val="0"/>
      <w:divBdr>
        <w:top w:val="none" w:sz="0" w:space="0" w:color="auto"/>
        <w:left w:val="none" w:sz="0" w:space="0" w:color="auto"/>
        <w:bottom w:val="none" w:sz="0" w:space="0" w:color="auto"/>
        <w:right w:val="none" w:sz="0" w:space="0" w:color="auto"/>
      </w:divBdr>
    </w:div>
    <w:div w:id="1361930804">
      <w:bodyDiv w:val="1"/>
      <w:marLeft w:val="0"/>
      <w:marRight w:val="0"/>
      <w:marTop w:val="0"/>
      <w:marBottom w:val="0"/>
      <w:divBdr>
        <w:top w:val="none" w:sz="0" w:space="0" w:color="auto"/>
        <w:left w:val="none" w:sz="0" w:space="0" w:color="auto"/>
        <w:bottom w:val="none" w:sz="0" w:space="0" w:color="auto"/>
        <w:right w:val="none" w:sz="0" w:space="0" w:color="auto"/>
      </w:divBdr>
    </w:div>
    <w:div w:id="1375933363">
      <w:bodyDiv w:val="1"/>
      <w:marLeft w:val="0"/>
      <w:marRight w:val="0"/>
      <w:marTop w:val="0"/>
      <w:marBottom w:val="0"/>
      <w:divBdr>
        <w:top w:val="none" w:sz="0" w:space="0" w:color="auto"/>
        <w:left w:val="none" w:sz="0" w:space="0" w:color="auto"/>
        <w:bottom w:val="none" w:sz="0" w:space="0" w:color="auto"/>
        <w:right w:val="none" w:sz="0" w:space="0" w:color="auto"/>
      </w:divBdr>
    </w:div>
    <w:div w:id="1379352048">
      <w:bodyDiv w:val="1"/>
      <w:marLeft w:val="0"/>
      <w:marRight w:val="0"/>
      <w:marTop w:val="0"/>
      <w:marBottom w:val="0"/>
      <w:divBdr>
        <w:top w:val="none" w:sz="0" w:space="0" w:color="auto"/>
        <w:left w:val="none" w:sz="0" w:space="0" w:color="auto"/>
        <w:bottom w:val="none" w:sz="0" w:space="0" w:color="auto"/>
        <w:right w:val="none" w:sz="0" w:space="0" w:color="auto"/>
      </w:divBdr>
    </w:div>
    <w:div w:id="1420247106">
      <w:bodyDiv w:val="1"/>
      <w:marLeft w:val="0"/>
      <w:marRight w:val="0"/>
      <w:marTop w:val="0"/>
      <w:marBottom w:val="0"/>
      <w:divBdr>
        <w:top w:val="none" w:sz="0" w:space="0" w:color="auto"/>
        <w:left w:val="none" w:sz="0" w:space="0" w:color="auto"/>
        <w:bottom w:val="none" w:sz="0" w:space="0" w:color="auto"/>
        <w:right w:val="none" w:sz="0" w:space="0" w:color="auto"/>
      </w:divBdr>
    </w:div>
    <w:div w:id="1427799533">
      <w:bodyDiv w:val="1"/>
      <w:marLeft w:val="0"/>
      <w:marRight w:val="0"/>
      <w:marTop w:val="0"/>
      <w:marBottom w:val="0"/>
      <w:divBdr>
        <w:top w:val="none" w:sz="0" w:space="0" w:color="auto"/>
        <w:left w:val="none" w:sz="0" w:space="0" w:color="auto"/>
        <w:bottom w:val="none" w:sz="0" w:space="0" w:color="auto"/>
        <w:right w:val="none" w:sz="0" w:space="0" w:color="auto"/>
      </w:divBdr>
    </w:div>
    <w:div w:id="1435052439">
      <w:bodyDiv w:val="1"/>
      <w:marLeft w:val="0"/>
      <w:marRight w:val="0"/>
      <w:marTop w:val="0"/>
      <w:marBottom w:val="0"/>
      <w:divBdr>
        <w:top w:val="none" w:sz="0" w:space="0" w:color="auto"/>
        <w:left w:val="none" w:sz="0" w:space="0" w:color="auto"/>
        <w:bottom w:val="none" w:sz="0" w:space="0" w:color="auto"/>
        <w:right w:val="none" w:sz="0" w:space="0" w:color="auto"/>
      </w:divBdr>
    </w:div>
    <w:div w:id="1480881472">
      <w:bodyDiv w:val="1"/>
      <w:marLeft w:val="0"/>
      <w:marRight w:val="0"/>
      <w:marTop w:val="0"/>
      <w:marBottom w:val="0"/>
      <w:divBdr>
        <w:top w:val="none" w:sz="0" w:space="0" w:color="auto"/>
        <w:left w:val="none" w:sz="0" w:space="0" w:color="auto"/>
        <w:bottom w:val="none" w:sz="0" w:space="0" w:color="auto"/>
        <w:right w:val="none" w:sz="0" w:space="0" w:color="auto"/>
      </w:divBdr>
    </w:div>
    <w:div w:id="1510487472">
      <w:bodyDiv w:val="1"/>
      <w:marLeft w:val="0"/>
      <w:marRight w:val="0"/>
      <w:marTop w:val="0"/>
      <w:marBottom w:val="0"/>
      <w:divBdr>
        <w:top w:val="none" w:sz="0" w:space="0" w:color="auto"/>
        <w:left w:val="none" w:sz="0" w:space="0" w:color="auto"/>
        <w:bottom w:val="none" w:sz="0" w:space="0" w:color="auto"/>
        <w:right w:val="none" w:sz="0" w:space="0" w:color="auto"/>
      </w:divBdr>
    </w:div>
    <w:div w:id="1515924535">
      <w:bodyDiv w:val="1"/>
      <w:marLeft w:val="0"/>
      <w:marRight w:val="0"/>
      <w:marTop w:val="0"/>
      <w:marBottom w:val="0"/>
      <w:divBdr>
        <w:top w:val="none" w:sz="0" w:space="0" w:color="auto"/>
        <w:left w:val="none" w:sz="0" w:space="0" w:color="auto"/>
        <w:bottom w:val="none" w:sz="0" w:space="0" w:color="auto"/>
        <w:right w:val="none" w:sz="0" w:space="0" w:color="auto"/>
      </w:divBdr>
    </w:div>
    <w:div w:id="1520318535">
      <w:bodyDiv w:val="1"/>
      <w:marLeft w:val="0"/>
      <w:marRight w:val="0"/>
      <w:marTop w:val="0"/>
      <w:marBottom w:val="0"/>
      <w:divBdr>
        <w:top w:val="none" w:sz="0" w:space="0" w:color="auto"/>
        <w:left w:val="none" w:sz="0" w:space="0" w:color="auto"/>
        <w:bottom w:val="none" w:sz="0" w:space="0" w:color="auto"/>
        <w:right w:val="none" w:sz="0" w:space="0" w:color="auto"/>
      </w:divBdr>
    </w:div>
    <w:div w:id="1537892818">
      <w:bodyDiv w:val="1"/>
      <w:marLeft w:val="0"/>
      <w:marRight w:val="0"/>
      <w:marTop w:val="0"/>
      <w:marBottom w:val="0"/>
      <w:divBdr>
        <w:top w:val="none" w:sz="0" w:space="0" w:color="auto"/>
        <w:left w:val="none" w:sz="0" w:space="0" w:color="auto"/>
        <w:bottom w:val="none" w:sz="0" w:space="0" w:color="auto"/>
        <w:right w:val="none" w:sz="0" w:space="0" w:color="auto"/>
      </w:divBdr>
    </w:div>
    <w:div w:id="1546989796">
      <w:bodyDiv w:val="1"/>
      <w:marLeft w:val="0"/>
      <w:marRight w:val="0"/>
      <w:marTop w:val="0"/>
      <w:marBottom w:val="0"/>
      <w:divBdr>
        <w:top w:val="none" w:sz="0" w:space="0" w:color="auto"/>
        <w:left w:val="none" w:sz="0" w:space="0" w:color="auto"/>
        <w:bottom w:val="none" w:sz="0" w:space="0" w:color="auto"/>
        <w:right w:val="none" w:sz="0" w:space="0" w:color="auto"/>
      </w:divBdr>
    </w:div>
    <w:div w:id="1571498910">
      <w:bodyDiv w:val="1"/>
      <w:marLeft w:val="0"/>
      <w:marRight w:val="0"/>
      <w:marTop w:val="0"/>
      <w:marBottom w:val="0"/>
      <w:divBdr>
        <w:top w:val="none" w:sz="0" w:space="0" w:color="auto"/>
        <w:left w:val="none" w:sz="0" w:space="0" w:color="auto"/>
        <w:bottom w:val="none" w:sz="0" w:space="0" w:color="auto"/>
        <w:right w:val="none" w:sz="0" w:space="0" w:color="auto"/>
      </w:divBdr>
    </w:div>
    <w:div w:id="1571573995">
      <w:bodyDiv w:val="1"/>
      <w:marLeft w:val="0"/>
      <w:marRight w:val="0"/>
      <w:marTop w:val="0"/>
      <w:marBottom w:val="0"/>
      <w:divBdr>
        <w:top w:val="none" w:sz="0" w:space="0" w:color="auto"/>
        <w:left w:val="none" w:sz="0" w:space="0" w:color="auto"/>
        <w:bottom w:val="none" w:sz="0" w:space="0" w:color="auto"/>
        <w:right w:val="none" w:sz="0" w:space="0" w:color="auto"/>
      </w:divBdr>
    </w:div>
    <w:div w:id="1581717645">
      <w:bodyDiv w:val="1"/>
      <w:marLeft w:val="0"/>
      <w:marRight w:val="0"/>
      <w:marTop w:val="0"/>
      <w:marBottom w:val="0"/>
      <w:divBdr>
        <w:top w:val="none" w:sz="0" w:space="0" w:color="auto"/>
        <w:left w:val="none" w:sz="0" w:space="0" w:color="auto"/>
        <w:bottom w:val="none" w:sz="0" w:space="0" w:color="auto"/>
        <w:right w:val="none" w:sz="0" w:space="0" w:color="auto"/>
      </w:divBdr>
    </w:div>
    <w:div w:id="1582107310">
      <w:bodyDiv w:val="1"/>
      <w:marLeft w:val="0"/>
      <w:marRight w:val="0"/>
      <w:marTop w:val="0"/>
      <w:marBottom w:val="0"/>
      <w:divBdr>
        <w:top w:val="none" w:sz="0" w:space="0" w:color="auto"/>
        <w:left w:val="none" w:sz="0" w:space="0" w:color="auto"/>
        <w:bottom w:val="none" w:sz="0" w:space="0" w:color="auto"/>
        <w:right w:val="none" w:sz="0" w:space="0" w:color="auto"/>
      </w:divBdr>
    </w:div>
    <w:div w:id="1613242123">
      <w:bodyDiv w:val="1"/>
      <w:marLeft w:val="0"/>
      <w:marRight w:val="0"/>
      <w:marTop w:val="0"/>
      <w:marBottom w:val="0"/>
      <w:divBdr>
        <w:top w:val="none" w:sz="0" w:space="0" w:color="auto"/>
        <w:left w:val="none" w:sz="0" w:space="0" w:color="auto"/>
        <w:bottom w:val="none" w:sz="0" w:space="0" w:color="auto"/>
        <w:right w:val="none" w:sz="0" w:space="0" w:color="auto"/>
      </w:divBdr>
    </w:div>
    <w:div w:id="1624537573">
      <w:bodyDiv w:val="1"/>
      <w:marLeft w:val="0"/>
      <w:marRight w:val="0"/>
      <w:marTop w:val="0"/>
      <w:marBottom w:val="0"/>
      <w:divBdr>
        <w:top w:val="none" w:sz="0" w:space="0" w:color="auto"/>
        <w:left w:val="none" w:sz="0" w:space="0" w:color="auto"/>
        <w:bottom w:val="none" w:sz="0" w:space="0" w:color="auto"/>
        <w:right w:val="none" w:sz="0" w:space="0" w:color="auto"/>
      </w:divBdr>
    </w:div>
    <w:div w:id="1692293156">
      <w:bodyDiv w:val="1"/>
      <w:marLeft w:val="0"/>
      <w:marRight w:val="0"/>
      <w:marTop w:val="0"/>
      <w:marBottom w:val="0"/>
      <w:divBdr>
        <w:top w:val="none" w:sz="0" w:space="0" w:color="auto"/>
        <w:left w:val="none" w:sz="0" w:space="0" w:color="auto"/>
        <w:bottom w:val="none" w:sz="0" w:space="0" w:color="auto"/>
        <w:right w:val="none" w:sz="0" w:space="0" w:color="auto"/>
      </w:divBdr>
    </w:div>
    <w:div w:id="1719625502">
      <w:bodyDiv w:val="1"/>
      <w:marLeft w:val="0"/>
      <w:marRight w:val="0"/>
      <w:marTop w:val="0"/>
      <w:marBottom w:val="0"/>
      <w:divBdr>
        <w:top w:val="none" w:sz="0" w:space="0" w:color="auto"/>
        <w:left w:val="none" w:sz="0" w:space="0" w:color="auto"/>
        <w:bottom w:val="none" w:sz="0" w:space="0" w:color="auto"/>
        <w:right w:val="none" w:sz="0" w:space="0" w:color="auto"/>
      </w:divBdr>
    </w:div>
    <w:div w:id="1751384585">
      <w:bodyDiv w:val="1"/>
      <w:marLeft w:val="0"/>
      <w:marRight w:val="0"/>
      <w:marTop w:val="0"/>
      <w:marBottom w:val="0"/>
      <w:divBdr>
        <w:top w:val="none" w:sz="0" w:space="0" w:color="auto"/>
        <w:left w:val="none" w:sz="0" w:space="0" w:color="auto"/>
        <w:bottom w:val="none" w:sz="0" w:space="0" w:color="auto"/>
        <w:right w:val="none" w:sz="0" w:space="0" w:color="auto"/>
      </w:divBdr>
    </w:div>
    <w:div w:id="1755857842">
      <w:bodyDiv w:val="1"/>
      <w:marLeft w:val="0"/>
      <w:marRight w:val="0"/>
      <w:marTop w:val="0"/>
      <w:marBottom w:val="0"/>
      <w:divBdr>
        <w:top w:val="none" w:sz="0" w:space="0" w:color="auto"/>
        <w:left w:val="none" w:sz="0" w:space="0" w:color="auto"/>
        <w:bottom w:val="none" w:sz="0" w:space="0" w:color="auto"/>
        <w:right w:val="none" w:sz="0" w:space="0" w:color="auto"/>
      </w:divBdr>
    </w:div>
    <w:div w:id="1756703262">
      <w:bodyDiv w:val="1"/>
      <w:marLeft w:val="0"/>
      <w:marRight w:val="0"/>
      <w:marTop w:val="0"/>
      <w:marBottom w:val="0"/>
      <w:divBdr>
        <w:top w:val="none" w:sz="0" w:space="0" w:color="auto"/>
        <w:left w:val="none" w:sz="0" w:space="0" w:color="auto"/>
        <w:bottom w:val="none" w:sz="0" w:space="0" w:color="auto"/>
        <w:right w:val="none" w:sz="0" w:space="0" w:color="auto"/>
      </w:divBdr>
    </w:div>
    <w:div w:id="1759015221">
      <w:bodyDiv w:val="1"/>
      <w:marLeft w:val="0"/>
      <w:marRight w:val="0"/>
      <w:marTop w:val="0"/>
      <w:marBottom w:val="0"/>
      <w:divBdr>
        <w:top w:val="none" w:sz="0" w:space="0" w:color="auto"/>
        <w:left w:val="none" w:sz="0" w:space="0" w:color="auto"/>
        <w:bottom w:val="none" w:sz="0" w:space="0" w:color="auto"/>
        <w:right w:val="none" w:sz="0" w:space="0" w:color="auto"/>
      </w:divBdr>
    </w:div>
    <w:div w:id="1814367135">
      <w:bodyDiv w:val="1"/>
      <w:marLeft w:val="0"/>
      <w:marRight w:val="0"/>
      <w:marTop w:val="0"/>
      <w:marBottom w:val="0"/>
      <w:divBdr>
        <w:top w:val="none" w:sz="0" w:space="0" w:color="auto"/>
        <w:left w:val="none" w:sz="0" w:space="0" w:color="auto"/>
        <w:bottom w:val="none" w:sz="0" w:space="0" w:color="auto"/>
        <w:right w:val="none" w:sz="0" w:space="0" w:color="auto"/>
      </w:divBdr>
    </w:div>
    <w:div w:id="1820534379">
      <w:bodyDiv w:val="1"/>
      <w:marLeft w:val="0"/>
      <w:marRight w:val="0"/>
      <w:marTop w:val="0"/>
      <w:marBottom w:val="0"/>
      <w:divBdr>
        <w:top w:val="none" w:sz="0" w:space="0" w:color="auto"/>
        <w:left w:val="none" w:sz="0" w:space="0" w:color="auto"/>
        <w:bottom w:val="none" w:sz="0" w:space="0" w:color="auto"/>
        <w:right w:val="none" w:sz="0" w:space="0" w:color="auto"/>
      </w:divBdr>
    </w:div>
    <w:div w:id="1833448554">
      <w:bodyDiv w:val="1"/>
      <w:marLeft w:val="0"/>
      <w:marRight w:val="0"/>
      <w:marTop w:val="0"/>
      <w:marBottom w:val="0"/>
      <w:divBdr>
        <w:top w:val="none" w:sz="0" w:space="0" w:color="auto"/>
        <w:left w:val="none" w:sz="0" w:space="0" w:color="auto"/>
        <w:bottom w:val="none" w:sz="0" w:space="0" w:color="auto"/>
        <w:right w:val="none" w:sz="0" w:space="0" w:color="auto"/>
      </w:divBdr>
    </w:div>
    <w:div w:id="1849833518">
      <w:bodyDiv w:val="1"/>
      <w:marLeft w:val="0"/>
      <w:marRight w:val="0"/>
      <w:marTop w:val="0"/>
      <w:marBottom w:val="0"/>
      <w:divBdr>
        <w:top w:val="none" w:sz="0" w:space="0" w:color="auto"/>
        <w:left w:val="none" w:sz="0" w:space="0" w:color="auto"/>
        <w:bottom w:val="none" w:sz="0" w:space="0" w:color="auto"/>
        <w:right w:val="none" w:sz="0" w:space="0" w:color="auto"/>
      </w:divBdr>
    </w:div>
    <w:div w:id="1881168960">
      <w:bodyDiv w:val="1"/>
      <w:marLeft w:val="0"/>
      <w:marRight w:val="0"/>
      <w:marTop w:val="0"/>
      <w:marBottom w:val="0"/>
      <w:divBdr>
        <w:top w:val="none" w:sz="0" w:space="0" w:color="auto"/>
        <w:left w:val="none" w:sz="0" w:space="0" w:color="auto"/>
        <w:bottom w:val="none" w:sz="0" w:space="0" w:color="auto"/>
        <w:right w:val="none" w:sz="0" w:space="0" w:color="auto"/>
      </w:divBdr>
    </w:div>
    <w:div w:id="1897350511">
      <w:bodyDiv w:val="1"/>
      <w:marLeft w:val="0"/>
      <w:marRight w:val="0"/>
      <w:marTop w:val="0"/>
      <w:marBottom w:val="0"/>
      <w:divBdr>
        <w:top w:val="none" w:sz="0" w:space="0" w:color="auto"/>
        <w:left w:val="none" w:sz="0" w:space="0" w:color="auto"/>
        <w:bottom w:val="none" w:sz="0" w:space="0" w:color="auto"/>
        <w:right w:val="none" w:sz="0" w:space="0" w:color="auto"/>
      </w:divBdr>
    </w:div>
    <w:div w:id="1901090864">
      <w:bodyDiv w:val="1"/>
      <w:marLeft w:val="0"/>
      <w:marRight w:val="0"/>
      <w:marTop w:val="0"/>
      <w:marBottom w:val="0"/>
      <w:divBdr>
        <w:top w:val="none" w:sz="0" w:space="0" w:color="auto"/>
        <w:left w:val="none" w:sz="0" w:space="0" w:color="auto"/>
        <w:bottom w:val="none" w:sz="0" w:space="0" w:color="auto"/>
        <w:right w:val="none" w:sz="0" w:space="0" w:color="auto"/>
      </w:divBdr>
    </w:div>
    <w:div w:id="1929659181">
      <w:bodyDiv w:val="1"/>
      <w:marLeft w:val="0"/>
      <w:marRight w:val="0"/>
      <w:marTop w:val="0"/>
      <w:marBottom w:val="0"/>
      <w:divBdr>
        <w:top w:val="none" w:sz="0" w:space="0" w:color="auto"/>
        <w:left w:val="none" w:sz="0" w:space="0" w:color="auto"/>
        <w:bottom w:val="none" w:sz="0" w:space="0" w:color="auto"/>
        <w:right w:val="none" w:sz="0" w:space="0" w:color="auto"/>
      </w:divBdr>
    </w:div>
    <w:div w:id="1932934949">
      <w:bodyDiv w:val="1"/>
      <w:marLeft w:val="0"/>
      <w:marRight w:val="0"/>
      <w:marTop w:val="0"/>
      <w:marBottom w:val="0"/>
      <w:divBdr>
        <w:top w:val="none" w:sz="0" w:space="0" w:color="auto"/>
        <w:left w:val="none" w:sz="0" w:space="0" w:color="auto"/>
        <w:bottom w:val="none" w:sz="0" w:space="0" w:color="auto"/>
        <w:right w:val="none" w:sz="0" w:space="0" w:color="auto"/>
      </w:divBdr>
    </w:div>
    <w:div w:id="1943299055">
      <w:bodyDiv w:val="1"/>
      <w:marLeft w:val="0"/>
      <w:marRight w:val="0"/>
      <w:marTop w:val="0"/>
      <w:marBottom w:val="0"/>
      <w:divBdr>
        <w:top w:val="none" w:sz="0" w:space="0" w:color="auto"/>
        <w:left w:val="none" w:sz="0" w:space="0" w:color="auto"/>
        <w:bottom w:val="none" w:sz="0" w:space="0" w:color="auto"/>
        <w:right w:val="none" w:sz="0" w:space="0" w:color="auto"/>
      </w:divBdr>
    </w:div>
    <w:div w:id="1948191797">
      <w:bodyDiv w:val="1"/>
      <w:marLeft w:val="0"/>
      <w:marRight w:val="0"/>
      <w:marTop w:val="0"/>
      <w:marBottom w:val="0"/>
      <w:divBdr>
        <w:top w:val="none" w:sz="0" w:space="0" w:color="auto"/>
        <w:left w:val="none" w:sz="0" w:space="0" w:color="auto"/>
        <w:bottom w:val="none" w:sz="0" w:space="0" w:color="auto"/>
        <w:right w:val="none" w:sz="0" w:space="0" w:color="auto"/>
      </w:divBdr>
    </w:div>
    <w:div w:id="1989244667">
      <w:bodyDiv w:val="1"/>
      <w:marLeft w:val="0"/>
      <w:marRight w:val="0"/>
      <w:marTop w:val="0"/>
      <w:marBottom w:val="0"/>
      <w:divBdr>
        <w:top w:val="none" w:sz="0" w:space="0" w:color="auto"/>
        <w:left w:val="none" w:sz="0" w:space="0" w:color="auto"/>
        <w:bottom w:val="none" w:sz="0" w:space="0" w:color="auto"/>
        <w:right w:val="none" w:sz="0" w:space="0" w:color="auto"/>
      </w:divBdr>
    </w:div>
    <w:div w:id="2026974671">
      <w:bodyDiv w:val="1"/>
      <w:marLeft w:val="0"/>
      <w:marRight w:val="0"/>
      <w:marTop w:val="0"/>
      <w:marBottom w:val="0"/>
      <w:divBdr>
        <w:top w:val="none" w:sz="0" w:space="0" w:color="auto"/>
        <w:left w:val="none" w:sz="0" w:space="0" w:color="auto"/>
        <w:bottom w:val="none" w:sz="0" w:space="0" w:color="auto"/>
        <w:right w:val="none" w:sz="0" w:space="0" w:color="auto"/>
      </w:divBdr>
    </w:div>
    <w:div w:id="2079784987">
      <w:bodyDiv w:val="1"/>
      <w:marLeft w:val="0"/>
      <w:marRight w:val="0"/>
      <w:marTop w:val="0"/>
      <w:marBottom w:val="0"/>
      <w:divBdr>
        <w:top w:val="none" w:sz="0" w:space="0" w:color="auto"/>
        <w:left w:val="none" w:sz="0" w:space="0" w:color="auto"/>
        <w:bottom w:val="none" w:sz="0" w:space="0" w:color="auto"/>
        <w:right w:val="none" w:sz="0" w:space="0" w:color="auto"/>
      </w:divBdr>
    </w:div>
    <w:div w:id="2082940324">
      <w:bodyDiv w:val="1"/>
      <w:marLeft w:val="0"/>
      <w:marRight w:val="0"/>
      <w:marTop w:val="0"/>
      <w:marBottom w:val="0"/>
      <w:divBdr>
        <w:top w:val="none" w:sz="0" w:space="0" w:color="auto"/>
        <w:left w:val="none" w:sz="0" w:space="0" w:color="auto"/>
        <w:bottom w:val="none" w:sz="0" w:space="0" w:color="auto"/>
        <w:right w:val="none" w:sz="0" w:space="0" w:color="auto"/>
      </w:divBdr>
    </w:div>
    <w:div w:id="2089961851">
      <w:bodyDiv w:val="1"/>
      <w:marLeft w:val="0"/>
      <w:marRight w:val="0"/>
      <w:marTop w:val="0"/>
      <w:marBottom w:val="0"/>
      <w:divBdr>
        <w:top w:val="none" w:sz="0" w:space="0" w:color="auto"/>
        <w:left w:val="none" w:sz="0" w:space="0" w:color="auto"/>
        <w:bottom w:val="none" w:sz="0" w:space="0" w:color="auto"/>
        <w:right w:val="none" w:sz="0" w:space="0" w:color="auto"/>
      </w:divBdr>
    </w:div>
    <w:div w:id="2095584335">
      <w:bodyDiv w:val="1"/>
      <w:marLeft w:val="0"/>
      <w:marRight w:val="0"/>
      <w:marTop w:val="0"/>
      <w:marBottom w:val="0"/>
      <w:divBdr>
        <w:top w:val="none" w:sz="0" w:space="0" w:color="auto"/>
        <w:left w:val="none" w:sz="0" w:space="0" w:color="auto"/>
        <w:bottom w:val="none" w:sz="0" w:space="0" w:color="auto"/>
        <w:right w:val="none" w:sz="0" w:space="0" w:color="auto"/>
      </w:divBdr>
    </w:div>
    <w:div w:id="2111394318">
      <w:bodyDiv w:val="1"/>
      <w:marLeft w:val="0"/>
      <w:marRight w:val="0"/>
      <w:marTop w:val="0"/>
      <w:marBottom w:val="0"/>
      <w:divBdr>
        <w:top w:val="none" w:sz="0" w:space="0" w:color="auto"/>
        <w:left w:val="none" w:sz="0" w:space="0" w:color="auto"/>
        <w:bottom w:val="none" w:sz="0" w:space="0" w:color="auto"/>
        <w:right w:val="none" w:sz="0" w:space="0" w:color="auto"/>
      </w:divBdr>
    </w:div>
    <w:div w:id="2114086846">
      <w:bodyDiv w:val="1"/>
      <w:marLeft w:val="0"/>
      <w:marRight w:val="0"/>
      <w:marTop w:val="0"/>
      <w:marBottom w:val="0"/>
      <w:divBdr>
        <w:top w:val="none" w:sz="0" w:space="0" w:color="auto"/>
        <w:left w:val="none" w:sz="0" w:space="0" w:color="auto"/>
        <w:bottom w:val="none" w:sz="0" w:space="0" w:color="auto"/>
        <w:right w:val="none" w:sz="0" w:space="0" w:color="auto"/>
      </w:divBdr>
    </w:div>
    <w:div w:id="2131895065">
      <w:bodyDiv w:val="1"/>
      <w:marLeft w:val="0"/>
      <w:marRight w:val="0"/>
      <w:marTop w:val="0"/>
      <w:marBottom w:val="0"/>
      <w:divBdr>
        <w:top w:val="none" w:sz="0" w:space="0" w:color="auto"/>
        <w:left w:val="none" w:sz="0" w:space="0" w:color="auto"/>
        <w:bottom w:val="none" w:sz="0" w:space="0" w:color="auto"/>
        <w:right w:val="none" w:sz="0" w:space="0" w:color="auto"/>
      </w:divBdr>
    </w:div>
    <w:div w:id="21429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lauraosornobedoya:Dropbox:my:UNAL:maestria:tesis:tesi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Macintosh%20HD:Users:lauraosornobedoya:Dropbox:my:UNAL:maestria:tesis:tesi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Macintosh%20HD:Users:lauraosornobedoya:Dropbox:my:UNAL:maestria:tesis:tesi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Macintosh%20HD:Users:lauraosornobedoya:Dropbox:my:UNAL:maestria:tesis:tesi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Macintosh%20HD:Users:lauraosornobedoya:Dropbox:my:UNAL:maestria:tesis:tesi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Macintosh%20HD:Users:lauraosornobedoya:Dropbox:my:UNAL:maestria:tesis:tesis.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Macintosh%20HD:Users:lauraosornobedoya:Dropbox:my:UNAL:maestria:tesis:tesis.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Macintosh%20HD:Users:lauraosornobedoya:Dropbox:my:UNAL:maestria:tesis:t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style val="1"/>
  <c:chart>
    <c:plotArea>
      <c:layout>
        <c:manualLayout>
          <c:layoutTarget val="inner"/>
          <c:xMode val="edge"/>
          <c:yMode val="edge"/>
          <c:x val="0.12248526881159702"/>
          <c:y val="0.16612570025605394"/>
          <c:w val="0.83543341850480823"/>
          <c:h val="0.67035323370956523"/>
        </c:manualLayout>
      </c:layout>
      <c:barChart>
        <c:barDir val="col"/>
        <c:grouping val="clustered"/>
        <c:ser>
          <c:idx val="0"/>
          <c:order val="0"/>
          <c:tx>
            <c:v>No inoculado</c:v>
          </c:tx>
          <c:spPr>
            <a:solidFill>
              <a:schemeClr val="bg1">
                <a:lumMod val="50000"/>
              </a:schemeClr>
            </a:solidFill>
            <a:ln w="12700">
              <a:solidFill>
                <a:sysClr val="windowText" lastClr="000000"/>
              </a:solidFill>
            </a:ln>
          </c:spPr>
          <c:errBars>
            <c:errBarType val="both"/>
            <c:errValType val="cust"/>
            <c:plus>
              <c:numRef>
                <c:f>'E5 Pi'!$AB$17:$AB$22</c:f>
                <c:numCache>
                  <c:formatCode>General</c:formatCode>
                  <c:ptCount val="6"/>
                  <c:pt idx="0">
                    <c:v>1.5000000000000005E-2</c:v>
                  </c:pt>
                  <c:pt idx="1">
                    <c:v>1.5000000000000005E-2</c:v>
                  </c:pt>
                  <c:pt idx="2">
                    <c:v>1.5000000000000005E-2</c:v>
                  </c:pt>
                  <c:pt idx="3">
                    <c:v>1.5000000000000005E-2</c:v>
                  </c:pt>
                  <c:pt idx="4">
                    <c:v>1.5000000000000005E-2</c:v>
                  </c:pt>
                  <c:pt idx="5">
                    <c:v>1.5000000000000005E-2</c:v>
                  </c:pt>
                </c:numCache>
              </c:numRef>
            </c:plus>
            <c:minus>
              <c:numRef>
                <c:f>'E5 Pi'!$AB$17:$AB$22</c:f>
                <c:numCache>
                  <c:formatCode>General</c:formatCode>
                  <c:ptCount val="6"/>
                  <c:pt idx="0">
                    <c:v>1.5000000000000005E-2</c:v>
                  </c:pt>
                  <c:pt idx="1">
                    <c:v>1.5000000000000005E-2</c:v>
                  </c:pt>
                  <c:pt idx="2">
                    <c:v>1.5000000000000005E-2</c:v>
                  </c:pt>
                  <c:pt idx="3">
                    <c:v>1.5000000000000005E-2</c:v>
                  </c:pt>
                  <c:pt idx="4">
                    <c:v>1.5000000000000005E-2</c:v>
                  </c:pt>
                  <c:pt idx="5">
                    <c:v>1.5000000000000005E-2</c:v>
                  </c:pt>
                </c:numCache>
              </c:numRef>
            </c:minus>
          </c:errBars>
          <c:cat>
            <c:numRef>
              <c:f>'E5 Pi'!$R$17:$R$22</c:f>
              <c:numCache>
                <c:formatCode>General</c:formatCode>
                <c:ptCount val="6"/>
                <c:pt idx="0">
                  <c:v>0</c:v>
                </c:pt>
                <c:pt idx="1">
                  <c:v>1</c:v>
                </c:pt>
                <c:pt idx="2">
                  <c:v>5</c:v>
                </c:pt>
                <c:pt idx="3">
                  <c:v>10</c:v>
                </c:pt>
                <c:pt idx="4">
                  <c:v>50</c:v>
                </c:pt>
                <c:pt idx="5">
                  <c:v>100</c:v>
                </c:pt>
              </c:numCache>
            </c:numRef>
          </c:cat>
          <c:val>
            <c:numRef>
              <c:f>'E5 Pi'!$V$17:$V$22</c:f>
              <c:numCache>
                <c:formatCode>General</c:formatCode>
                <c:ptCount val="6"/>
                <c:pt idx="0">
                  <c:v>7.5</c:v>
                </c:pt>
                <c:pt idx="1">
                  <c:v>7.5</c:v>
                </c:pt>
                <c:pt idx="2">
                  <c:v>7.5</c:v>
                </c:pt>
                <c:pt idx="3">
                  <c:v>7.5</c:v>
                </c:pt>
                <c:pt idx="4">
                  <c:v>7.5</c:v>
                </c:pt>
                <c:pt idx="5">
                  <c:v>7.5</c:v>
                </c:pt>
              </c:numCache>
            </c:numRef>
          </c:val>
          <c:extLst xmlns:c16r2="http://schemas.microsoft.com/office/drawing/2015/06/chart">
            <c:ext xmlns:c16="http://schemas.microsoft.com/office/drawing/2014/chart" uri="{C3380CC4-5D6E-409C-BE32-E72D297353CC}">
              <c16:uniqueId val="{00000000-C4B6-4BC4-B619-1BFEB671ED39}"/>
            </c:ext>
          </c:extLst>
        </c:ser>
        <c:ser>
          <c:idx val="2"/>
          <c:order val="1"/>
          <c:tx>
            <c:v>Inoculado</c:v>
          </c:tx>
          <c:spPr>
            <a:solidFill>
              <a:schemeClr val="bg1"/>
            </a:solidFill>
            <a:ln>
              <a:solidFill>
                <a:sysClr val="windowText" lastClr="000000"/>
              </a:solidFill>
            </a:ln>
          </c:spPr>
          <c:errBars>
            <c:errBarType val="both"/>
            <c:errValType val="cust"/>
            <c:plus>
              <c:numRef>
                <c:f>'E5 Pi'!$AC$17:$AC$22</c:f>
                <c:numCache>
                  <c:formatCode>General</c:formatCode>
                  <c:ptCount val="6"/>
                  <c:pt idx="0">
                    <c:v>2.5000000000000008E-2</c:v>
                  </c:pt>
                  <c:pt idx="1">
                    <c:v>1.5000000000000005E-2</c:v>
                  </c:pt>
                  <c:pt idx="2">
                    <c:v>3.3040399999999998E-2</c:v>
                  </c:pt>
                  <c:pt idx="3">
                    <c:v>8.1649700000000033E-2</c:v>
                  </c:pt>
                  <c:pt idx="4">
                    <c:v>0.05</c:v>
                  </c:pt>
                  <c:pt idx="5">
                    <c:v>0.113578</c:v>
                  </c:pt>
                </c:numCache>
              </c:numRef>
            </c:plus>
            <c:minus>
              <c:numRef>
                <c:f>'E5 Pi'!$AC$17:$AC$22</c:f>
                <c:numCache>
                  <c:formatCode>General</c:formatCode>
                  <c:ptCount val="6"/>
                  <c:pt idx="0">
                    <c:v>2.5000000000000008E-2</c:v>
                  </c:pt>
                  <c:pt idx="1">
                    <c:v>1.5000000000000005E-2</c:v>
                  </c:pt>
                  <c:pt idx="2">
                    <c:v>3.3040399999999998E-2</c:v>
                  </c:pt>
                  <c:pt idx="3">
                    <c:v>8.1649700000000033E-2</c:v>
                  </c:pt>
                  <c:pt idx="4">
                    <c:v>0.05</c:v>
                  </c:pt>
                  <c:pt idx="5">
                    <c:v>0.113578</c:v>
                  </c:pt>
                </c:numCache>
              </c:numRef>
            </c:minus>
          </c:errBars>
          <c:cat>
            <c:numRef>
              <c:f>'E5 Pi'!$R$17:$R$22</c:f>
              <c:numCache>
                <c:formatCode>General</c:formatCode>
                <c:ptCount val="6"/>
                <c:pt idx="0">
                  <c:v>0</c:v>
                </c:pt>
                <c:pt idx="1">
                  <c:v>1</c:v>
                </c:pt>
                <c:pt idx="2">
                  <c:v>5</c:v>
                </c:pt>
                <c:pt idx="3">
                  <c:v>10</c:v>
                </c:pt>
                <c:pt idx="4">
                  <c:v>50</c:v>
                </c:pt>
                <c:pt idx="5">
                  <c:v>100</c:v>
                </c:pt>
              </c:numCache>
            </c:numRef>
          </c:cat>
          <c:val>
            <c:numRef>
              <c:f>'E5 Pi'!$W$17:$W$22</c:f>
              <c:numCache>
                <c:formatCode>General</c:formatCode>
                <c:ptCount val="6"/>
                <c:pt idx="0">
                  <c:v>3.1875000000000058</c:v>
                </c:pt>
                <c:pt idx="1">
                  <c:v>3.1825000000000001</c:v>
                </c:pt>
                <c:pt idx="2">
                  <c:v>3.0625</c:v>
                </c:pt>
                <c:pt idx="3">
                  <c:v>5.8</c:v>
                </c:pt>
                <c:pt idx="4">
                  <c:v>5.5249999999999799</c:v>
                </c:pt>
                <c:pt idx="5">
                  <c:v>5.585</c:v>
                </c:pt>
              </c:numCache>
            </c:numRef>
          </c:val>
          <c:extLst xmlns:c16r2="http://schemas.microsoft.com/office/drawing/2015/06/chart">
            <c:ext xmlns:c16="http://schemas.microsoft.com/office/drawing/2014/chart" uri="{C3380CC4-5D6E-409C-BE32-E72D297353CC}">
              <c16:uniqueId val="{00000001-C4B6-4BC4-B619-1BFEB671ED39}"/>
            </c:ext>
          </c:extLst>
        </c:ser>
        <c:axId val="180605312"/>
        <c:axId val="187294464"/>
      </c:barChart>
      <c:catAx>
        <c:axId val="180605312"/>
        <c:scaling>
          <c:orientation val="minMax"/>
        </c:scaling>
        <c:axPos val="b"/>
        <c:title>
          <c:tx>
            <c:rich>
              <a:bodyPr/>
              <a:lstStyle/>
              <a:p>
                <a:pPr>
                  <a:defRPr/>
                </a:pPr>
                <a:r>
                  <a:rPr lang="es-CO"/>
                  <a:t>Concentración de P inicial </a:t>
                </a:r>
                <a:r>
                  <a:rPr lang="es-CO" baseline="0"/>
                  <a:t>(</a:t>
                </a:r>
                <a:r>
                  <a:rPr lang="es-CO"/>
                  <a:t>mg</a:t>
                </a:r>
                <a:r>
                  <a:rPr lang="es-CO" baseline="0"/>
                  <a:t> </a:t>
                </a:r>
                <a:r>
                  <a:rPr lang="es-CO"/>
                  <a:t>L</a:t>
                </a:r>
                <a:r>
                  <a:rPr lang="es-CO" baseline="30000"/>
                  <a:t>-1</a:t>
                </a:r>
                <a:r>
                  <a:rPr lang="es-CO"/>
                  <a:t>)</a:t>
                </a:r>
              </a:p>
            </c:rich>
          </c:tx>
        </c:title>
        <c:numFmt formatCode="General" sourceLinked="1"/>
        <c:tickLblPos val="nextTo"/>
        <c:crossAx val="187294464"/>
        <c:crosses val="autoZero"/>
        <c:auto val="1"/>
        <c:lblAlgn val="ctr"/>
        <c:lblOffset val="100"/>
        <c:noMultiLvlLbl val="1"/>
      </c:catAx>
      <c:valAx>
        <c:axId val="187294464"/>
        <c:scaling>
          <c:orientation val="minMax"/>
          <c:min val="0"/>
        </c:scaling>
        <c:axPos val="l"/>
        <c:title>
          <c:tx>
            <c:rich>
              <a:bodyPr rot="-5400000" vert="horz"/>
              <a:lstStyle/>
              <a:p>
                <a:pPr>
                  <a:defRPr/>
                </a:pPr>
                <a:r>
                  <a:rPr lang="es-CO"/>
                  <a:t>pH de la solución</a:t>
                </a:r>
              </a:p>
            </c:rich>
          </c:tx>
        </c:title>
        <c:numFmt formatCode="General" sourceLinked="1"/>
        <c:tickLblPos val="nextTo"/>
        <c:crossAx val="180605312"/>
        <c:crosses val="autoZero"/>
        <c:crossBetween val="between"/>
        <c:majorUnit val="2"/>
      </c:valAx>
    </c:plotArea>
    <c:legend>
      <c:legendPos val="t"/>
      <c:legendEntry>
        <c:idx val="1"/>
        <c:txPr>
          <a:bodyPr/>
          <a:lstStyle/>
          <a:p>
            <a:pPr>
              <a:defRPr i="0"/>
            </a:pPr>
            <a:endParaRPr lang="es-CO"/>
          </a:p>
        </c:txPr>
      </c:legendEntry>
      <c:layout>
        <c:manualLayout>
          <c:xMode val="edge"/>
          <c:yMode val="edge"/>
          <c:x val="0.19242252003267796"/>
          <c:y val="1.1634671320535205E-2"/>
          <c:w val="0.61515495993464397"/>
          <c:h val="0.11682904820143603"/>
        </c:manualLayout>
      </c:layout>
    </c:legend>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style val="1"/>
  <c:chart>
    <c:autoTitleDeleted val="1"/>
    <c:plotArea>
      <c:layout>
        <c:manualLayout>
          <c:layoutTarget val="inner"/>
          <c:xMode val="edge"/>
          <c:yMode val="edge"/>
          <c:x val="0.14818485771353795"/>
          <c:y val="7.979746673985702E-2"/>
          <c:w val="0.79779164236364142"/>
          <c:h val="0.75854549431321339"/>
        </c:manualLayout>
      </c:layout>
      <c:barChart>
        <c:barDir val="col"/>
        <c:grouping val="clustered"/>
        <c:ser>
          <c:idx val="2"/>
          <c:order val="0"/>
          <c:tx>
            <c:v>Mortierella sp.</c:v>
          </c:tx>
          <c:spPr>
            <a:noFill/>
            <a:ln>
              <a:solidFill>
                <a:sysClr val="windowText" lastClr="000000"/>
              </a:solidFill>
            </a:ln>
          </c:spPr>
          <c:errBars>
            <c:errBarType val="both"/>
            <c:errValType val="cust"/>
            <c:plus>
              <c:numRef>
                <c:f>'Pi como P neto'!$Q$5:$Q$10</c:f>
                <c:numCache>
                  <c:formatCode>General</c:formatCode>
                  <c:ptCount val="6"/>
                  <c:pt idx="0">
                    <c:v>3.6305700000000001</c:v>
                  </c:pt>
                  <c:pt idx="1">
                    <c:v>1.7706599999999999</c:v>
                  </c:pt>
                  <c:pt idx="2">
                    <c:v>3.4876499999999977</c:v>
                  </c:pt>
                  <c:pt idx="3">
                    <c:v>0.55177200000000004</c:v>
                  </c:pt>
                  <c:pt idx="4">
                    <c:v>0.115077</c:v>
                  </c:pt>
                  <c:pt idx="5">
                    <c:v>1.5048299999999974</c:v>
                  </c:pt>
                </c:numCache>
              </c:numRef>
            </c:plus>
            <c:minus>
              <c:numRef>
                <c:f>'Pi como P neto'!$Q$5:$Q$10</c:f>
                <c:numCache>
                  <c:formatCode>General</c:formatCode>
                  <c:ptCount val="6"/>
                  <c:pt idx="0">
                    <c:v>3.6305700000000001</c:v>
                  </c:pt>
                  <c:pt idx="1">
                    <c:v>1.7706599999999999</c:v>
                  </c:pt>
                  <c:pt idx="2">
                    <c:v>3.4876499999999977</c:v>
                  </c:pt>
                  <c:pt idx="3">
                    <c:v>0.55177200000000004</c:v>
                  </c:pt>
                  <c:pt idx="4">
                    <c:v>0.115077</c:v>
                  </c:pt>
                  <c:pt idx="5">
                    <c:v>1.5048299999999974</c:v>
                  </c:pt>
                </c:numCache>
              </c:numRef>
            </c:minus>
          </c:errBars>
          <c:cat>
            <c:numRef>
              <c:f>'E5 Pi'!$R$17:$R$22</c:f>
              <c:numCache>
                <c:formatCode>General</c:formatCode>
                <c:ptCount val="6"/>
                <c:pt idx="0">
                  <c:v>0</c:v>
                </c:pt>
                <c:pt idx="1">
                  <c:v>1</c:v>
                </c:pt>
                <c:pt idx="2">
                  <c:v>5</c:v>
                </c:pt>
                <c:pt idx="3">
                  <c:v>10</c:v>
                </c:pt>
                <c:pt idx="4">
                  <c:v>50</c:v>
                </c:pt>
                <c:pt idx="5">
                  <c:v>100</c:v>
                </c:pt>
              </c:numCache>
            </c:numRef>
          </c:cat>
          <c:val>
            <c:numRef>
              <c:f>'Pi como P neto'!$K$5:$K$10</c:f>
              <c:numCache>
                <c:formatCode>General</c:formatCode>
                <c:ptCount val="6"/>
                <c:pt idx="0">
                  <c:v>57.417447999999894</c:v>
                </c:pt>
                <c:pt idx="1">
                  <c:v>53.271592000000012</c:v>
                </c:pt>
                <c:pt idx="2">
                  <c:v>54.156572800000063</c:v>
                </c:pt>
                <c:pt idx="3">
                  <c:v>29.027635999999987</c:v>
                </c:pt>
                <c:pt idx="4">
                  <c:v>11.79748</c:v>
                </c:pt>
                <c:pt idx="5">
                  <c:v>0</c:v>
                </c:pt>
              </c:numCache>
            </c:numRef>
          </c:val>
          <c:extLst xmlns:c16r2="http://schemas.microsoft.com/office/drawing/2015/06/chart">
            <c:ext xmlns:c16="http://schemas.microsoft.com/office/drawing/2014/chart" uri="{C3380CC4-5D6E-409C-BE32-E72D297353CC}">
              <c16:uniqueId val="{00000000-7487-44D4-9DAA-7658EBC38E5F}"/>
            </c:ext>
          </c:extLst>
        </c:ser>
        <c:axId val="71010560"/>
        <c:axId val="71063424"/>
      </c:barChart>
      <c:catAx>
        <c:axId val="71010560"/>
        <c:scaling>
          <c:orientation val="minMax"/>
        </c:scaling>
        <c:axPos val="b"/>
        <c:title>
          <c:tx>
            <c:rich>
              <a:bodyPr/>
              <a:lstStyle/>
              <a:p>
                <a:pPr>
                  <a:defRPr/>
                </a:pPr>
                <a:r>
                  <a:rPr lang="es-CO" sz="1000" b="1" i="0" u="none" strike="noStrike" baseline="0">
                    <a:effectLst/>
                  </a:rPr>
                  <a:t>Concentración de P inicial (mg L</a:t>
                </a:r>
                <a:r>
                  <a:rPr lang="es-CO" sz="1000" b="1" i="0" u="none" strike="noStrike" baseline="30000">
                    <a:effectLst/>
                  </a:rPr>
                  <a:t>-1</a:t>
                </a:r>
                <a:r>
                  <a:rPr lang="es-CO" sz="1000" b="1" i="0" u="none" strike="noStrike" baseline="0">
                    <a:effectLst/>
                  </a:rPr>
                  <a:t>)</a:t>
                </a:r>
                <a:endParaRPr lang="es-CO"/>
              </a:p>
            </c:rich>
          </c:tx>
        </c:title>
        <c:numFmt formatCode="General" sourceLinked="1"/>
        <c:tickLblPos val="nextTo"/>
        <c:crossAx val="71063424"/>
        <c:crosses val="autoZero"/>
        <c:auto val="1"/>
        <c:lblAlgn val="ctr"/>
        <c:lblOffset val="100"/>
        <c:noMultiLvlLbl val="1"/>
      </c:catAx>
      <c:valAx>
        <c:axId val="71063424"/>
        <c:scaling>
          <c:orientation val="minMax"/>
          <c:min val="0"/>
        </c:scaling>
        <c:axPos val="l"/>
        <c:title>
          <c:tx>
            <c:rich>
              <a:bodyPr rot="-5400000" vert="horz"/>
              <a:lstStyle/>
              <a:p>
                <a:pPr>
                  <a:defRPr/>
                </a:pPr>
                <a:r>
                  <a:rPr lang="es-CO"/>
                  <a:t>P neto solubilizado</a:t>
                </a:r>
                <a:r>
                  <a:rPr lang="es-CO" baseline="0"/>
                  <a:t> </a:t>
                </a:r>
                <a:r>
                  <a:rPr lang="es-CO"/>
                  <a:t>(mg</a:t>
                </a:r>
                <a:r>
                  <a:rPr lang="es-CO" baseline="0"/>
                  <a:t> </a:t>
                </a:r>
                <a:r>
                  <a:rPr lang="es-CO"/>
                  <a:t>L</a:t>
                </a:r>
                <a:r>
                  <a:rPr lang="es-CO" sz="1000" b="1" i="0" u="none" strike="noStrike" baseline="30000">
                    <a:effectLst/>
                  </a:rPr>
                  <a:t>-1</a:t>
                </a:r>
                <a:r>
                  <a:rPr lang="es-CO"/>
                  <a:t>)</a:t>
                </a:r>
              </a:p>
            </c:rich>
          </c:tx>
        </c:title>
        <c:numFmt formatCode="General" sourceLinked="1"/>
        <c:tickLblPos val="nextTo"/>
        <c:crossAx val="71010560"/>
        <c:crosses val="autoZero"/>
        <c:crossBetween val="between"/>
        <c:majorUnit val="20"/>
      </c:valAx>
    </c:plotArea>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barChart>
        <c:barDir val="col"/>
        <c:grouping val="clustered"/>
        <c:ser>
          <c:idx val="2"/>
          <c:order val="0"/>
          <c:tx>
            <c:v>Vitaminas</c:v>
          </c:tx>
          <c:spPr>
            <a:solidFill>
              <a:schemeClr val="bg1">
                <a:lumMod val="65000"/>
              </a:schemeClr>
            </a:solidFill>
            <a:ln>
              <a:solidFill>
                <a:srgbClr val="000000"/>
              </a:solidFill>
            </a:ln>
          </c:spPr>
          <c:errBars>
            <c:errBarType val="both"/>
            <c:errValType val="cust"/>
            <c:plus>
              <c:numRef>
                <c:f>'vit y men'!$D$35:$D$38</c:f>
                <c:numCache>
                  <c:formatCode>General</c:formatCode>
                  <c:ptCount val="4"/>
                  <c:pt idx="0">
                    <c:v>1.1547000000000003E-2</c:v>
                  </c:pt>
                  <c:pt idx="1">
                    <c:v>0</c:v>
                  </c:pt>
                  <c:pt idx="2">
                    <c:v>0</c:v>
                  </c:pt>
                  <c:pt idx="3">
                    <c:v>2.3094000000000003E-2</c:v>
                  </c:pt>
                </c:numCache>
              </c:numRef>
            </c:plus>
            <c:minus>
              <c:numRef>
                <c:f>'vit y men'!$D$35:$D$38</c:f>
                <c:numCache>
                  <c:formatCode>General</c:formatCode>
                  <c:ptCount val="4"/>
                  <c:pt idx="0">
                    <c:v>1.1547000000000003E-2</c:v>
                  </c:pt>
                  <c:pt idx="1">
                    <c:v>0</c:v>
                  </c:pt>
                  <c:pt idx="2">
                    <c:v>0</c:v>
                  </c:pt>
                  <c:pt idx="3">
                    <c:v>2.3094000000000003E-2</c:v>
                  </c:pt>
                </c:numCache>
              </c:numRef>
            </c:minus>
          </c:errBars>
          <c:cat>
            <c:numRef>
              <c:f>'vit y men'!$K$17:$K$20</c:f>
              <c:numCache>
                <c:formatCode>General</c:formatCode>
                <c:ptCount val="4"/>
                <c:pt idx="0">
                  <c:v>0</c:v>
                </c:pt>
                <c:pt idx="1">
                  <c:v>0.5</c:v>
                </c:pt>
                <c:pt idx="2">
                  <c:v>1</c:v>
                </c:pt>
                <c:pt idx="3">
                  <c:v>2</c:v>
                </c:pt>
              </c:numCache>
            </c:numRef>
          </c:cat>
          <c:val>
            <c:numRef>
              <c:f>'vit y men'!$C$35:$C$38</c:f>
              <c:numCache>
                <c:formatCode>General</c:formatCode>
                <c:ptCount val="4"/>
                <c:pt idx="0">
                  <c:v>3.1066699999999967</c:v>
                </c:pt>
                <c:pt idx="1">
                  <c:v>3.1</c:v>
                </c:pt>
                <c:pt idx="2">
                  <c:v>3.2</c:v>
                </c:pt>
                <c:pt idx="3">
                  <c:v>3.1866699999999977</c:v>
                </c:pt>
              </c:numCache>
            </c:numRef>
          </c:val>
          <c:extLst xmlns:c16r2="http://schemas.microsoft.com/office/drawing/2015/06/chart">
            <c:ext xmlns:c16="http://schemas.microsoft.com/office/drawing/2014/chart" uri="{C3380CC4-5D6E-409C-BE32-E72D297353CC}">
              <c16:uniqueId val="{00000000-98BE-40E4-8D3F-E0F49944A08B}"/>
            </c:ext>
          </c:extLst>
        </c:ser>
        <c:ser>
          <c:idx val="0"/>
          <c:order val="1"/>
          <c:tx>
            <c:v>Micronutrientes</c:v>
          </c:tx>
          <c:spPr>
            <a:noFill/>
            <a:ln>
              <a:solidFill>
                <a:srgbClr val="000000"/>
              </a:solidFill>
            </a:ln>
          </c:spPr>
          <c:errBars>
            <c:errBarType val="both"/>
            <c:errValType val="cust"/>
            <c:plus>
              <c:numRef>
                <c:f>'vit y men'!$N$35:$N$38</c:f>
                <c:numCache>
                  <c:formatCode>General</c:formatCode>
                  <c:ptCount val="4"/>
                  <c:pt idx="0">
                    <c:v>1.1547000000000003E-2</c:v>
                  </c:pt>
                  <c:pt idx="1">
                    <c:v>0</c:v>
                  </c:pt>
                  <c:pt idx="2">
                    <c:v>0.05</c:v>
                  </c:pt>
                  <c:pt idx="3">
                    <c:v>5.7735000000000009E-2</c:v>
                  </c:pt>
                </c:numCache>
              </c:numRef>
            </c:plus>
            <c:minus>
              <c:numRef>
                <c:f>'vit y men'!$N$35:$N$38</c:f>
                <c:numCache>
                  <c:formatCode>General</c:formatCode>
                  <c:ptCount val="4"/>
                  <c:pt idx="0">
                    <c:v>1.1547000000000003E-2</c:v>
                  </c:pt>
                  <c:pt idx="1">
                    <c:v>0</c:v>
                  </c:pt>
                  <c:pt idx="2">
                    <c:v>0.05</c:v>
                  </c:pt>
                  <c:pt idx="3">
                    <c:v>5.7735000000000009E-2</c:v>
                  </c:pt>
                </c:numCache>
              </c:numRef>
            </c:minus>
          </c:errBars>
          <c:cat>
            <c:numRef>
              <c:f>'vit y men'!$K$17:$K$20</c:f>
              <c:numCache>
                <c:formatCode>General</c:formatCode>
                <c:ptCount val="4"/>
                <c:pt idx="0">
                  <c:v>0</c:v>
                </c:pt>
                <c:pt idx="1">
                  <c:v>0.5</c:v>
                </c:pt>
                <c:pt idx="2">
                  <c:v>1</c:v>
                </c:pt>
                <c:pt idx="3">
                  <c:v>2</c:v>
                </c:pt>
              </c:numCache>
            </c:numRef>
          </c:cat>
          <c:val>
            <c:numRef>
              <c:f>'vit y men'!$M$35:$M$38</c:f>
              <c:numCache>
                <c:formatCode>General</c:formatCode>
                <c:ptCount val="4"/>
                <c:pt idx="0">
                  <c:v>3.1066699999999967</c:v>
                </c:pt>
                <c:pt idx="1">
                  <c:v>3.1</c:v>
                </c:pt>
                <c:pt idx="2">
                  <c:v>3.1</c:v>
                </c:pt>
                <c:pt idx="3">
                  <c:v>3.1333300000000048</c:v>
                </c:pt>
              </c:numCache>
            </c:numRef>
          </c:val>
          <c:extLst xmlns:c16r2="http://schemas.microsoft.com/office/drawing/2015/06/chart">
            <c:ext xmlns:c16="http://schemas.microsoft.com/office/drawing/2014/chart" uri="{C3380CC4-5D6E-409C-BE32-E72D297353CC}">
              <c16:uniqueId val="{00000001-98BE-40E4-8D3F-E0F49944A08B}"/>
            </c:ext>
          </c:extLst>
        </c:ser>
        <c:axId val="71135232"/>
        <c:axId val="71137152"/>
      </c:barChart>
      <c:catAx>
        <c:axId val="71135232"/>
        <c:scaling>
          <c:orientation val="minMax"/>
        </c:scaling>
        <c:axPos val="b"/>
        <c:title>
          <c:tx>
            <c:rich>
              <a:bodyPr/>
              <a:lstStyle/>
              <a:p>
                <a:pPr>
                  <a:defRPr/>
                </a:pPr>
                <a:r>
                  <a:rPr lang="es-CO" sz="1000" b="1" i="0" u="none" strike="noStrike" baseline="0">
                    <a:effectLst/>
                  </a:rPr>
                  <a:t>Concentración </a:t>
                </a:r>
                <a:r>
                  <a:rPr lang="es-CO"/>
                  <a:t>(mg L</a:t>
                </a:r>
                <a:r>
                  <a:rPr lang="es-CO" baseline="30000"/>
                  <a:t>-1</a:t>
                </a:r>
                <a:r>
                  <a:rPr lang="es-CO"/>
                  <a:t>)</a:t>
                </a:r>
              </a:p>
            </c:rich>
          </c:tx>
        </c:title>
        <c:numFmt formatCode="General" sourceLinked="1"/>
        <c:tickLblPos val="nextTo"/>
        <c:crossAx val="71137152"/>
        <c:crosses val="autoZero"/>
        <c:auto val="1"/>
        <c:lblAlgn val="ctr"/>
        <c:lblOffset val="100"/>
      </c:catAx>
      <c:valAx>
        <c:axId val="71137152"/>
        <c:scaling>
          <c:orientation val="minMax"/>
          <c:max val="8"/>
        </c:scaling>
        <c:axPos val="l"/>
        <c:title>
          <c:tx>
            <c:rich>
              <a:bodyPr rot="-5400000" vert="horz"/>
              <a:lstStyle/>
              <a:p>
                <a:pPr>
                  <a:defRPr/>
                </a:pPr>
                <a:r>
                  <a:rPr lang="en-US"/>
                  <a:t>pH</a:t>
                </a:r>
                <a:r>
                  <a:rPr lang="en-US" baseline="0"/>
                  <a:t> de la solución </a:t>
                </a:r>
                <a:endParaRPr lang="en-US"/>
              </a:p>
            </c:rich>
          </c:tx>
        </c:title>
        <c:numFmt formatCode="General" sourceLinked="1"/>
        <c:tickLblPos val="nextTo"/>
        <c:crossAx val="71135232"/>
        <c:crosses val="autoZero"/>
        <c:crossBetween val="between"/>
        <c:majorUnit val="2"/>
      </c:valAx>
    </c:plotArea>
    <c:legend>
      <c:legendPos val="t"/>
    </c:legend>
    <c:plotVisOnly val="1"/>
    <c:dispBlanksAs val="gap"/>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21639708340366706"/>
          <c:y val="0.2378860068663971"/>
          <c:w val="0.73736500150595896"/>
          <c:h val="0.52270105640385245"/>
        </c:manualLayout>
      </c:layout>
      <c:barChart>
        <c:barDir val="col"/>
        <c:grouping val="clustered"/>
        <c:ser>
          <c:idx val="2"/>
          <c:order val="0"/>
          <c:tx>
            <c:v>Vitaminas</c:v>
          </c:tx>
          <c:spPr>
            <a:solidFill>
              <a:schemeClr val="bg1">
                <a:lumMod val="65000"/>
              </a:schemeClr>
            </a:solidFill>
            <a:ln>
              <a:solidFill>
                <a:srgbClr val="000000"/>
              </a:solidFill>
            </a:ln>
          </c:spPr>
          <c:errBars>
            <c:errBarType val="both"/>
            <c:errValType val="cust"/>
            <c:plus>
              <c:numRef>
                <c:f>'vit y men'!$D$23:$D$26</c:f>
                <c:numCache>
                  <c:formatCode>General</c:formatCode>
                  <c:ptCount val="4"/>
                  <c:pt idx="0">
                    <c:v>3.5409100000000002</c:v>
                  </c:pt>
                  <c:pt idx="1">
                    <c:v>8.2520400000000027</c:v>
                  </c:pt>
                  <c:pt idx="2">
                    <c:v>6.3598799999999986</c:v>
                  </c:pt>
                  <c:pt idx="3">
                    <c:v>7.56</c:v>
                  </c:pt>
                </c:numCache>
              </c:numRef>
            </c:plus>
            <c:minus>
              <c:numRef>
                <c:f>'vit y men'!$D$23:$D$26</c:f>
                <c:numCache>
                  <c:formatCode>General</c:formatCode>
                  <c:ptCount val="4"/>
                  <c:pt idx="0">
                    <c:v>3.5409100000000002</c:v>
                  </c:pt>
                  <c:pt idx="1">
                    <c:v>8.2520400000000027</c:v>
                  </c:pt>
                  <c:pt idx="2">
                    <c:v>6.3598799999999986</c:v>
                  </c:pt>
                  <c:pt idx="3">
                    <c:v>7.56</c:v>
                  </c:pt>
                </c:numCache>
              </c:numRef>
            </c:minus>
          </c:errBars>
          <c:cat>
            <c:numRef>
              <c:f>'vit y men'!$K$17:$K$20</c:f>
              <c:numCache>
                <c:formatCode>General</c:formatCode>
                <c:ptCount val="4"/>
                <c:pt idx="0">
                  <c:v>0</c:v>
                </c:pt>
                <c:pt idx="1">
                  <c:v>0.5</c:v>
                </c:pt>
                <c:pt idx="2">
                  <c:v>1</c:v>
                </c:pt>
                <c:pt idx="3">
                  <c:v>2</c:v>
                </c:pt>
              </c:numCache>
            </c:numRef>
          </c:cat>
          <c:val>
            <c:numRef>
              <c:f>'vit y men'!$C$23:$C$26</c:f>
              <c:numCache>
                <c:formatCode>General</c:formatCode>
                <c:ptCount val="4"/>
                <c:pt idx="0">
                  <c:v>88.83</c:v>
                </c:pt>
                <c:pt idx="1">
                  <c:v>82.341000000000022</c:v>
                </c:pt>
                <c:pt idx="2">
                  <c:v>76.419000000000025</c:v>
                </c:pt>
                <c:pt idx="3">
                  <c:v>74.087999999999994</c:v>
                </c:pt>
              </c:numCache>
            </c:numRef>
          </c:val>
          <c:extLst xmlns:c16r2="http://schemas.microsoft.com/office/drawing/2015/06/chart">
            <c:ext xmlns:c16="http://schemas.microsoft.com/office/drawing/2014/chart" uri="{C3380CC4-5D6E-409C-BE32-E72D297353CC}">
              <c16:uniqueId val="{00000000-A9F0-4511-B99F-B35984358EB0}"/>
            </c:ext>
          </c:extLst>
        </c:ser>
        <c:ser>
          <c:idx val="0"/>
          <c:order val="1"/>
          <c:tx>
            <c:v>Micronutrientes</c:v>
          </c:tx>
          <c:spPr>
            <a:noFill/>
            <a:ln>
              <a:solidFill>
                <a:srgbClr val="000000"/>
              </a:solidFill>
            </a:ln>
          </c:spPr>
          <c:errBars>
            <c:errBarType val="both"/>
            <c:errValType val="cust"/>
            <c:plus>
              <c:numRef>
                <c:f>'vit y men'!$N$23:$N$26</c:f>
                <c:numCache>
                  <c:formatCode>General</c:formatCode>
                  <c:ptCount val="4"/>
                  <c:pt idx="0">
                    <c:v>3.5409100000000002</c:v>
                  </c:pt>
                  <c:pt idx="1">
                    <c:v>6.3589399999999872</c:v>
                  </c:pt>
                  <c:pt idx="2">
                    <c:v>3.34375</c:v>
                  </c:pt>
                  <c:pt idx="3">
                    <c:v>2.0789999999999997</c:v>
                  </c:pt>
                </c:numCache>
              </c:numRef>
            </c:plus>
            <c:minus>
              <c:numRef>
                <c:f>'vit y men'!$N$23:$N$26</c:f>
                <c:numCache>
                  <c:formatCode>General</c:formatCode>
                  <c:ptCount val="4"/>
                  <c:pt idx="0">
                    <c:v>3.5409100000000002</c:v>
                  </c:pt>
                  <c:pt idx="1">
                    <c:v>6.3589399999999872</c:v>
                  </c:pt>
                  <c:pt idx="2">
                    <c:v>3.34375</c:v>
                  </c:pt>
                  <c:pt idx="3">
                    <c:v>2.0789999999999997</c:v>
                  </c:pt>
                </c:numCache>
              </c:numRef>
            </c:minus>
          </c:errBars>
          <c:cat>
            <c:numRef>
              <c:f>'vit y men'!$K$17:$K$20</c:f>
              <c:numCache>
                <c:formatCode>General</c:formatCode>
                <c:ptCount val="4"/>
                <c:pt idx="0">
                  <c:v>0</c:v>
                </c:pt>
                <c:pt idx="1">
                  <c:v>0.5</c:v>
                </c:pt>
                <c:pt idx="2">
                  <c:v>1</c:v>
                </c:pt>
                <c:pt idx="3">
                  <c:v>2</c:v>
                </c:pt>
              </c:numCache>
            </c:numRef>
          </c:cat>
          <c:val>
            <c:numRef>
              <c:f>'vit y men'!$M$23:$M$26</c:f>
              <c:numCache>
                <c:formatCode>General</c:formatCode>
                <c:ptCount val="4"/>
                <c:pt idx="0">
                  <c:v>88.83</c:v>
                </c:pt>
                <c:pt idx="1">
                  <c:v>61.236000000000011</c:v>
                </c:pt>
                <c:pt idx="2">
                  <c:v>66.149999999999991</c:v>
                </c:pt>
                <c:pt idx="3">
                  <c:v>60.48</c:v>
                </c:pt>
              </c:numCache>
            </c:numRef>
          </c:val>
          <c:extLst xmlns:c16r2="http://schemas.microsoft.com/office/drawing/2015/06/chart">
            <c:ext xmlns:c16="http://schemas.microsoft.com/office/drawing/2014/chart" uri="{C3380CC4-5D6E-409C-BE32-E72D297353CC}">
              <c16:uniqueId val="{00000001-A9F0-4511-B99F-B35984358EB0}"/>
            </c:ext>
          </c:extLst>
        </c:ser>
        <c:axId val="71205632"/>
        <c:axId val="71207552"/>
      </c:barChart>
      <c:catAx>
        <c:axId val="71205632"/>
        <c:scaling>
          <c:orientation val="minMax"/>
        </c:scaling>
        <c:axPos val="b"/>
        <c:title>
          <c:tx>
            <c:rich>
              <a:bodyPr/>
              <a:lstStyle/>
              <a:p>
                <a:pPr>
                  <a:defRPr/>
                </a:pPr>
                <a:r>
                  <a:rPr lang="es-CO" sz="1000" b="1" i="0" u="none" strike="noStrike" baseline="0">
                    <a:effectLst/>
                  </a:rPr>
                  <a:t>Concentración </a:t>
                </a:r>
                <a:r>
                  <a:rPr lang="es-CO"/>
                  <a:t>(mg L</a:t>
                </a:r>
                <a:r>
                  <a:rPr lang="es-CO" baseline="30000"/>
                  <a:t>-1</a:t>
                </a:r>
                <a:r>
                  <a:rPr lang="es-CO"/>
                  <a:t>)</a:t>
                </a:r>
              </a:p>
            </c:rich>
          </c:tx>
        </c:title>
        <c:numFmt formatCode="General" sourceLinked="1"/>
        <c:tickLblPos val="nextTo"/>
        <c:crossAx val="71207552"/>
        <c:crosses val="autoZero"/>
        <c:auto val="1"/>
        <c:lblAlgn val="ctr"/>
        <c:lblOffset val="100"/>
      </c:catAx>
      <c:valAx>
        <c:axId val="71207552"/>
        <c:scaling>
          <c:orientation val="minMax"/>
        </c:scaling>
        <c:axPos val="l"/>
        <c:title>
          <c:tx>
            <c:rich>
              <a:bodyPr rot="-5400000" vert="horz"/>
              <a:lstStyle/>
              <a:p>
                <a:pPr>
                  <a:defRPr/>
                </a:pPr>
                <a:r>
                  <a:rPr lang="es-CO"/>
                  <a:t>P</a:t>
                </a:r>
                <a:r>
                  <a:rPr lang="es-CO" baseline="0"/>
                  <a:t> en solución (mg L</a:t>
                </a:r>
                <a:r>
                  <a:rPr lang="es-CO" baseline="30000"/>
                  <a:t>-1</a:t>
                </a:r>
                <a:r>
                  <a:rPr lang="es-CO" baseline="0"/>
                  <a:t>)</a:t>
                </a:r>
                <a:endParaRPr lang="es-CO"/>
              </a:p>
            </c:rich>
          </c:tx>
          <c:layout>
            <c:manualLayout>
              <c:xMode val="edge"/>
              <c:yMode val="edge"/>
              <c:x val="3.783102143757882E-2"/>
              <c:y val="0.220514842998418"/>
            </c:manualLayout>
          </c:layout>
        </c:title>
        <c:numFmt formatCode="General" sourceLinked="1"/>
        <c:tickLblPos val="nextTo"/>
        <c:crossAx val="71205632"/>
        <c:crosses val="autoZero"/>
        <c:crossBetween val="between"/>
        <c:majorUnit val="20"/>
      </c:valAx>
    </c:plotArea>
    <c:legend>
      <c:legendPos val="t"/>
    </c:legend>
    <c:plotVisOnly val="1"/>
    <c:dispBlanksAs val="gap"/>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barChart>
        <c:barDir val="col"/>
        <c:grouping val="clustered"/>
        <c:ser>
          <c:idx val="0"/>
          <c:order val="0"/>
          <c:tx>
            <c:strRef>
              <c:f>'E10 t2'!$H$51</c:f>
              <c:strCache>
                <c:ptCount val="1"/>
                <c:pt idx="0">
                  <c:v>No inoculado</c:v>
                </c:pt>
              </c:strCache>
            </c:strRef>
          </c:tx>
          <c:spPr>
            <a:solidFill>
              <a:schemeClr val="bg1">
                <a:lumMod val="65000"/>
              </a:schemeClr>
            </a:solidFill>
            <a:ln>
              <a:solidFill>
                <a:srgbClr val="000000"/>
              </a:solidFill>
            </a:ln>
          </c:spPr>
          <c:val>
            <c:numRef>
              <c:f>'E10 t2'!$Q$52:$Q$58</c:f>
              <c:numCache>
                <c:formatCode>General</c:formatCode>
                <c:ptCount val="7"/>
                <c:pt idx="0">
                  <c:v>7.6</c:v>
                </c:pt>
                <c:pt idx="1">
                  <c:v>7.6</c:v>
                </c:pt>
                <c:pt idx="2">
                  <c:v>7.6</c:v>
                </c:pt>
                <c:pt idx="3">
                  <c:v>7.6</c:v>
                </c:pt>
                <c:pt idx="4">
                  <c:v>7.6</c:v>
                </c:pt>
                <c:pt idx="5">
                  <c:v>7.6</c:v>
                </c:pt>
                <c:pt idx="6">
                  <c:v>7.6</c:v>
                </c:pt>
              </c:numCache>
            </c:numRef>
          </c:val>
          <c:extLst xmlns:c16r2="http://schemas.microsoft.com/office/drawing/2015/06/chart">
            <c:ext xmlns:c16="http://schemas.microsoft.com/office/drawing/2014/chart" uri="{C3380CC4-5D6E-409C-BE32-E72D297353CC}">
              <c16:uniqueId val="{00000000-A77B-4E51-9A11-8D6855952F10}"/>
            </c:ext>
          </c:extLst>
        </c:ser>
        <c:ser>
          <c:idx val="2"/>
          <c:order val="1"/>
          <c:tx>
            <c:v>Inoculado</c:v>
          </c:tx>
          <c:spPr>
            <a:noFill/>
            <a:ln>
              <a:solidFill>
                <a:srgbClr val="000000"/>
              </a:solidFill>
            </a:ln>
          </c:spPr>
          <c:errBars>
            <c:errBarType val="both"/>
            <c:errValType val="cust"/>
            <c:plus>
              <c:numRef>
                <c:f>'E10 t2'!$S$62:$S$68</c:f>
                <c:numCache>
                  <c:formatCode>General</c:formatCode>
                  <c:ptCount val="7"/>
                  <c:pt idx="0">
                    <c:v>0</c:v>
                  </c:pt>
                  <c:pt idx="1">
                    <c:v>4.1633300000000019E-2</c:v>
                  </c:pt>
                  <c:pt idx="2">
                    <c:v>3.5118800000000013E-2</c:v>
                  </c:pt>
                  <c:pt idx="3">
                    <c:v>1.7320500000000009E-2</c:v>
                  </c:pt>
                  <c:pt idx="4">
                    <c:v>3.0000000000000002E-2</c:v>
                  </c:pt>
                  <c:pt idx="5">
                    <c:v>0.10016700000000002</c:v>
                  </c:pt>
                  <c:pt idx="6">
                    <c:v>3.6055500000000011E-2</c:v>
                  </c:pt>
                </c:numCache>
              </c:numRef>
            </c:plus>
            <c:minus>
              <c:numRef>
                <c:f>'E10 t2'!$S$62:$S$68</c:f>
                <c:numCache>
                  <c:formatCode>General</c:formatCode>
                  <c:ptCount val="7"/>
                  <c:pt idx="0">
                    <c:v>0</c:v>
                  </c:pt>
                  <c:pt idx="1">
                    <c:v>4.1633300000000019E-2</c:v>
                  </c:pt>
                  <c:pt idx="2">
                    <c:v>3.5118800000000013E-2</c:v>
                  </c:pt>
                  <c:pt idx="3">
                    <c:v>1.7320500000000009E-2</c:v>
                  </c:pt>
                  <c:pt idx="4">
                    <c:v>3.0000000000000002E-2</c:v>
                  </c:pt>
                  <c:pt idx="5">
                    <c:v>0.10016700000000002</c:v>
                  </c:pt>
                  <c:pt idx="6">
                    <c:v>3.6055500000000011E-2</c:v>
                  </c:pt>
                </c:numCache>
              </c:numRef>
            </c:minus>
          </c:errBars>
          <c:cat>
            <c:numRef>
              <c:f>'E10 t2'!$G$52:$G$58</c:f>
              <c:numCache>
                <c:formatCode>General</c:formatCode>
                <c:ptCount val="7"/>
                <c:pt idx="0">
                  <c:v>0</c:v>
                </c:pt>
                <c:pt idx="1">
                  <c:v>1</c:v>
                </c:pt>
                <c:pt idx="2">
                  <c:v>3</c:v>
                </c:pt>
                <c:pt idx="3">
                  <c:v>5</c:v>
                </c:pt>
                <c:pt idx="4">
                  <c:v>7</c:v>
                </c:pt>
                <c:pt idx="5">
                  <c:v>10</c:v>
                </c:pt>
                <c:pt idx="6">
                  <c:v>14</c:v>
                </c:pt>
              </c:numCache>
            </c:numRef>
          </c:cat>
          <c:val>
            <c:numRef>
              <c:f>'E10 t2'!$R$62:$R$68</c:f>
              <c:numCache>
                <c:formatCode>General</c:formatCode>
                <c:ptCount val="7"/>
                <c:pt idx="0">
                  <c:v>7.6</c:v>
                </c:pt>
                <c:pt idx="1">
                  <c:v>4.2066700000000115</c:v>
                </c:pt>
                <c:pt idx="2">
                  <c:v>3.3933300000000002</c:v>
                </c:pt>
                <c:pt idx="3">
                  <c:v>3.19</c:v>
                </c:pt>
                <c:pt idx="4">
                  <c:v>3.14</c:v>
                </c:pt>
                <c:pt idx="5">
                  <c:v>3.3033300000000012</c:v>
                </c:pt>
                <c:pt idx="6">
                  <c:v>3.3499999999999988</c:v>
                </c:pt>
              </c:numCache>
            </c:numRef>
          </c:val>
          <c:extLst xmlns:c16r2="http://schemas.microsoft.com/office/drawing/2015/06/chart">
            <c:ext xmlns:c16="http://schemas.microsoft.com/office/drawing/2014/chart" uri="{C3380CC4-5D6E-409C-BE32-E72D297353CC}">
              <c16:uniqueId val="{00000001-A77B-4E51-9A11-8D6855952F10}"/>
            </c:ext>
          </c:extLst>
        </c:ser>
        <c:axId val="112953600"/>
        <c:axId val="112955776"/>
      </c:barChart>
      <c:catAx>
        <c:axId val="112953600"/>
        <c:scaling>
          <c:orientation val="minMax"/>
        </c:scaling>
        <c:axPos val="b"/>
        <c:title>
          <c:tx>
            <c:rich>
              <a:bodyPr/>
              <a:lstStyle/>
              <a:p>
                <a:pPr>
                  <a:defRPr/>
                </a:pPr>
                <a:r>
                  <a:rPr lang="es-CO"/>
                  <a:t>Tiempo (días)</a:t>
                </a:r>
              </a:p>
            </c:rich>
          </c:tx>
        </c:title>
        <c:numFmt formatCode="General" sourceLinked="1"/>
        <c:tickLblPos val="nextTo"/>
        <c:crossAx val="112955776"/>
        <c:crosses val="autoZero"/>
        <c:auto val="1"/>
        <c:lblAlgn val="ctr"/>
        <c:lblOffset val="100"/>
      </c:catAx>
      <c:valAx>
        <c:axId val="112955776"/>
        <c:scaling>
          <c:orientation val="minMax"/>
        </c:scaling>
        <c:axPos val="l"/>
        <c:title>
          <c:tx>
            <c:rich>
              <a:bodyPr rot="-5400000" vert="horz"/>
              <a:lstStyle/>
              <a:p>
                <a:pPr>
                  <a:defRPr/>
                </a:pPr>
                <a:r>
                  <a:rPr lang="es-CO"/>
                  <a:t>pH de la solución</a:t>
                </a:r>
              </a:p>
            </c:rich>
          </c:tx>
        </c:title>
        <c:numFmt formatCode="General" sourceLinked="1"/>
        <c:tickLblPos val="nextTo"/>
        <c:crossAx val="112953600"/>
        <c:crosses val="autoZero"/>
        <c:crossBetween val="between"/>
        <c:majorUnit val="2"/>
      </c:valAx>
    </c:plotArea>
    <c:legend>
      <c:legendPos val="t"/>
    </c:legend>
    <c:plotVisOnly val="1"/>
    <c:dispBlanksAs val="gap"/>
  </c:chart>
  <c:spPr>
    <a:ln>
      <a:noFill/>
    </a:ln>
  </c:spPr>
  <c:txPr>
    <a:bodyPr/>
    <a:lstStyle/>
    <a:p>
      <a:pPr>
        <a:defRPr sz="900"/>
      </a:pPr>
      <a:endParaRPr lang="es-CO"/>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barChart>
        <c:barDir val="col"/>
        <c:grouping val="clustered"/>
        <c:ser>
          <c:idx val="0"/>
          <c:order val="0"/>
          <c:tx>
            <c:strRef>
              <c:f>'E10 t2'!$H$51</c:f>
              <c:strCache>
                <c:ptCount val="1"/>
                <c:pt idx="0">
                  <c:v>No inoculado</c:v>
                </c:pt>
              </c:strCache>
            </c:strRef>
          </c:tx>
          <c:spPr>
            <a:solidFill>
              <a:schemeClr val="bg1">
                <a:lumMod val="50000"/>
              </a:schemeClr>
            </a:solidFill>
          </c:spPr>
          <c:val>
            <c:numRef>
              <c:f>'E10 t2'!$H$52:$H$58</c:f>
              <c:numCache>
                <c:formatCode>General</c:formatCode>
                <c:ptCount val="7"/>
                <c:pt idx="0">
                  <c:v>2.5515000000000006E-2</c:v>
                </c:pt>
                <c:pt idx="1">
                  <c:v>2.5515000000000006E-2</c:v>
                </c:pt>
                <c:pt idx="2">
                  <c:v>2.5515000000000006E-2</c:v>
                </c:pt>
                <c:pt idx="3">
                  <c:v>2.5515000000000006E-2</c:v>
                </c:pt>
                <c:pt idx="4">
                  <c:v>2.5515000000000006E-2</c:v>
                </c:pt>
                <c:pt idx="5">
                  <c:v>2.5515000000000006E-2</c:v>
                </c:pt>
                <c:pt idx="6">
                  <c:v>2.5515000000000006E-2</c:v>
                </c:pt>
              </c:numCache>
            </c:numRef>
          </c:val>
          <c:extLst xmlns:c16r2="http://schemas.microsoft.com/office/drawing/2015/06/chart">
            <c:ext xmlns:c16="http://schemas.microsoft.com/office/drawing/2014/chart" uri="{C3380CC4-5D6E-409C-BE32-E72D297353CC}">
              <c16:uniqueId val="{00000000-F083-4867-BBD2-0AF4B2FE702C}"/>
            </c:ext>
          </c:extLst>
        </c:ser>
        <c:ser>
          <c:idx val="2"/>
          <c:order val="1"/>
          <c:tx>
            <c:v>Inoculado</c:v>
          </c:tx>
          <c:spPr>
            <a:noFill/>
            <a:ln>
              <a:solidFill>
                <a:srgbClr val="000000"/>
              </a:solidFill>
            </a:ln>
          </c:spPr>
          <c:errBars>
            <c:errBarType val="both"/>
            <c:errValType val="cust"/>
            <c:plus>
              <c:numRef>
                <c:f>'E10 t2'!$J$62:$J$68</c:f>
                <c:numCache>
                  <c:formatCode>General</c:formatCode>
                  <c:ptCount val="7"/>
                  <c:pt idx="0">
                    <c:v>5.3457300000000017E-3</c:v>
                  </c:pt>
                  <c:pt idx="1">
                    <c:v>0.20372900000000005</c:v>
                  </c:pt>
                  <c:pt idx="2">
                    <c:v>4.6794200000000004</c:v>
                  </c:pt>
                  <c:pt idx="3">
                    <c:v>3.6891300000000058</c:v>
                  </c:pt>
                  <c:pt idx="4">
                    <c:v>4.2275799999999846</c:v>
                  </c:pt>
                  <c:pt idx="5">
                    <c:v>4.2106400000000024</c:v>
                  </c:pt>
                  <c:pt idx="6">
                    <c:v>1.79633</c:v>
                  </c:pt>
                </c:numCache>
              </c:numRef>
            </c:plus>
            <c:minus>
              <c:numRef>
                <c:f>'E10 t2'!$J$62:$J$68</c:f>
                <c:numCache>
                  <c:formatCode>General</c:formatCode>
                  <c:ptCount val="7"/>
                  <c:pt idx="0">
                    <c:v>5.3457300000000017E-3</c:v>
                  </c:pt>
                  <c:pt idx="1">
                    <c:v>0.20372900000000005</c:v>
                  </c:pt>
                  <c:pt idx="2">
                    <c:v>4.6794200000000004</c:v>
                  </c:pt>
                  <c:pt idx="3">
                    <c:v>3.6891300000000058</c:v>
                  </c:pt>
                  <c:pt idx="4">
                    <c:v>4.2275799999999846</c:v>
                  </c:pt>
                  <c:pt idx="5">
                    <c:v>4.2106400000000024</c:v>
                  </c:pt>
                  <c:pt idx="6">
                    <c:v>1.79633</c:v>
                  </c:pt>
                </c:numCache>
              </c:numRef>
            </c:minus>
          </c:errBars>
          <c:cat>
            <c:numRef>
              <c:f>'E10 t2'!$G$52:$G$58</c:f>
              <c:numCache>
                <c:formatCode>General</c:formatCode>
                <c:ptCount val="7"/>
                <c:pt idx="0">
                  <c:v>0</c:v>
                </c:pt>
                <c:pt idx="1">
                  <c:v>1</c:v>
                </c:pt>
                <c:pt idx="2">
                  <c:v>3</c:v>
                </c:pt>
                <c:pt idx="3">
                  <c:v>5</c:v>
                </c:pt>
                <c:pt idx="4">
                  <c:v>7</c:v>
                </c:pt>
                <c:pt idx="5">
                  <c:v>10</c:v>
                </c:pt>
                <c:pt idx="6">
                  <c:v>14</c:v>
                </c:pt>
              </c:numCache>
            </c:numRef>
          </c:cat>
          <c:val>
            <c:numRef>
              <c:f>'E10 t2'!$I$62:$I$68</c:f>
              <c:numCache>
                <c:formatCode>General</c:formatCode>
                <c:ptCount val="7"/>
                <c:pt idx="0">
                  <c:v>2.8350000000000007E-2</c:v>
                </c:pt>
                <c:pt idx="1">
                  <c:v>1.6059299999999963</c:v>
                </c:pt>
                <c:pt idx="2">
                  <c:v>40.068000000000012</c:v>
                </c:pt>
                <c:pt idx="3">
                  <c:v>88.263000000000005</c:v>
                </c:pt>
                <c:pt idx="4">
                  <c:v>80.198999999999998</c:v>
                </c:pt>
                <c:pt idx="5">
                  <c:v>74.024999999999991</c:v>
                </c:pt>
                <c:pt idx="6">
                  <c:v>68.85899999999998</c:v>
                </c:pt>
              </c:numCache>
            </c:numRef>
          </c:val>
          <c:extLst xmlns:c16r2="http://schemas.microsoft.com/office/drawing/2015/06/chart">
            <c:ext xmlns:c16="http://schemas.microsoft.com/office/drawing/2014/chart" uri="{C3380CC4-5D6E-409C-BE32-E72D297353CC}">
              <c16:uniqueId val="{00000001-F083-4867-BBD2-0AF4B2FE702C}"/>
            </c:ext>
          </c:extLst>
        </c:ser>
        <c:axId val="113732224"/>
        <c:axId val="113738496"/>
      </c:barChart>
      <c:catAx>
        <c:axId val="113732224"/>
        <c:scaling>
          <c:orientation val="minMax"/>
        </c:scaling>
        <c:axPos val="b"/>
        <c:title>
          <c:tx>
            <c:rich>
              <a:bodyPr/>
              <a:lstStyle/>
              <a:p>
                <a:pPr>
                  <a:defRPr/>
                </a:pPr>
                <a:r>
                  <a:rPr lang="es-CO"/>
                  <a:t>Tiempo</a:t>
                </a:r>
                <a:r>
                  <a:rPr lang="es-CO" baseline="0"/>
                  <a:t> (días)</a:t>
                </a:r>
                <a:endParaRPr lang="es-CO"/>
              </a:p>
            </c:rich>
          </c:tx>
        </c:title>
        <c:numFmt formatCode="General" sourceLinked="1"/>
        <c:tickLblPos val="nextTo"/>
        <c:crossAx val="113738496"/>
        <c:crosses val="autoZero"/>
        <c:auto val="1"/>
        <c:lblAlgn val="ctr"/>
        <c:lblOffset val="100"/>
      </c:catAx>
      <c:valAx>
        <c:axId val="113738496"/>
        <c:scaling>
          <c:orientation val="minMax"/>
        </c:scaling>
        <c:axPos val="l"/>
        <c:title>
          <c:tx>
            <c:rich>
              <a:bodyPr rot="-5400000" vert="horz"/>
              <a:lstStyle/>
              <a:p>
                <a:pPr>
                  <a:defRPr/>
                </a:pPr>
                <a:r>
                  <a:rPr lang="es-CO"/>
                  <a:t>P</a:t>
                </a:r>
                <a:r>
                  <a:rPr lang="es-CO" baseline="0"/>
                  <a:t> en solución (mg L</a:t>
                </a:r>
                <a:r>
                  <a:rPr lang="es-CO" baseline="30000"/>
                  <a:t>-1</a:t>
                </a:r>
                <a:r>
                  <a:rPr lang="es-CO" baseline="0"/>
                  <a:t>)</a:t>
                </a:r>
                <a:endParaRPr lang="es-CO"/>
              </a:p>
            </c:rich>
          </c:tx>
        </c:title>
        <c:numFmt formatCode="General" sourceLinked="1"/>
        <c:tickLblPos val="nextTo"/>
        <c:crossAx val="113732224"/>
        <c:crosses val="autoZero"/>
        <c:crossBetween val="between"/>
        <c:majorUnit val="20"/>
      </c:valAx>
    </c:plotArea>
    <c:legend>
      <c:legendPos val="t"/>
      <c:legendEntry>
        <c:idx val="1"/>
        <c:txPr>
          <a:bodyPr/>
          <a:lstStyle/>
          <a:p>
            <a:pPr>
              <a:defRPr i="0"/>
            </a:pPr>
            <a:endParaRPr lang="es-CO"/>
          </a:p>
        </c:txPr>
      </c:legendEntry>
    </c:legend>
    <c:plotVisOnly val="1"/>
    <c:dispBlanksAs val="gap"/>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0.12947268786523605"/>
          <c:y val="0.16289552347623201"/>
          <c:w val="0.833918283080468"/>
          <c:h val="0.63484246180489023"/>
        </c:manualLayout>
      </c:layout>
      <c:barChart>
        <c:barDir val="col"/>
        <c:grouping val="clustered"/>
        <c:ser>
          <c:idx val="0"/>
          <c:order val="0"/>
          <c:tx>
            <c:strRef>
              <c:f>E11RF!$V$19</c:f>
              <c:strCache>
                <c:ptCount val="1"/>
                <c:pt idx="0">
                  <c:v>No inoculado</c:v>
                </c:pt>
              </c:strCache>
            </c:strRef>
          </c:tx>
          <c:spPr>
            <a:solidFill>
              <a:schemeClr val="bg1">
                <a:lumMod val="65000"/>
              </a:schemeClr>
            </a:solidFill>
            <a:ln>
              <a:solidFill>
                <a:srgbClr val="000000"/>
              </a:solidFill>
            </a:ln>
          </c:spPr>
          <c:errBars>
            <c:errBarType val="both"/>
            <c:errValType val="cust"/>
            <c:plus>
              <c:numRef>
                <c:f>E11RF!$Q$20:$Q$22</c:f>
                <c:numCache>
                  <c:formatCode>General</c:formatCode>
                  <c:ptCount val="3"/>
                  <c:pt idx="0">
                    <c:v>5.0000000000000018E-3</c:v>
                  </c:pt>
                  <c:pt idx="1">
                    <c:v>0.05</c:v>
                  </c:pt>
                  <c:pt idx="2">
                    <c:v>0</c:v>
                  </c:pt>
                </c:numCache>
              </c:numRef>
            </c:plus>
            <c:minus>
              <c:numRef>
                <c:f>E11RF!$Q$20:$Q$22</c:f>
                <c:numCache>
                  <c:formatCode>General</c:formatCode>
                  <c:ptCount val="3"/>
                  <c:pt idx="0">
                    <c:v>5.0000000000000018E-3</c:v>
                  </c:pt>
                  <c:pt idx="1">
                    <c:v>0.05</c:v>
                  </c:pt>
                  <c:pt idx="2">
                    <c:v>0</c:v>
                  </c:pt>
                </c:numCache>
              </c:numRef>
            </c:minus>
          </c:errBars>
          <c:cat>
            <c:strRef>
              <c:f>E11RF!$U$20:$U$22</c:f>
              <c:strCache>
                <c:ptCount val="3"/>
                <c:pt idx="0">
                  <c:v>CN</c:v>
                </c:pt>
                <c:pt idx="1">
                  <c:v>H</c:v>
                </c:pt>
                <c:pt idx="2">
                  <c:v>S</c:v>
                </c:pt>
              </c:strCache>
            </c:strRef>
          </c:cat>
          <c:val>
            <c:numRef>
              <c:f>E11RF!$V$20:$V$22</c:f>
              <c:numCache>
                <c:formatCode>General</c:formatCode>
                <c:ptCount val="3"/>
                <c:pt idx="0">
                  <c:v>7.1974999999999856</c:v>
                </c:pt>
                <c:pt idx="1">
                  <c:v>7.2249999999999872</c:v>
                </c:pt>
                <c:pt idx="2">
                  <c:v>7.2</c:v>
                </c:pt>
              </c:numCache>
            </c:numRef>
          </c:val>
          <c:extLst xmlns:c16r2="http://schemas.microsoft.com/office/drawing/2015/06/chart">
            <c:ext xmlns:c16="http://schemas.microsoft.com/office/drawing/2014/chart" uri="{C3380CC4-5D6E-409C-BE32-E72D297353CC}">
              <c16:uniqueId val="{00000000-F98C-4937-8E6C-CEC3B4C031A1}"/>
            </c:ext>
          </c:extLst>
        </c:ser>
        <c:ser>
          <c:idx val="2"/>
          <c:order val="1"/>
          <c:tx>
            <c:v>Inoculado</c:v>
          </c:tx>
          <c:spPr>
            <a:noFill/>
            <a:ln>
              <a:solidFill>
                <a:srgbClr val="000000"/>
              </a:solidFill>
            </a:ln>
          </c:spPr>
          <c:errBars>
            <c:errBarType val="both"/>
            <c:errValType val="cust"/>
            <c:plus>
              <c:numRef>
                <c:f>E11RF!$S$20:$S$22</c:f>
                <c:numCache>
                  <c:formatCode>General</c:formatCode>
                  <c:ptCount val="3"/>
                  <c:pt idx="0">
                    <c:v>0.43653900000000001</c:v>
                  </c:pt>
                  <c:pt idx="1">
                    <c:v>5.4390600000000233E-2</c:v>
                  </c:pt>
                  <c:pt idx="2">
                    <c:v>0.168127</c:v>
                  </c:pt>
                </c:numCache>
              </c:numRef>
            </c:plus>
            <c:minus>
              <c:numRef>
                <c:f>E11RF!$S$20:$S$22</c:f>
                <c:numCache>
                  <c:formatCode>General</c:formatCode>
                  <c:ptCount val="3"/>
                  <c:pt idx="0">
                    <c:v>0.43653900000000001</c:v>
                  </c:pt>
                  <c:pt idx="1">
                    <c:v>5.4390600000000233E-2</c:v>
                  </c:pt>
                  <c:pt idx="2">
                    <c:v>0.168127</c:v>
                  </c:pt>
                </c:numCache>
              </c:numRef>
            </c:minus>
          </c:errBars>
          <c:cat>
            <c:strRef>
              <c:f>E11RF!$U$20:$U$22</c:f>
              <c:strCache>
                <c:ptCount val="3"/>
                <c:pt idx="0">
                  <c:v>CN</c:v>
                </c:pt>
                <c:pt idx="1">
                  <c:v>H</c:v>
                </c:pt>
                <c:pt idx="2">
                  <c:v>S</c:v>
                </c:pt>
              </c:strCache>
            </c:strRef>
          </c:cat>
          <c:val>
            <c:numRef>
              <c:f>E11RF!$X$20:$X$22</c:f>
              <c:numCache>
                <c:formatCode>General</c:formatCode>
                <c:ptCount val="3"/>
                <c:pt idx="0">
                  <c:v>3.4572499999999931</c:v>
                </c:pt>
                <c:pt idx="1">
                  <c:v>2.9275000000000002</c:v>
                </c:pt>
                <c:pt idx="2">
                  <c:v>2.86</c:v>
                </c:pt>
              </c:numCache>
            </c:numRef>
          </c:val>
          <c:extLst xmlns:c16r2="http://schemas.microsoft.com/office/drawing/2015/06/chart">
            <c:ext xmlns:c16="http://schemas.microsoft.com/office/drawing/2014/chart" uri="{C3380CC4-5D6E-409C-BE32-E72D297353CC}">
              <c16:uniqueId val="{00000001-F98C-4937-8E6C-CEC3B4C031A1}"/>
            </c:ext>
          </c:extLst>
        </c:ser>
        <c:axId val="115314688"/>
        <c:axId val="115316608"/>
      </c:barChart>
      <c:catAx>
        <c:axId val="115314688"/>
        <c:scaling>
          <c:orientation val="minMax"/>
        </c:scaling>
        <c:axPos val="b"/>
        <c:title>
          <c:tx>
            <c:rich>
              <a:bodyPr/>
              <a:lstStyle/>
              <a:p>
                <a:pPr>
                  <a:defRPr/>
                </a:pPr>
                <a:r>
                  <a:rPr lang="en-US"/>
                  <a:t>Roca</a:t>
                </a:r>
                <a:r>
                  <a:rPr lang="en-US" baseline="0"/>
                  <a:t> fosfórica</a:t>
                </a:r>
                <a:endParaRPr lang="en-US"/>
              </a:p>
            </c:rich>
          </c:tx>
        </c:title>
        <c:numFmt formatCode="General" sourceLinked="0"/>
        <c:tickLblPos val="nextTo"/>
        <c:txPr>
          <a:bodyPr/>
          <a:lstStyle/>
          <a:p>
            <a:pPr>
              <a:defRPr i="0"/>
            </a:pPr>
            <a:endParaRPr lang="es-CO"/>
          </a:p>
        </c:txPr>
        <c:crossAx val="115316608"/>
        <c:crosses val="autoZero"/>
        <c:auto val="1"/>
        <c:lblAlgn val="ctr"/>
        <c:lblOffset val="100"/>
      </c:catAx>
      <c:valAx>
        <c:axId val="115316608"/>
        <c:scaling>
          <c:orientation val="minMax"/>
        </c:scaling>
        <c:axPos val="l"/>
        <c:title>
          <c:tx>
            <c:rich>
              <a:bodyPr rot="-5400000" vert="horz"/>
              <a:lstStyle/>
              <a:p>
                <a:pPr>
                  <a:defRPr/>
                </a:pPr>
                <a:r>
                  <a:rPr lang="es-CO"/>
                  <a:t>pH de la solución</a:t>
                </a:r>
              </a:p>
            </c:rich>
          </c:tx>
        </c:title>
        <c:numFmt formatCode="General" sourceLinked="1"/>
        <c:tickLblPos val="nextTo"/>
        <c:crossAx val="115314688"/>
        <c:crosses val="autoZero"/>
        <c:crossBetween val="between"/>
        <c:majorUnit val="2"/>
      </c:valAx>
    </c:plotArea>
    <c:legend>
      <c:legendPos val="t"/>
      <c:legendEntry>
        <c:idx val="1"/>
        <c:txPr>
          <a:bodyPr/>
          <a:lstStyle/>
          <a:p>
            <a:pPr>
              <a:defRPr i="0"/>
            </a:pPr>
            <a:endParaRPr lang="es-CO"/>
          </a:p>
        </c:txPr>
      </c:legendEntry>
    </c:legend>
    <c:plotVisOnly val="1"/>
    <c:dispBlanksAs val="gap"/>
  </c:chart>
  <c:spPr>
    <a:ln>
      <a:noFill/>
    </a:ln>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7254862959203307"/>
          <c:y val="0.16289552347623201"/>
          <c:w val="0.79399846360668525"/>
          <c:h val="0.63505175643106626"/>
        </c:manualLayout>
      </c:layout>
      <c:barChart>
        <c:barDir val="col"/>
        <c:grouping val="clustered"/>
        <c:ser>
          <c:idx val="0"/>
          <c:order val="0"/>
          <c:tx>
            <c:strRef>
              <c:f>E11RF!$K$19</c:f>
              <c:strCache>
                <c:ptCount val="1"/>
                <c:pt idx="0">
                  <c:v>No inoculado</c:v>
                </c:pt>
              </c:strCache>
            </c:strRef>
          </c:tx>
          <c:spPr>
            <a:solidFill>
              <a:schemeClr val="bg1">
                <a:lumMod val="65000"/>
              </a:schemeClr>
            </a:solidFill>
            <a:ln>
              <a:solidFill>
                <a:sysClr val="windowText" lastClr="000000"/>
              </a:solidFill>
            </a:ln>
          </c:spPr>
          <c:errBars>
            <c:errBarType val="both"/>
            <c:errValType val="cust"/>
            <c:plus>
              <c:numRef>
                <c:f>E11RF!$N$20:$P$20</c:f>
                <c:numCache>
                  <c:formatCode>General</c:formatCode>
                  <c:ptCount val="3"/>
                  <c:pt idx="0">
                    <c:v>1.4175000000000002E-2</c:v>
                  </c:pt>
                  <c:pt idx="1">
                    <c:v>0.97134590000000021</c:v>
                  </c:pt>
                  <c:pt idx="2">
                    <c:v>4.9752250000000116</c:v>
                  </c:pt>
                </c:numCache>
              </c:numRef>
            </c:plus>
            <c:minus>
              <c:numRef>
                <c:f>E11RF!$N$20:$P$20</c:f>
                <c:numCache>
                  <c:formatCode>General</c:formatCode>
                  <c:ptCount val="3"/>
                  <c:pt idx="0">
                    <c:v>1.4175000000000002E-2</c:v>
                  </c:pt>
                  <c:pt idx="1">
                    <c:v>0.97134590000000021</c:v>
                  </c:pt>
                  <c:pt idx="2">
                    <c:v>4.9752250000000116</c:v>
                  </c:pt>
                </c:numCache>
              </c:numRef>
            </c:minus>
          </c:errBars>
          <c:cat>
            <c:strRef>
              <c:f>E11RF!$J$20:$J$22</c:f>
              <c:strCache>
                <c:ptCount val="3"/>
                <c:pt idx="0">
                  <c:v>CN</c:v>
                </c:pt>
                <c:pt idx="1">
                  <c:v>H</c:v>
                </c:pt>
                <c:pt idx="2">
                  <c:v>S</c:v>
                </c:pt>
              </c:strCache>
            </c:strRef>
          </c:cat>
          <c:val>
            <c:numRef>
              <c:f>E11RF!$K$20:$K$22</c:f>
              <c:numCache>
                <c:formatCode>General</c:formatCode>
                <c:ptCount val="3"/>
                <c:pt idx="0">
                  <c:v>0.36618750000000011</c:v>
                </c:pt>
                <c:pt idx="1">
                  <c:v>0.3902850000000001</c:v>
                </c:pt>
                <c:pt idx="2">
                  <c:v>0.3869775000000002</c:v>
                </c:pt>
              </c:numCache>
            </c:numRef>
          </c:val>
          <c:extLst xmlns:c16r2="http://schemas.microsoft.com/office/drawing/2015/06/chart">
            <c:ext xmlns:c16="http://schemas.microsoft.com/office/drawing/2014/chart" uri="{C3380CC4-5D6E-409C-BE32-E72D297353CC}">
              <c16:uniqueId val="{00000000-A077-4B56-81F9-AF84E317A982}"/>
            </c:ext>
          </c:extLst>
        </c:ser>
        <c:ser>
          <c:idx val="2"/>
          <c:order val="1"/>
          <c:tx>
            <c:v>Inoculado</c:v>
          </c:tx>
          <c:spPr>
            <a:noFill/>
            <a:ln>
              <a:solidFill>
                <a:sysClr val="windowText" lastClr="000000"/>
              </a:solidFill>
            </a:ln>
          </c:spPr>
          <c:errBars>
            <c:errBarType val="both"/>
            <c:errValType val="cust"/>
            <c:plus>
              <c:numRef>
                <c:f>E11RF!$N$22:$P$22</c:f>
                <c:numCache>
                  <c:formatCode>General</c:formatCode>
                  <c:ptCount val="3"/>
                  <c:pt idx="0">
                    <c:v>1.4092100000000002E-2</c:v>
                  </c:pt>
                  <c:pt idx="1">
                    <c:v>1.1287400000000001</c:v>
                  </c:pt>
                  <c:pt idx="2">
                    <c:v>3.2424300000000001</c:v>
                  </c:pt>
                </c:numCache>
              </c:numRef>
            </c:plus>
            <c:minus>
              <c:numRef>
                <c:f>E11RF!$N$22:$P$22</c:f>
                <c:numCache>
                  <c:formatCode>General</c:formatCode>
                  <c:ptCount val="3"/>
                  <c:pt idx="0">
                    <c:v>1.4092100000000002E-2</c:v>
                  </c:pt>
                  <c:pt idx="1">
                    <c:v>1.1287400000000001</c:v>
                  </c:pt>
                  <c:pt idx="2">
                    <c:v>3.2424300000000001</c:v>
                  </c:pt>
                </c:numCache>
              </c:numRef>
            </c:minus>
          </c:errBars>
          <c:cat>
            <c:strRef>
              <c:f>E11RF!$J$20:$J$22</c:f>
              <c:strCache>
                <c:ptCount val="3"/>
                <c:pt idx="0">
                  <c:v>CN</c:v>
                </c:pt>
                <c:pt idx="1">
                  <c:v>H</c:v>
                </c:pt>
                <c:pt idx="2">
                  <c:v>S</c:v>
                </c:pt>
              </c:strCache>
            </c:strRef>
          </c:cat>
          <c:val>
            <c:numRef>
              <c:f>E11RF!$M$20:$M$22</c:f>
              <c:numCache>
                <c:formatCode>General</c:formatCode>
                <c:ptCount val="3"/>
                <c:pt idx="0">
                  <c:v>157.15350000000001</c:v>
                </c:pt>
                <c:pt idx="1">
                  <c:v>86.592250000000007</c:v>
                </c:pt>
                <c:pt idx="2">
                  <c:v>58.920750000000012</c:v>
                </c:pt>
              </c:numCache>
            </c:numRef>
          </c:val>
          <c:extLst xmlns:c16r2="http://schemas.microsoft.com/office/drawing/2015/06/chart">
            <c:ext xmlns:c16="http://schemas.microsoft.com/office/drawing/2014/chart" uri="{C3380CC4-5D6E-409C-BE32-E72D297353CC}">
              <c16:uniqueId val="{00000001-A077-4B56-81F9-AF84E317A982}"/>
            </c:ext>
          </c:extLst>
        </c:ser>
        <c:axId val="130557056"/>
        <c:axId val="130558976"/>
      </c:barChart>
      <c:catAx>
        <c:axId val="130557056"/>
        <c:scaling>
          <c:orientation val="minMax"/>
        </c:scaling>
        <c:axPos val="b"/>
        <c:title>
          <c:tx>
            <c:rich>
              <a:bodyPr/>
              <a:lstStyle/>
              <a:p>
                <a:pPr>
                  <a:defRPr sz="1100"/>
                </a:pPr>
                <a:r>
                  <a:rPr lang="es-CO" sz="1100"/>
                  <a:t>Roca</a:t>
                </a:r>
                <a:r>
                  <a:rPr lang="es-CO" sz="1100" baseline="0"/>
                  <a:t> fosfórica</a:t>
                </a:r>
                <a:endParaRPr lang="es-CO" sz="1100"/>
              </a:p>
            </c:rich>
          </c:tx>
        </c:title>
        <c:numFmt formatCode="General" sourceLinked="1"/>
        <c:tickLblPos val="nextTo"/>
        <c:spPr>
          <a:ln w="12700"/>
        </c:spPr>
        <c:txPr>
          <a:bodyPr/>
          <a:lstStyle/>
          <a:p>
            <a:pPr>
              <a:defRPr b="0" i="0" baseline="0"/>
            </a:pPr>
            <a:endParaRPr lang="es-CO"/>
          </a:p>
        </c:txPr>
        <c:crossAx val="130558976"/>
        <c:crosses val="autoZero"/>
        <c:auto val="1"/>
        <c:lblAlgn val="ctr"/>
        <c:lblOffset val="100"/>
        <c:noMultiLvlLbl val="1"/>
      </c:catAx>
      <c:valAx>
        <c:axId val="130558976"/>
        <c:scaling>
          <c:orientation val="minMax"/>
          <c:max val="180"/>
          <c:min val="0"/>
        </c:scaling>
        <c:axPos val="l"/>
        <c:title>
          <c:tx>
            <c:rich>
              <a:bodyPr/>
              <a:lstStyle/>
              <a:p>
                <a:pPr>
                  <a:defRPr sz="600"/>
                </a:pPr>
                <a:r>
                  <a:rPr lang="en-US" sz="1100" b="1" i="0" baseline="0">
                    <a:effectLst/>
                  </a:rPr>
                  <a:t>P en  solución (mg L</a:t>
                </a:r>
                <a:r>
                  <a:rPr lang="en-US" sz="1100" b="1" i="0" baseline="30000">
                    <a:effectLst/>
                  </a:rPr>
                  <a:t>-1</a:t>
                </a:r>
                <a:r>
                  <a:rPr lang="en-US" sz="1100" b="1" i="0" baseline="0">
                    <a:effectLst/>
                  </a:rPr>
                  <a:t>)</a:t>
                </a:r>
                <a:endParaRPr lang="es-CO" sz="600">
                  <a:effectLst/>
                </a:endParaRPr>
              </a:p>
            </c:rich>
          </c:tx>
        </c:title>
        <c:numFmt formatCode="General" sourceLinked="1"/>
        <c:tickLblPos val="nextTo"/>
        <c:spPr>
          <a:ln w="12700"/>
        </c:spPr>
        <c:crossAx val="130557056"/>
        <c:crosses val="autoZero"/>
        <c:crossBetween val="between"/>
        <c:majorUnit val="30"/>
      </c:valAx>
    </c:plotArea>
    <c:legend>
      <c:legendPos val="t"/>
      <c:legendEntry>
        <c:idx val="1"/>
        <c:txPr>
          <a:bodyPr/>
          <a:lstStyle/>
          <a:p>
            <a:pPr>
              <a:defRPr i="0"/>
            </a:pPr>
            <a:endParaRPr lang="es-CO"/>
          </a:p>
        </c:txPr>
      </c:legendEntry>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0.13138</cdr:x>
      <cdr:y>0.06626</cdr:y>
    </cdr:from>
    <cdr:to>
      <cdr:x>0.18366</cdr:x>
      <cdr:y>0.14005</cdr:y>
    </cdr:to>
    <cdr:sp macro="" textlink="">
      <cdr:nvSpPr>
        <cdr:cNvPr id="2" name="TextBox 1"/>
        <cdr:cNvSpPr txBox="1"/>
      </cdr:nvSpPr>
      <cdr:spPr>
        <a:xfrm xmlns:a="http://schemas.openxmlformats.org/drawingml/2006/main">
          <a:off x="598488" y="181769"/>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0.18366</cdr:x>
      <cdr:y>0.45689</cdr:y>
    </cdr:from>
    <cdr:to>
      <cdr:x>0.23593</cdr:x>
      <cdr:y>0.53067</cdr:y>
    </cdr:to>
    <cdr:sp macro="" textlink="">
      <cdr:nvSpPr>
        <cdr:cNvPr id="3" name="TextBox 1"/>
        <cdr:cNvSpPr txBox="1"/>
      </cdr:nvSpPr>
      <cdr:spPr>
        <a:xfrm xmlns:a="http://schemas.openxmlformats.org/drawingml/2006/main">
          <a:off x="836612" y="1253331"/>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d</a:t>
          </a:r>
        </a:p>
      </cdr:txBody>
    </cdr:sp>
  </cdr:relSizeAnchor>
  <cdr:relSizeAnchor xmlns:cdr="http://schemas.openxmlformats.org/drawingml/2006/chartDrawing">
    <cdr:from>
      <cdr:x>0.26468</cdr:x>
      <cdr:y>0.0706</cdr:y>
    </cdr:from>
    <cdr:to>
      <cdr:x>0.31695</cdr:x>
      <cdr:y>0.14439</cdr:y>
    </cdr:to>
    <cdr:sp macro="" textlink="">
      <cdr:nvSpPr>
        <cdr:cNvPr id="4" name="TextBox 1"/>
        <cdr:cNvSpPr txBox="1"/>
      </cdr:nvSpPr>
      <cdr:spPr>
        <a:xfrm xmlns:a="http://schemas.openxmlformats.org/drawingml/2006/main">
          <a:off x="1205707" y="193675"/>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0.31434</cdr:x>
      <cdr:y>0.46991</cdr:y>
    </cdr:from>
    <cdr:to>
      <cdr:x>0.36661</cdr:x>
      <cdr:y>0.54369</cdr:y>
    </cdr:to>
    <cdr:sp macro="" textlink="">
      <cdr:nvSpPr>
        <cdr:cNvPr id="5" name="TextBox 1"/>
        <cdr:cNvSpPr txBox="1"/>
      </cdr:nvSpPr>
      <cdr:spPr>
        <a:xfrm xmlns:a="http://schemas.openxmlformats.org/drawingml/2006/main">
          <a:off x="1431925" y="1289050"/>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d</a:t>
          </a:r>
        </a:p>
      </cdr:txBody>
    </cdr:sp>
  </cdr:relSizeAnchor>
  <cdr:relSizeAnchor xmlns:cdr="http://schemas.openxmlformats.org/drawingml/2006/chartDrawing">
    <cdr:from>
      <cdr:x>0.39798</cdr:x>
      <cdr:y>0.07928</cdr:y>
    </cdr:from>
    <cdr:to>
      <cdr:x>0.45025</cdr:x>
      <cdr:y>0.15307</cdr:y>
    </cdr:to>
    <cdr:sp macro="" textlink="">
      <cdr:nvSpPr>
        <cdr:cNvPr id="6" name="TextBox 1"/>
        <cdr:cNvSpPr txBox="1"/>
      </cdr:nvSpPr>
      <cdr:spPr>
        <a:xfrm xmlns:a="http://schemas.openxmlformats.org/drawingml/2006/main">
          <a:off x="1812925" y="217488"/>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0.45287</cdr:x>
      <cdr:y>0.47425</cdr:y>
    </cdr:from>
    <cdr:to>
      <cdr:x>0.50514</cdr:x>
      <cdr:y>0.54803</cdr:y>
    </cdr:to>
    <cdr:sp macro="" textlink="">
      <cdr:nvSpPr>
        <cdr:cNvPr id="7" name="TextBox 1"/>
        <cdr:cNvSpPr txBox="1"/>
      </cdr:nvSpPr>
      <cdr:spPr>
        <a:xfrm xmlns:a="http://schemas.openxmlformats.org/drawingml/2006/main">
          <a:off x="2062956" y="1300956"/>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0.53128</cdr:x>
      <cdr:y>0.07494</cdr:y>
    </cdr:from>
    <cdr:to>
      <cdr:x>0.58355</cdr:x>
      <cdr:y>0.14873</cdr:y>
    </cdr:to>
    <cdr:sp macro="" textlink="">
      <cdr:nvSpPr>
        <cdr:cNvPr id="8" name="TextBox 1"/>
        <cdr:cNvSpPr txBox="1"/>
      </cdr:nvSpPr>
      <cdr:spPr>
        <a:xfrm xmlns:a="http://schemas.openxmlformats.org/drawingml/2006/main">
          <a:off x="2420144" y="205581"/>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0.58878</cdr:x>
      <cdr:y>0.23119</cdr:y>
    </cdr:from>
    <cdr:to>
      <cdr:x>0.64105</cdr:x>
      <cdr:y>0.30498</cdr:y>
    </cdr:to>
    <cdr:sp macro="" textlink="">
      <cdr:nvSpPr>
        <cdr:cNvPr id="9" name="TextBox 1"/>
        <cdr:cNvSpPr txBox="1"/>
      </cdr:nvSpPr>
      <cdr:spPr>
        <a:xfrm xmlns:a="http://schemas.openxmlformats.org/drawingml/2006/main">
          <a:off x="2682081" y="634206"/>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b</a:t>
          </a:r>
        </a:p>
      </cdr:txBody>
    </cdr:sp>
  </cdr:relSizeAnchor>
  <cdr:relSizeAnchor xmlns:cdr="http://schemas.openxmlformats.org/drawingml/2006/chartDrawing">
    <cdr:from>
      <cdr:x>0.66719</cdr:x>
      <cdr:y>0.07494</cdr:y>
    </cdr:from>
    <cdr:to>
      <cdr:x>0.71946</cdr:x>
      <cdr:y>0.14873</cdr:y>
    </cdr:to>
    <cdr:sp macro="" textlink="">
      <cdr:nvSpPr>
        <cdr:cNvPr id="10" name="TextBox 1"/>
        <cdr:cNvSpPr txBox="1"/>
      </cdr:nvSpPr>
      <cdr:spPr>
        <a:xfrm xmlns:a="http://schemas.openxmlformats.org/drawingml/2006/main">
          <a:off x="3039268" y="205582"/>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0.72469</cdr:x>
      <cdr:y>0.25289</cdr:y>
    </cdr:from>
    <cdr:to>
      <cdr:x>0.77696</cdr:x>
      <cdr:y>0.32668</cdr:y>
    </cdr:to>
    <cdr:sp macro="" textlink="">
      <cdr:nvSpPr>
        <cdr:cNvPr id="11" name="TextBox 1"/>
        <cdr:cNvSpPr txBox="1"/>
      </cdr:nvSpPr>
      <cdr:spPr>
        <a:xfrm xmlns:a="http://schemas.openxmlformats.org/drawingml/2006/main">
          <a:off x="3301206" y="693737"/>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c</a:t>
          </a:r>
        </a:p>
      </cdr:txBody>
    </cdr:sp>
  </cdr:relSizeAnchor>
  <cdr:relSizeAnchor xmlns:cdr="http://schemas.openxmlformats.org/drawingml/2006/chartDrawing">
    <cdr:from>
      <cdr:x>0.80833</cdr:x>
      <cdr:y>0.07928</cdr:y>
    </cdr:from>
    <cdr:to>
      <cdr:x>0.8606</cdr:x>
      <cdr:y>0.15307</cdr:y>
    </cdr:to>
    <cdr:sp macro="" textlink="">
      <cdr:nvSpPr>
        <cdr:cNvPr id="12" name="TextBox 1"/>
        <cdr:cNvSpPr txBox="1"/>
      </cdr:nvSpPr>
      <cdr:spPr>
        <a:xfrm xmlns:a="http://schemas.openxmlformats.org/drawingml/2006/main">
          <a:off x="3682207" y="217488"/>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0.86322</cdr:x>
      <cdr:y>0.23987</cdr:y>
    </cdr:from>
    <cdr:to>
      <cdr:x>0.91549</cdr:x>
      <cdr:y>0.31366</cdr:y>
    </cdr:to>
    <cdr:sp macro="" textlink="">
      <cdr:nvSpPr>
        <cdr:cNvPr id="13" name="TextBox 1"/>
        <cdr:cNvSpPr txBox="1"/>
      </cdr:nvSpPr>
      <cdr:spPr>
        <a:xfrm xmlns:a="http://schemas.openxmlformats.org/drawingml/2006/main">
          <a:off x="3932237" y="658018"/>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c</a:t>
          </a:r>
        </a:p>
      </cdr:txBody>
    </cdr:sp>
  </cdr:relSizeAnchor>
</c:userShapes>
</file>

<file path=word/drawings/drawing2.xml><?xml version="1.0" encoding="utf-8"?>
<c:userShapes xmlns:c="http://schemas.openxmlformats.org/drawingml/2006/chart">
  <cdr:relSizeAnchor xmlns:cdr="http://schemas.openxmlformats.org/drawingml/2006/chartDrawing">
    <cdr:from>
      <cdr:x>0.17059</cdr:x>
      <cdr:y>0.15741</cdr:y>
    </cdr:from>
    <cdr:to>
      <cdr:x>0.22286</cdr:x>
      <cdr:y>0.23119</cdr:y>
    </cdr:to>
    <cdr:sp macro="" textlink="">
      <cdr:nvSpPr>
        <cdr:cNvPr id="2" name="TextBox 1"/>
        <cdr:cNvSpPr txBox="1"/>
      </cdr:nvSpPr>
      <cdr:spPr>
        <a:xfrm xmlns:a="http://schemas.openxmlformats.org/drawingml/2006/main">
          <a:off x="777081" y="431800"/>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0.11831</cdr:x>
      <cdr:y>0.76071</cdr:y>
    </cdr:from>
    <cdr:to>
      <cdr:x>0.17059</cdr:x>
      <cdr:y>0.83449</cdr:y>
    </cdr:to>
    <cdr:sp macro="" textlink="">
      <cdr:nvSpPr>
        <cdr:cNvPr id="3" name="TextBox 1"/>
        <cdr:cNvSpPr txBox="1"/>
      </cdr:nvSpPr>
      <cdr:spPr>
        <a:xfrm xmlns:a="http://schemas.openxmlformats.org/drawingml/2006/main">
          <a:off x="538956" y="2086769"/>
          <a:ext cx="238125" cy="202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s-CO" sz="1100"/>
        </a:p>
      </cdr:txBody>
    </cdr:sp>
  </cdr:relSizeAnchor>
  <cdr:relSizeAnchor xmlns:cdr="http://schemas.openxmlformats.org/drawingml/2006/chartDrawing">
    <cdr:from>
      <cdr:x>0.2969</cdr:x>
      <cdr:y>0.16615</cdr:y>
    </cdr:from>
    <cdr:to>
      <cdr:x>0.34917</cdr:x>
      <cdr:y>0.23994</cdr:y>
    </cdr:to>
    <cdr:sp macro="" textlink="">
      <cdr:nvSpPr>
        <cdr:cNvPr id="5" name="TextBox 1"/>
        <cdr:cNvSpPr txBox="1"/>
      </cdr:nvSpPr>
      <cdr:spPr>
        <a:xfrm xmlns:a="http://schemas.openxmlformats.org/drawingml/2006/main">
          <a:off x="854039" y="364733"/>
          <a:ext cx="150357" cy="1619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0.41831</cdr:x>
      <cdr:y>0.16615</cdr:y>
    </cdr:from>
    <cdr:to>
      <cdr:x>0.47059</cdr:x>
      <cdr:y>0.23993</cdr:y>
    </cdr:to>
    <cdr:sp macro="" textlink="">
      <cdr:nvSpPr>
        <cdr:cNvPr id="7" name="TextBox 1"/>
        <cdr:cNvSpPr txBox="1"/>
      </cdr:nvSpPr>
      <cdr:spPr>
        <a:xfrm xmlns:a="http://schemas.openxmlformats.org/drawingml/2006/main">
          <a:off x="1203289" y="364733"/>
          <a:ext cx="150386" cy="1619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0.56939</cdr:x>
      <cdr:y>0.44463</cdr:y>
    </cdr:from>
    <cdr:to>
      <cdr:x>0.62166</cdr:x>
      <cdr:y>0.51842</cdr:y>
    </cdr:to>
    <cdr:sp macro="" textlink="">
      <cdr:nvSpPr>
        <cdr:cNvPr id="9" name="TextBox 1"/>
        <cdr:cNvSpPr txBox="1"/>
      </cdr:nvSpPr>
      <cdr:spPr>
        <a:xfrm xmlns:a="http://schemas.openxmlformats.org/drawingml/2006/main">
          <a:off x="1700444" y="976045"/>
          <a:ext cx="156099" cy="1619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b</a:t>
          </a:r>
        </a:p>
      </cdr:txBody>
    </cdr:sp>
  </cdr:relSizeAnchor>
  <cdr:relSizeAnchor xmlns:cdr="http://schemas.openxmlformats.org/drawingml/2006/chartDrawing">
    <cdr:from>
      <cdr:x>0.70973</cdr:x>
      <cdr:y>0.60083</cdr:y>
    </cdr:from>
    <cdr:to>
      <cdr:x>0.762</cdr:x>
      <cdr:y>0.67461</cdr:y>
    </cdr:to>
    <cdr:sp macro="" textlink="">
      <cdr:nvSpPr>
        <cdr:cNvPr id="11" name="TextBox 1"/>
        <cdr:cNvSpPr txBox="1"/>
      </cdr:nvSpPr>
      <cdr:spPr>
        <a:xfrm xmlns:a="http://schemas.openxmlformats.org/drawingml/2006/main">
          <a:off x="2119544" y="1318945"/>
          <a:ext cx="156100" cy="1619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c</a:t>
          </a:r>
        </a:p>
      </cdr:txBody>
    </cdr:sp>
  </cdr:relSizeAnchor>
  <cdr:relSizeAnchor xmlns:cdr="http://schemas.openxmlformats.org/drawingml/2006/chartDrawing">
    <cdr:from>
      <cdr:x>0.80683</cdr:x>
      <cdr:y>0.68683</cdr:y>
    </cdr:from>
    <cdr:to>
      <cdr:x>0.85811</cdr:x>
      <cdr:y>0.77769</cdr:y>
    </cdr:to>
    <cdr:sp macro="" textlink="">
      <cdr:nvSpPr>
        <cdr:cNvPr id="13" name="TextBox 1"/>
        <cdr:cNvSpPr txBox="1"/>
      </cdr:nvSpPr>
      <cdr:spPr>
        <a:xfrm xmlns:a="http://schemas.openxmlformats.org/drawingml/2006/main">
          <a:off x="2320889" y="1507733"/>
          <a:ext cx="147510" cy="1994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d</a:t>
          </a:r>
        </a:p>
      </cdr:txBody>
    </cdr:sp>
  </cdr:relSizeAnchor>
</c:userShapes>
</file>

<file path=word/drawings/drawing3.xml><?xml version="1.0" encoding="utf-8"?>
<c:userShapes xmlns:c="http://schemas.openxmlformats.org/drawingml/2006/chart">
  <cdr:relSizeAnchor xmlns:cdr="http://schemas.openxmlformats.org/drawingml/2006/chartDrawing">
    <cdr:from>
      <cdr:x>0.86944</cdr:x>
      <cdr:y>0.26505</cdr:y>
    </cdr:from>
    <cdr:to>
      <cdr:x>0.92569</cdr:x>
      <cdr:y>0.34144</cdr:y>
    </cdr:to>
    <cdr:sp macro="" textlink="">
      <cdr:nvSpPr>
        <cdr:cNvPr id="6" name="TextBox 1"/>
        <cdr:cNvSpPr txBox="1"/>
      </cdr:nvSpPr>
      <cdr:spPr>
        <a:xfrm xmlns:a="http://schemas.openxmlformats.org/drawingml/2006/main">
          <a:off x="3975080" y="727085"/>
          <a:ext cx="257175" cy="20955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s-CO" sz="1100"/>
        </a:p>
      </cdr:txBody>
    </cdr:sp>
  </cdr:relSizeAnchor>
  <cdr:relSizeAnchor xmlns:cdr="http://schemas.openxmlformats.org/drawingml/2006/chartDrawing">
    <cdr:from>
      <cdr:x>0.65278</cdr:x>
      <cdr:y>0.21644</cdr:y>
    </cdr:from>
    <cdr:to>
      <cdr:x>0.70903</cdr:x>
      <cdr:y>0.29282</cdr:y>
    </cdr:to>
    <cdr:sp macro="" textlink="">
      <cdr:nvSpPr>
        <cdr:cNvPr id="7" name="TextBox 1"/>
        <cdr:cNvSpPr txBox="1"/>
      </cdr:nvSpPr>
      <cdr:spPr>
        <a:xfrm xmlns:a="http://schemas.openxmlformats.org/drawingml/2006/main">
          <a:off x="2984500" y="593725"/>
          <a:ext cx="257175" cy="209550"/>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s-CO" sz="1100"/>
        </a:p>
      </cdr:txBody>
    </cdr:sp>
  </cdr:relSizeAnchor>
  <cdr:relSizeAnchor xmlns:cdr="http://schemas.openxmlformats.org/drawingml/2006/chartDrawing">
    <cdr:from>
      <cdr:x>0.59653</cdr:x>
      <cdr:y>0.17129</cdr:y>
    </cdr:from>
    <cdr:to>
      <cdr:x>0.67708</cdr:x>
      <cdr:y>0.24653</cdr:y>
    </cdr:to>
    <cdr:sp macro="" textlink="">
      <cdr:nvSpPr>
        <cdr:cNvPr id="9" name="TextBox 1"/>
        <cdr:cNvSpPr txBox="1"/>
      </cdr:nvSpPr>
      <cdr:spPr>
        <a:xfrm xmlns:a="http://schemas.openxmlformats.org/drawingml/2006/main">
          <a:off x="2727335" y="469890"/>
          <a:ext cx="368290" cy="206386"/>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s-CO" sz="1100"/>
        </a:p>
      </cdr:txBody>
    </cdr:sp>
  </cdr:relSizeAnchor>
  <cdr:relSizeAnchor xmlns:cdr="http://schemas.openxmlformats.org/drawingml/2006/chartDrawing">
    <cdr:from>
      <cdr:x>0.39652</cdr:x>
      <cdr:y>0.13311</cdr:y>
    </cdr:from>
    <cdr:to>
      <cdr:x>0.47917</cdr:x>
      <cdr:y>0.20486</cdr:y>
    </cdr:to>
    <cdr:sp macro="" textlink="">
      <cdr:nvSpPr>
        <cdr:cNvPr id="10" name="TextBox 1"/>
        <cdr:cNvSpPr txBox="1"/>
      </cdr:nvSpPr>
      <cdr:spPr>
        <a:xfrm xmlns:a="http://schemas.openxmlformats.org/drawingml/2006/main">
          <a:off x="1812905" y="365136"/>
          <a:ext cx="377845" cy="196840"/>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s-CO" sz="1100"/>
        </a:p>
      </cdr:txBody>
    </cdr:sp>
  </cdr:relSizeAnchor>
  <cdr:relSizeAnchor xmlns:cdr="http://schemas.openxmlformats.org/drawingml/2006/chartDrawing">
    <cdr:from>
      <cdr:x>0.4666</cdr:x>
      <cdr:y>0.35662</cdr:y>
    </cdr:from>
    <cdr:to>
      <cdr:x>0.61559</cdr:x>
      <cdr:y>0.44863</cdr:y>
    </cdr:to>
    <cdr:sp macro="" textlink="">
      <cdr:nvSpPr>
        <cdr:cNvPr id="18" name="TextBox 2"/>
        <cdr:cNvSpPr txBox="1"/>
      </cdr:nvSpPr>
      <cdr:spPr>
        <a:xfrm xmlns:a="http://schemas.openxmlformats.org/drawingml/2006/main">
          <a:off x="1711077" y="995277"/>
          <a:ext cx="546365" cy="256784"/>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NS</a:t>
          </a:r>
        </a:p>
      </cdr:txBody>
    </cdr:sp>
  </cdr:relSizeAnchor>
</c:userShapes>
</file>

<file path=word/drawings/drawing4.xml><?xml version="1.0" encoding="utf-8"?>
<c:userShapes xmlns:c="http://schemas.openxmlformats.org/drawingml/2006/chart">
  <cdr:relSizeAnchor xmlns:cdr="http://schemas.openxmlformats.org/drawingml/2006/chartDrawing">
    <cdr:from>
      <cdr:x>0.21405</cdr:x>
      <cdr:y>0.11232</cdr:y>
    </cdr:from>
    <cdr:to>
      <cdr:x>0.26111</cdr:x>
      <cdr:y>0.23773</cdr:y>
    </cdr:to>
    <cdr:sp macro="" textlink="">
      <cdr:nvSpPr>
        <cdr:cNvPr id="3" name="TextBox 2"/>
        <cdr:cNvSpPr txBox="1"/>
      </cdr:nvSpPr>
      <cdr:spPr>
        <a:xfrm xmlns:a="http://schemas.openxmlformats.org/drawingml/2006/main">
          <a:off x="646717" y="246349"/>
          <a:ext cx="142182" cy="275063"/>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s-CO" sz="1100"/>
            <a:t>a</a:t>
          </a:r>
        </a:p>
      </cdr:txBody>
    </cdr:sp>
  </cdr:relSizeAnchor>
  <cdr:relSizeAnchor xmlns:cdr="http://schemas.openxmlformats.org/drawingml/2006/chartDrawing">
    <cdr:from>
      <cdr:x>0.2737</cdr:x>
      <cdr:y>0.11532</cdr:y>
    </cdr:from>
    <cdr:to>
      <cdr:x>0.32995</cdr:x>
      <cdr:y>0.19171</cdr:y>
    </cdr:to>
    <cdr:sp macro="" textlink="">
      <cdr:nvSpPr>
        <cdr:cNvPr id="4" name="TextBox 1"/>
        <cdr:cNvSpPr txBox="1"/>
      </cdr:nvSpPr>
      <cdr:spPr>
        <a:xfrm xmlns:a="http://schemas.openxmlformats.org/drawingml/2006/main">
          <a:off x="1014116" y="326226"/>
          <a:ext cx="208419" cy="216102"/>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0.4923</cdr:x>
      <cdr:y>0.28984</cdr:y>
    </cdr:from>
    <cdr:to>
      <cdr:x>0.54855</cdr:x>
      <cdr:y>0.36623</cdr:y>
    </cdr:to>
    <cdr:sp macro="" textlink="">
      <cdr:nvSpPr>
        <cdr:cNvPr id="5" name="TextBox 1"/>
        <cdr:cNvSpPr txBox="1"/>
      </cdr:nvSpPr>
      <cdr:spPr>
        <a:xfrm xmlns:a="http://schemas.openxmlformats.org/drawingml/2006/main">
          <a:off x="1487398" y="635713"/>
          <a:ext cx="169950" cy="167546"/>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b</a:t>
          </a:r>
        </a:p>
      </cdr:txBody>
    </cdr:sp>
  </cdr:relSizeAnchor>
  <cdr:relSizeAnchor xmlns:cdr="http://schemas.openxmlformats.org/drawingml/2006/chartDrawing">
    <cdr:from>
      <cdr:x>0.87458</cdr:x>
      <cdr:y>0.29199</cdr:y>
    </cdr:from>
    <cdr:to>
      <cdr:x>0.93083</cdr:x>
      <cdr:y>0.36838</cdr:y>
    </cdr:to>
    <cdr:sp macro="" textlink="">
      <cdr:nvSpPr>
        <cdr:cNvPr id="6" name="TextBox 1"/>
        <cdr:cNvSpPr txBox="1"/>
      </cdr:nvSpPr>
      <cdr:spPr>
        <a:xfrm xmlns:a="http://schemas.openxmlformats.org/drawingml/2006/main">
          <a:off x="3240521" y="826007"/>
          <a:ext cx="208419" cy="216101"/>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b</a:t>
          </a:r>
        </a:p>
      </cdr:txBody>
    </cdr:sp>
  </cdr:relSizeAnchor>
  <cdr:relSizeAnchor xmlns:cdr="http://schemas.openxmlformats.org/drawingml/2006/chartDrawing">
    <cdr:from>
      <cdr:x>0.65278</cdr:x>
      <cdr:y>0.21644</cdr:y>
    </cdr:from>
    <cdr:to>
      <cdr:x>0.70903</cdr:x>
      <cdr:y>0.29282</cdr:y>
    </cdr:to>
    <cdr:sp macro="" textlink="">
      <cdr:nvSpPr>
        <cdr:cNvPr id="7" name="TextBox 1"/>
        <cdr:cNvSpPr txBox="1"/>
      </cdr:nvSpPr>
      <cdr:spPr>
        <a:xfrm xmlns:a="http://schemas.openxmlformats.org/drawingml/2006/main">
          <a:off x="2984500" y="593725"/>
          <a:ext cx="257175" cy="209550"/>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b</a:t>
          </a:r>
        </a:p>
      </cdr:txBody>
    </cdr:sp>
  </cdr:relSizeAnchor>
  <cdr:relSizeAnchor xmlns:cdr="http://schemas.openxmlformats.org/drawingml/2006/chartDrawing">
    <cdr:from>
      <cdr:x>0.76973</cdr:x>
      <cdr:y>0.18172</cdr:y>
    </cdr:from>
    <cdr:to>
      <cdr:x>0.89792</cdr:x>
      <cdr:y>0.28984</cdr:y>
    </cdr:to>
    <cdr:sp macro="" textlink="">
      <cdr:nvSpPr>
        <cdr:cNvPr id="8" name="TextBox 1"/>
        <cdr:cNvSpPr txBox="1"/>
      </cdr:nvSpPr>
      <cdr:spPr>
        <a:xfrm xmlns:a="http://schemas.openxmlformats.org/drawingml/2006/main">
          <a:off x="2325598" y="398565"/>
          <a:ext cx="387315" cy="237148"/>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ab</a:t>
          </a:r>
        </a:p>
      </cdr:txBody>
    </cdr:sp>
  </cdr:relSizeAnchor>
  <cdr:relSizeAnchor xmlns:cdr="http://schemas.openxmlformats.org/drawingml/2006/chartDrawing">
    <cdr:from>
      <cdr:x>0.59653</cdr:x>
      <cdr:y>0.17129</cdr:y>
    </cdr:from>
    <cdr:to>
      <cdr:x>0.71208</cdr:x>
      <cdr:y>0.24579</cdr:y>
    </cdr:to>
    <cdr:sp macro="" textlink="">
      <cdr:nvSpPr>
        <cdr:cNvPr id="9" name="TextBox 1"/>
        <cdr:cNvSpPr txBox="1"/>
      </cdr:nvSpPr>
      <cdr:spPr>
        <a:xfrm xmlns:a="http://schemas.openxmlformats.org/drawingml/2006/main">
          <a:off x="2210277" y="484567"/>
          <a:ext cx="428147" cy="210758"/>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ab</a:t>
          </a:r>
        </a:p>
      </cdr:txBody>
    </cdr:sp>
  </cdr:relSizeAnchor>
  <cdr:relSizeAnchor xmlns:cdr="http://schemas.openxmlformats.org/drawingml/2006/chartDrawing">
    <cdr:from>
      <cdr:x>0.39652</cdr:x>
      <cdr:y>0.13311</cdr:y>
    </cdr:from>
    <cdr:to>
      <cdr:x>0.51671</cdr:x>
      <cdr:y>0.20875</cdr:y>
    </cdr:to>
    <cdr:sp macro="" textlink="">
      <cdr:nvSpPr>
        <cdr:cNvPr id="10" name="TextBox 1"/>
        <cdr:cNvSpPr txBox="1"/>
      </cdr:nvSpPr>
      <cdr:spPr>
        <a:xfrm xmlns:a="http://schemas.openxmlformats.org/drawingml/2006/main">
          <a:off x="1469196" y="376558"/>
          <a:ext cx="445329" cy="213992"/>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ab</a:t>
          </a:r>
        </a:p>
      </cdr:txBody>
    </cdr:sp>
  </cdr:relSizeAnchor>
</c:userShapes>
</file>

<file path=word/drawings/drawing5.xml><?xml version="1.0" encoding="utf-8"?>
<c:userShapes xmlns:c="http://schemas.openxmlformats.org/drawingml/2006/chart">
  <cdr:relSizeAnchor xmlns:cdr="http://schemas.openxmlformats.org/drawingml/2006/chartDrawing">
    <cdr:from>
      <cdr:x>0.50706</cdr:x>
      <cdr:y>0.11285</cdr:y>
    </cdr:from>
    <cdr:to>
      <cdr:x>0.55556</cdr:x>
      <cdr:y>0.20297</cdr:y>
    </cdr:to>
    <cdr:sp macro="" textlink="">
      <cdr:nvSpPr>
        <cdr:cNvPr id="2" name="TextBox 1"/>
        <cdr:cNvSpPr txBox="1"/>
      </cdr:nvSpPr>
      <cdr:spPr>
        <a:xfrm xmlns:a="http://schemas.openxmlformats.org/drawingml/2006/main">
          <a:off x="2144407" y="289504"/>
          <a:ext cx="205093" cy="231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t>a</a:t>
          </a:r>
        </a:p>
      </cdr:txBody>
    </cdr:sp>
  </cdr:relSizeAnchor>
  <cdr:relSizeAnchor xmlns:cdr="http://schemas.openxmlformats.org/drawingml/2006/chartDrawing">
    <cdr:from>
      <cdr:x>0.62295</cdr:x>
      <cdr:y>0.10881</cdr:y>
    </cdr:from>
    <cdr:to>
      <cdr:x>0.66462</cdr:x>
      <cdr:y>0.17478</cdr:y>
    </cdr:to>
    <cdr:sp macro="" textlink="">
      <cdr:nvSpPr>
        <cdr:cNvPr id="3" name="TextBox 1"/>
        <cdr:cNvSpPr txBox="1"/>
      </cdr:nvSpPr>
      <cdr:spPr>
        <a:xfrm xmlns:a="http://schemas.openxmlformats.org/drawingml/2006/main">
          <a:off x="2302227" y="298475"/>
          <a:ext cx="154000" cy="1809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a</a:t>
          </a:r>
        </a:p>
      </cdr:txBody>
    </cdr:sp>
  </cdr:relSizeAnchor>
  <cdr:relSizeAnchor xmlns:cdr="http://schemas.openxmlformats.org/drawingml/2006/chartDrawing">
    <cdr:from>
      <cdr:x>0.77555</cdr:x>
      <cdr:y>0.42361</cdr:y>
    </cdr:from>
    <cdr:to>
      <cdr:x>0.82556</cdr:x>
      <cdr:y>0.5</cdr:y>
    </cdr:to>
    <cdr:sp macro="" textlink="">
      <cdr:nvSpPr>
        <cdr:cNvPr id="4" name="TextBox 1"/>
        <cdr:cNvSpPr txBox="1"/>
      </cdr:nvSpPr>
      <cdr:spPr>
        <a:xfrm xmlns:a="http://schemas.openxmlformats.org/drawingml/2006/main">
          <a:off x="2866207" y="1162059"/>
          <a:ext cx="184822" cy="20955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d</a:t>
          </a:r>
        </a:p>
      </cdr:txBody>
    </cdr:sp>
  </cdr:relSizeAnchor>
  <cdr:relSizeAnchor xmlns:cdr="http://schemas.openxmlformats.org/drawingml/2006/chartDrawing">
    <cdr:from>
      <cdr:x>0.88402</cdr:x>
      <cdr:y>0.41783</cdr:y>
    </cdr:from>
    <cdr:to>
      <cdr:x>0.99041</cdr:x>
      <cdr:y>0.51389</cdr:y>
    </cdr:to>
    <cdr:sp macro="" textlink="">
      <cdr:nvSpPr>
        <cdr:cNvPr id="5" name="TextBox 1"/>
        <cdr:cNvSpPr txBox="1"/>
      </cdr:nvSpPr>
      <cdr:spPr>
        <a:xfrm xmlns:a="http://schemas.openxmlformats.org/drawingml/2006/main">
          <a:off x="3267075" y="1146194"/>
          <a:ext cx="393179" cy="2635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cd</a:t>
          </a:r>
        </a:p>
      </cdr:txBody>
    </cdr:sp>
  </cdr:relSizeAnchor>
  <cdr:relSizeAnchor xmlns:cdr="http://schemas.openxmlformats.org/drawingml/2006/chartDrawing">
    <cdr:from>
      <cdr:x>0.4638</cdr:x>
      <cdr:y>0.41759</cdr:y>
    </cdr:from>
    <cdr:to>
      <cdr:x>0.50547</cdr:x>
      <cdr:y>0.48356</cdr:y>
    </cdr:to>
    <cdr:sp macro="" textlink="">
      <cdr:nvSpPr>
        <cdr:cNvPr id="6" name="TextBox 1"/>
        <cdr:cNvSpPr txBox="1"/>
      </cdr:nvSpPr>
      <cdr:spPr>
        <a:xfrm xmlns:a="http://schemas.openxmlformats.org/drawingml/2006/main">
          <a:off x="1352410" y="900507"/>
          <a:ext cx="121506" cy="1422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c</a:t>
          </a:r>
        </a:p>
      </cdr:txBody>
    </cdr:sp>
  </cdr:relSizeAnchor>
  <cdr:relSizeAnchor xmlns:cdr="http://schemas.openxmlformats.org/drawingml/2006/chartDrawing">
    <cdr:from>
      <cdr:x>0.34403</cdr:x>
      <cdr:y>0.36458</cdr:y>
    </cdr:from>
    <cdr:to>
      <cdr:x>0.3857</cdr:x>
      <cdr:y>0.43056</cdr:y>
    </cdr:to>
    <cdr:sp macro="" textlink="">
      <cdr:nvSpPr>
        <cdr:cNvPr id="7" name="TextBox 1"/>
        <cdr:cNvSpPr txBox="1"/>
      </cdr:nvSpPr>
      <cdr:spPr>
        <a:xfrm xmlns:a="http://schemas.openxmlformats.org/drawingml/2006/main">
          <a:off x="1003160" y="786207"/>
          <a:ext cx="121506" cy="1422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b</a:t>
          </a:r>
        </a:p>
      </cdr:txBody>
    </cdr:sp>
  </cdr:relSizeAnchor>
  <cdr:relSizeAnchor xmlns:cdr="http://schemas.openxmlformats.org/drawingml/2006/chartDrawing">
    <cdr:from>
      <cdr:x>0.17778</cdr:x>
      <cdr:y>0.11922</cdr:y>
    </cdr:from>
    <cdr:to>
      <cdr:x>0.29612</cdr:x>
      <cdr:y>0.18519</cdr:y>
    </cdr:to>
    <cdr:sp macro="" textlink="">
      <cdr:nvSpPr>
        <cdr:cNvPr id="9" name="TextBox 1"/>
        <cdr:cNvSpPr txBox="1"/>
      </cdr:nvSpPr>
      <cdr:spPr>
        <a:xfrm xmlns:a="http://schemas.openxmlformats.org/drawingml/2006/main">
          <a:off x="518392" y="257093"/>
          <a:ext cx="345068" cy="1422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a a</a:t>
          </a:r>
        </a:p>
      </cdr:txBody>
    </cdr:sp>
  </cdr:relSizeAnchor>
  <cdr:relSizeAnchor xmlns:cdr="http://schemas.openxmlformats.org/drawingml/2006/chartDrawing">
    <cdr:from>
      <cdr:x>0.2769</cdr:x>
      <cdr:y>0.11574</cdr:y>
    </cdr:from>
    <cdr:to>
      <cdr:x>0.31857</cdr:x>
      <cdr:y>0.18171</cdr:y>
    </cdr:to>
    <cdr:sp macro="" textlink="">
      <cdr:nvSpPr>
        <cdr:cNvPr id="10" name="TextBox 1"/>
        <cdr:cNvSpPr txBox="1"/>
      </cdr:nvSpPr>
      <cdr:spPr>
        <a:xfrm xmlns:a="http://schemas.openxmlformats.org/drawingml/2006/main">
          <a:off x="1023325" y="317498"/>
          <a:ext cx="154000" cy="1809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a</a:t>
          </a:r>
        </a:p>
      </cdr:txBody>
    </cdr:sp>
  </cdr:relSizeAnchor>
  <cdr:relSizeAnchor xmlns:cdr="http://schemas.openxmlformats.org/drawingml/2006/chartDrawing">
    <cdr:from>
      <cdr:x>0.39774</cdr:x>
      <cdr:y>0.11921</cdr:y>
    </cdr:from>
    <cdr:to>
      <cdr:x>0.4394</cdr:x>
      <cdr:y>0.18518</cdr:y>
    </cdr:to>
    <cdr:sp macro="" textlink="">
      <cdr:nvSpPr>
        <cdr:cNvPr id="11" name="TextBox 1"/>
        <cdr:cNvSpPr txBox="1"/>
      </cdr:nvSpPr>
      <cdr:spPr>
        <a:xfrm xmlns:a="http://schemas.openxmlformats.org/drawingml/2006/main">
          <a:off x="1469913" y="327023"/>
          <a:ext cx="153963" cy="1809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a</a:t>
          </a:r>
        </a:p>
      </cdr:txBody>
    </cdr:sp>
  </cdr:relSizeAnchor>
  <cdr:relSizeAnchor xmlns:cdr="http://schemas.openxmlformats.org/drawingml/2006/chartDrawing">
    <cdr:from>
      <cdr:x>0.55281</cdr:x>
      <cdr:y>0.43474</cdr:y>
    </cdr:from>
    <cdr:to>
      <cdr:x>0.59448</cdr:x>
      <cdr:y>0.50071</cdr:y>
    </cdr:to>
    <cdr:sp macro="" textlink="">
      <cdr:nvSpPr>
        <cdr:cNvPr id="12" name="TextBox 1"/>
        <cdr:cNvSpPr txBox="1"/>
      </cdr:nvSpPr>
      <cdr:spPr>
        <a:xfrm xmlns:a="http://schemas.openxmlformats.org/drawingml/2006/main">
          <a:off x="2337876" y="1115276"/>
          <a:ext cx="176227" cy="1692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e</a:t>
          </a:r>
        </a:p>
      </cdr:txBody>
    </cdr:sp>
  </cdr:relSizeAnchor>
  <cdr:relSizeAnchor xmlns:cdr="http://schemas.openxmlformats.org/drawingml/2006/chartDrawing">
    <cdr:from>
      <cdr:x>0.67013</cdr:x>
      <cdr:y>0.4298</cdr:y>
    </cdr:from>
    <cdr:to>
      <cdr:x>0.7118</cdr:x>
      <cdr:y>0.49577</cdr:y>
    </cdr:to>
    <cdr:sp macro="" textlink="">
      <cdr:nvSpPr>
        <cdr:cNvPr id="13" name="TextBox 1"/>
        <cdr:cNvSpPr txBox="1"/>
      </cdr:nvSpPr>
      <cdr:spPr>
        <a:xfrm xmlns:a="http://schemas.openxmlformats.org/drawingml/2006/main">
          <a:off x="2834064" y="1102601"/>
          <a:ext cx="176226" cy="1692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e</a:t>
          </a:r>
        </a:p>
      </cdr:txBody>
    </cdr:sp>
  </cdr:relSizeAnchor>
  <cdr:relSizeAnchor xmlns:cdr="http://schemas.openxmlformats.org/drawingml/2006/chartDrawing">
    <cdr:from>
      <cdr:x>0.74328</cdr:x>
      <cdr:y>0.11228</cdr:y>
    </cdr:from>
    <cdr:to>
      <cdr:x>0.78495</cdr:x>
      <cdr:y>0.17825</cdr:y>
    </cdr:to>
    <cdr:sp macro="" textlink="">
      <cdr:nvSpPr>
        <cdr:cNvPr id="14" name="TextBox 1"/>
        <cdr:cNvSpPr txBox="1"/>
      </cdr:nvSpPr>
      <cdr:spPr>
        <a:xfrm xmlns:a="http://schemas.openxmlformats.org/drawingml/2006/main">
          <a:off x="2746941" y="308000"/>
          <a:ext cx="153999" cy="1809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a</a:t>
          </a:r>
        </a:p>
      </cdr:txBody>
    </cdr:sp>
  </cdr:relSizeAnchor>
  <cdr:relSizeAnchor xmlns:cdr="http://schemas.openxmlformats.org/drawingml/2006/chartDrawing">
    <cdr:from>
      <cdr:x>0.86154</cdr:x>
      <cdr:y>0.11574</cdr:y>
    </cdr:from>
    <cdr:to>
      <cdr:x>0.9032</cdr:x>
      <cdr:y>0.18171</cdr:y>
    </cdr:to>
    <cdr:sp macro="" textlink="">
      <cdr:nvSpPr>
        <cdr:cNvPr id="15" name="TextBox 1"/>
        <cdr:cNvSpPr txBox="1"/>
      </cdr:nvSpPr>
      <cdr:spPr>
        <a:xfrm xmlns:a="http://schemas.openxmlformats.org/drawingml/2006/main">
          <a:off x="3184004" y="317504"/>
          <a:ext cx="153963" cy="1809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t>a</a:t>
          </a:r>
        </a:p>
      </cdr:txBody>
    </cdr:sp>
  </cdr:relSizeAnchor>
</c:userShapes>
</file>

<file path=word/drawings/drawing6.xml><?xml version="1.0" encoding="utf-8"?>
<c:userShapes xmlns:c="http://schemas.openxmlformats.org/drawingml/2006/chart">
  <cdr:relSizeAnchor xmlns:cdr="http://schemas.openxmlformats.org/drawingml/2006/chartDrawing">
    <cdr:from>
      <cdr:x>0.2435</cdr:x>
      <cdr:y>0.58146</cdr:y>
    </cdr:from>
    <cdr:to>
      <cdr:x>0.29141</cdr:x>
      <cdr:y>0.7304</cdr:y>
    </cdr:to>
    <cdr:sp macro="" textlink="">
      <cdr:nvSpPr>
        <cdr:cNvPr id="2" name="TextBox 1"/>
        <cdr:cNvSpPr txBox="1"/>
      </cdr:nvSpPr>
      <cdr:spPr>
        <a:xfrm xmlns:a="http://schemas.openxmlformats.org/drawingml/2006/main">
          <a:off x="710034" y="1255745"/>
          <a:ext cx="139700" cy="3216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0.29141</cdr:x>
      <cdr:y>0.58146</cdr:y>
    </cdr:from>
    <cdr:to>
      <cdr:x>0.31537</cdr:x>
      <cdr:y>0.72892</cdr:y>
    </cdr:to>
    <cdr:sp macro="" textlink="">
      <cdr:nvSpPr>
        <cdr:cNvPr id="3" name="TextBox 1"/>
        <cdr:cNvSpPr txBox="1"/>
      </cdr:nvSpPr>
      <cdr:spPr>
        <a:xfrm xmlns:a="http://schemas.openxmlformats.org/drawingml/2006/main">
          <a:off x="849734" y="1255746"/>
          <a:ext cx="69850" cy="3184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0.33932</cdr:x>
      <cdr:y>0.58146</cdr:y>
    </cdr:from>
    <cdr:to>
      <cdr:x>0.38723</cdr:x>
      <cdr:y>0.72692</cdr:y>
    </cdr:to>
    <cdr:sp macro="" textlink="">
      <cdr:nvSpPr>
        <cdr:cNvPr id="4" name="TextBox 1"/>
        <cdr:cNvSpPr txBox="1"/>
      </cdr:nvSpPr>
      <cdr:spPr>
        <a:xfrm xmlns:a="http://schemas.openxmlformats.org/drawingml/2006/main">
          <a:off x="989434" y="1255745"/>
          <a:ext cx="139700" cy="3141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0.36328</cdr:x>
      <cdr:y>0.58146</cdr:y>
    </cdr:from>
    <cdr:to>
      <cdr:x>0.43514</cdr:x>
      <cdr:y>0.72692</cdr:y>
    </cdr:to>
    <cdr:sp macro="" textlink="">
      <cdr:nvSpPr>
        <cdr:cNvPr id="5" name="TextBox 1"/>
        <cdr:cNvSpPr txBox="1"/>
      </cdr:nvSpPr>
      <cdr:spPr>
        <a:xfrm xmlns:a="http://schemas.openxmlformats.org/drawingml/2006/main">
          <a:off x="1059284" y="1255745"/>
          <a:ext cx="209550" cy="3141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0.43514</cdr:x>
      <cdr:y>0.58146</cdr:y>
    </cdr:from>
    <cdr:to>
      <cdr:x>0.48305</cdr:x>
      <cdr:y>0.72744</cdr:y>
    </cdr:to>
    <cdr:sp macro="" textlink="">
      <cdr:nvSpPr>
        <cdr:cNvPr id="6" name="TextBox 1"/>
        <cdr:cNvSpPr txBox="1"/>
      </cdr:nvSpPr>
      <cdr:spPr>
        <a:xfrm xmlns:a="http://schemas.openxmlformats.org/drawingml/2006/main">
          <a:off x="1268834" y="1255746"/>
          <a:ext cx="139700" cy="3152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0.52235</cdr:x>
      <cdr:y>0.58146</cdr:y>
    </cdr:from>
    <cdr:to>
      <cdr:x>0.57887</cdr:x>
      <cdr:y>0.73882</cdr:y>
    </cdr:to>
    <cdr:sp macro="" textlink="">
      <cdr:nvSpPr>
        <cdr:cNvPr id="7" name="TextBox 1"/>
        <cdr:cNvSpPr txBox="1"/>
      </cdr:nvSpPr>
      <cdr:spPr>
        <a:xfrm xmlns:a="http://schemas.openxmlformats.org/drawingml/2006/main">
          <a:off x="1523130" y="1255745"/>
          <a:ext cx="164803" cy="3398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0.63807</cdr:x>
      <cdr:y>0.58146</cdr:y>
    </cdr:from>
    <cdr:to>
      <cdr:x>0.67469</cdr:x>
      <cdr:y>0.76733</cdr:y>
    </cdr:to>
    <cdr:sp macro="" textlink="">
      <cdr:nvSpPr>
        <cdr:cNvPr id="8" name="TextBox 1"/>
        <cdr:cNvSpPr txBox="1"/>
      </cdr:nvSpPr>
      <cdr:spPr>
        <a:xfrm xmlns:a="http://schemas.openxmlformats.org/drawingml/2006/main">
          <a:off x="1860561" y="1255745"/>
          <a:ext cx="106773" cy="4014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0.7226</cdr:x>
      <cdr:y>0.58146</cdr:y>
    </cdr:from>
    <cdr:to>
      <cdr:x>0.79446</cdr:x>
      <cdr:y>0.72892</cdr:y>
    </cdr:to>
    <cdr:sp macro="" textlink="">
      <cdr:nvSpPr>
        <cdr:cNvPr id="9" name="TextBox 1"/>
        <cdr:cNvSpPr txBox="1"/>
      </cdr:nvSpPr>
      <cdr:spPr>
        <a:xfrm xmlns:a="http://schemas.openxmlformats.org/drawingml/2006/main">
          <a:off x="2107034" y="1255746"/>
          <a:ext cx="209550" cy="3184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0.81842</cdr:x>
      <cdr:y>0.58146</cdr:y>
    </cdr:from>
    <cdr:to>
      <cdr:x>0.89322</cdr:x>
      <cdr:y>0.72545</cdr:y>
    </cdr:to>
    <cdr:sp macro="" textlink="">
      <cdr:nvSpPr>
        <cdr:cNvPr id="10" name="TextBox 1"/>
        <cdr:cNvSpPr txBox="1"/>
      </cdr:nvSpPr>
      <cdr:spPr>
        <a:xfrm xmlns:a="http://schemas.openxmlformats.org/drawingml/2006/main">
          <a:off x="2386434" y="1255745"/>
          <a:ext cx="218125" cy="3109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e</a:t>
          </a:r>
        </a:p>
      </cdr:txBody>
    </cdr:sp>
  </cdr:relSizeAnchor>
  <cdr:relSizeAnchor xmlns:cdr="http://schemas.openxmlformats.org/drawingml/2006/chartDrawing">
    <cdr:from>
      <cdr:x>0.55067</cdr:x>
      <cdr:y>0.13657</cdr:y>
    </cdr:from>
    <cdr:to>
      <cdr:x>0.59234</cdr:x>
      <cdr:y>0.20254</cdr:y>
    </cdr:to>
    <cdr:sp macro="" textlink="">
      <cdr:nvSpPr>
        <cdr:cNvPr id="11" name="TextBox 1"/>
        <cdr:cNvSpPr txBox="1"/>
      </cdr:nvSpPr>
      <cdr:spPr>
        <a:xfrm xmlns:a="http://schemas.openxmlformats.org/drawingml/2006/main">
          <a:off x="2323596" y="350357"/>
          <a:ext cx="175830" cy="1692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0.67796</cdr:x>
      <cdr:y>0.18171</cdr:y>
    </cdr:from>
    <cdr:to>
      <cdr:x>0.71962</cdr:x>
      <cdr:y>0.24768</cdr:y>
    </cdr:to>
    <cdr:sp macro="" textlink="">
      <cdr:nvSpPr>
        <cdr:cNvPr id="12" name="TextBox 1"/>
        <cdr:cNvSpPr txBox="1"/>
      </cdr:nvSpPr>
      <cdr:spPr>
        <a:xfrm xmlns:a="http://schemas.openxmlformats.org/drawingml/2006/main">
          <a:off x="2499071" y="498473"/>
          <a:ext cx="153566" cy="1809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b</a:t>
          </a:r>
        </a:p>
      </cdr:txBody>
    </cdr:sp>
  </cdr:relSizeAnchor>
  <cdr:relSizeAnchor xmlns:cdr="http://schemas.openxmlformats.org/drawingml/2006/chartDrawing">
    <cdr:from>
      <cdr:x>0.78637</cdr:x>
      <cdr:y>0.21644</cdr:y>
    </cdr:from>
    <cdr:to>
      <cdr:x>0.82803</cdr:x>
      <cdr:y>0.28241</cdr:y>
    </cdr:to>
    <cdr:sp macro="" textlink="">
      <cdr:nvSpPr>
        <cdr:cNvPr id="13" name="TextBox 1"/>
        <cdr:cNvSpPr txBox="1"/>
      </cdr:nvSpPr>
      <cdr:spPr>
        <a:xfrm xmlns:a="http://schemas.openxmlformats.org/drawingml/2006/main">
          <a:off x="2898704" y="593732"/>
          <a:ext cx="153566" cy="1809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b</a:t>
          </a:r>
        </a:p>
      </cdr:txBody>
    </cdr:sp>
  </cdr:relSizeAnchor>
  <cdr:relSizeAnchor xmlns:cdr="http://schemas.openxmlformats.org/drawingml/2006/chartDrawing">
    <cdr:from>
      <cdr:x>0.86745</cdr:x>
      <cdr:y>0.26463</cdr:y>
    </cdr:from>
    <cdr:to>
      <cdr:x>0.90911</cdr:x>
      <cdr:y>0.3306</cdr:y>
    </cdr:to>
    <cdr:sp macro="" textlink="">
      <cdr:nvSpPr>
        <cdr:cNvPr id="14" name="TextBox 1"/>
        <cdr:cNvSpPr txBox="1"/>
      </cdr:nvSpPr>
      <cdr:spPr>
        <a:xfrm xmlns:a="http://schemas.openxmlformats.org/drawingml/2006/main">
          <a:off x="2529417" y="571500"/>
          <a:ext cx="121477" cy="1424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c</a:t>
          </a:r>
        </a:p>
      </cdr:txBody>
    </cdr:sp>
  </cdr:relSizeAnchor>
  <cdr:relSizeAnchor xmlns:cdr="http://schemas.openxmlformats.org/drawingml/2006/chartDrawing">
    <cdr:from>
      <cdr:x>0.46022</cdr:x>
      <cdr:y>0.37048</cdr:y>
    </cdr:from>
    <cdr:to>
      <cdr:x>0.53208</cdr:x>
      <cdr:y>0.47633</cdr:y>
    </cdr:to>
    <cdr:sp macro="" textlink="">
      <cdr:nvSpPr>
        <cdr:cNvPr id="15" name="TextBox 1"/>
        <cdr:cNvSpPr txBox="1"/>
      </cdr:nvSpPr>
      <cdr:spPr>
        <a:xfrm xmlns:a="http://schemas.openxmlformats.org/drawingml/2006/main" flipH="1">
          <a:off x="1341965" y="800100"/>
          <a:ext cx="209549"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d</a:t>
          </a:r>
        </a:p>
      </cdr:txBody>
    </cdr:sp>
  </cdr:relSizeAnchor>
</c:userShapes>
</file>

<file path=word/drawings/drawing7.xml><?xml version="1.0" encoding="utf-8"?>
<c:userShapes xmlns:c="http://schemas.openxmlformats.org/drawingml/2006/chart">
  <cdr:relSizeAnchor xmlns:cdr="http://schemas.openxmlformats.org/drawingml/2006/chartDrawing">
    <cdr:from>
      <cdr:x>0.28289</cdr:x>
      <cdr:y>0.38966</cdr:y>
    </cdr:from>
    <cdr:to>
      <cdr:x>0.35222</cdr:x>
      <cdr:y>0.47454</cdr:y>
    </cdr:to>
    <cdr:sp macro="" textlink="">
      <cdr:nvSpPr>
        <cdr:cNvPr id="2" name="TextBox 1"/>
        <cdr:cNvSpPr txBox="1"/>
      </cdr:nvSpPr>
      <cdr:spPr>
        <a:xfrm xmlns:a="http://schemas.openxmlformats.org/drawingml/2006/main">
          <a:off x="1079500" y="1068917"/>
          <a:ext cx="264583" cy="2328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b</a:t>
          </a:r>
        </a:p>
      </cdr:txBody>
    </cdr:sp>
  </cdr:relSizeAnchor>
  <cdr:relSizeAnchor xmlns:cdr="http://schemas.openxmlformats.org/drawingml/2006/chartDrawing">
    <cdr:from>
      <cdr:x>0.19636</cdr:x>
      <cdr:y>0.12269</cdr:y>
    </cdr:from>
    <cdr:to>
      <cdr:x>0.26569</cdr:x>
      <cdr:y>0.20756</cdr:y>
    </cdr:to>
    <cdr:sp macro="" textlink="">
      <cdr:nvSpPr>
        <cdr:cNvPr id="3" name="TextBox 1"/>
        <cdr:cNvSpPr txBox="1"/>
      </cdr:nvSpPr>
      <cdr:spPr>
        <a:xfrm xmlns:a="http://schemas.openxmlformats.org/drawingml/2006/main">
          <a:off x="749300" y="336550"/>
          <a:ext cx="264583" cy="2328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0.4737</cdr:x>
      <cdr:y>0.11497</cdr:y>
    </cdr:from>
    <cdr:to>
      <cdr:x>0.54303</cdr:x>
      <cdr:y>0.19985</cdr:y>
    </cdr:to>
    <cdr:sp macro="" textlink="">
      <cdr:nvSpPr>
        <cdr:cNvPr id="4" name="TextBox 1"/>
        <cdr:cNvSpPr txBox="1"/>
      </cdr:nvSpPr>
      <cdr:spPr>
        <a:xfrm xmlns:a="http://schemas.openxmlformats.org/drawingml/2006/main">
          <a:off x="1807634" y="315383"/>
          <a:ext cx="264583" cy="2328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0.74549</cdr:x>
      <cdr:y>0.12654</cdr:y>
    </cdr:from>
    <cdr:to>
      <cdr:x>0.81483</cdr:x>
      <cdr:y>0.21142</cdr:y>
    </cdr:to>
    <cdr:sp macro="" textlink="">
      <cdr:nvSpPr>
        <cdr:cNvPr id="5" name="TextBox 1"/>
        <cdr:cNvSpPr txBox="1"/>
      </cdr:nvSpPr>
      <cdr:spPr>
        <a:xfrm xmlns:a="http://schemas.openxmlformats.org/drawingml/2006/main">
          <a:off x="2844800" y="347133"/>
          <a:ext cx="264583" cy="2328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a</a:t>
          </a:r>
        </a:p>
      </cdr:txBody>
    </cdr:sp>
  </cdr:relSizeAnchor>
  <cdr:relSizeAnchor xmlns:cdr="http://schemas.openxmlformats.org/drawingml/2006/chartDrawing">
    <cdr:from>
      <cdr:x>0.53504</cdr:x>
      <cdr:y>0.42612</cdr:y>
    </cdr:from>
    <cdr:to>
      <cdr:x>0.67877</cdr:x>
      <cdr:y>0.51035</cdr:y>
    </cdr:to>
    <cdr:sp macro="" textlink="">
      <cdr:nvSpPr>
        <cdr:cNvPr id="6" name="TextBox 1"/>
        <cdr:cNvSpPr txBox="1"/>
      </cdr:nvSpPr>
      <cdr:spPr>
        <a:xfrm xmlns:a="http://schemas.openxmlformats.org/drawingml/2006/main">
          <a:off x="1560146" y="920262"/>
          <a:ext cx="419105" cy="1819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bc</a:t>
          </a:r>
        </a:p>
      </cdr:txBody>
    </cdr:sp>
  </cdr:relSizeAnchor>
  <cdr:relSizeAnchor xmlns:cdr="http://schemas.openxmlformats.org/drawingml/2006/chartDrawing">
    <cdr:from>
      <cdr:x>0.83147</cdr:x>
      <cdr:y>0.45062</cdr:y>
    </cdr:from>
    <cdr:to>
      <cdr:x>0.92632</cdr:x>
      <cdr:y>0.52469</cdr:y>
    </cdr:to>
    <cdr:sp macro="" textlink="">
      <cdr:nvSpPr>
        <cdr:cNvPr id="7" name="TextBox 1"/>
        <cdr:cNvSpPr txBox="1"/>
      </cdr:nvSpPr>
      <cdr:spPr>
        <a:xfrm xmlns:a="http://schemas.openxmlformats.org/drawingml/2006/main">
          <a:off x="3172884" y="1236134"/>
          <a:ext cx="361949" cy="2031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c</a:t>
          </a:r>
        </a:p>
      </cdr:txBody>
    </cdr:sp>
  </cdr:relSizeAnchor>
</c:userShapes>
</file>

<file path=word/drawings/drawing8.xml><?xml version="1.0" encoding="utf-8"?>
<c:userShapes xmlns:c="http://schemas.openxmlformats.org/drawingml/2006/chart">
  <cdr:relSizeAnchor xmlns:cdr="http://schemas.openxmlformats.org/drawingml/2006/chartDrawing">
    <cdr:from>
      <cdr:x>0.29231</cdr:x>
      <cdr:y>0.12376</cdr:y>
    </cdr:from>
    <cdr:to>
      <cdr:x>0.41209</cdr:x>
      <cdr:y>0.30864</cdr:y>
    </cdr:to>
    <cdr:sp macro="" textlink="">
      <cdr:nvSpPr>
        <cdr:cNvPr id="2" name="TextBox 1"/>
        <cdr:cNvSpPr txBox="1"/>
      </cdr:nvSpPr>
      <cdr:spPr>
        <a:xfrm xmlns:a="http://schemas.openxmlformats.org/drawingml/2006/main">
          <a:off x="852365" y="267276"/>
          <a:ext cx="349249" cy="399274"/>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s-CO" sz="1100"/>
            <a:t>a</a:t>
          </a:r>
        </a:p>
      </cdr:txBody>
    </cdr:sp>
  </cdr:relSizeAnchor>
  <cdr:relSizeAnchor xmlns:cdr="http://schemas.openxmlformats.org/drawingml/2006/chartDrawing">
    <cdr:from>
      <cdr:x>0.55582</cdr:x>
      <cdr:y>0.32027</cdr:y>
    </cdr:from>
    <cdr:to>
      <cdr:x>0.62764</cdr:x>
      <cdr:y>0.4432</cdr:y>
    </cdr:to>
    <cdr:sp macro="" textlink="">
      <cdr:nvSpPr>
        <cdr:cNvPr id="3" name="TextBox 1"/>
        <cdr:cNvSpPr txBox="1"/>
      </cdr:nvSpPr>
      <cdr:spPr>
        <a:xfrm xmlns:a="http://schemas.openxmlformats.org/drawingml/2006/main">
          <a:off x="1620715" y="691662"/>
          <a:ext cx="209422" cy="265484"/>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b</a:t>
          </a:r>
        </a:p>
      </cdr:txBody>
    </cdr:sp>
  </cdr:relSizeAnchor>
  <cdr:relSizeAnchor xmlns:cdr="http://schemas.openxmlformats.org/drawingml/2006/chartDrawing">
    <cdr:from>
      <cdr:x>0.83123</cdr:x>
      <cdr:y>0.47762</cdr:y>
    </cdr:from>
    <cdr:to>
      <cdr:x>0.90305</cdr:x>
      <cdr:y>0.57407</cdr:y>
    </cdr:to>
    <cdr:sp macro="" textlink="">
      <cdr:nvSpPr>
        <cdr:cNvPr id="4" name="TextBox 1"/>
        <cdr:cNvSpPr txBox="1"/>
      </cdr:nvSpPr>
      <cdr:spPr>
        <a:xfrm xmlns:a="http://schemas.openxmlformats.org/drawingml/2006/main">
          <a:off x="3797300" y="1310217"/>
          <a:ext cx="328083" cy="264584"/>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c</a:t>
          </a:r>
        </a:p>
      </cdr:txBody>
    </cdr:sp>
  </cdr:relSizeAnchor>
  <cdr:relSizeAnchor xmlns:cdr="http://schemas.openxmlformats.org/drawingml/2006/chartDrawing">
    <cdr:from>
      <cdr:x>0.1965</cdr:x>
      <cdr:y>0.69075</cdr:y>
    </cdr:from>
    <cdr:to>
      <cdr:x>0.26831</cdr:x>
      <cdr:y>0.7872</cdr:y>
    </cdr:to>
    <cdr:sp macro="" textlink="">
      <cdr:nvSpPr>
        <cdr:cNvPr id="5" name="TextBox 1"/>
        <cdr:cNvSpPr txBox="1"/>
      </cdr:nvSpPr>
      <cdr:spPr>
        <a:xfrm xmlns:a="http://schemas.openxmlformats.org/drawingml/2006/main">
          <a:off x="572965" y="1491762"/>
          <a:ext cx="209393" cy="208297"/>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d</a:t>
          </a:r>
        </a:p>
      </cdr:txBody>
    </cdr:sp>
  </cdr:relSizeAnchor>
  <cdr:relSizeAnchor xmlns:cdr="http://schemas.openxmlformats.org/drawingml/2006/chartDrawing">
    <cdr:from>
      <cdr:x>0.48395</cdr:x>
      <cdr:y>0.69075</cdr:y>
    </cdr:from>
    <cdr:to>
      <cdr:x>0.55577</cdr:x>
      <cdr:y>0.7872</cdr:y>
    </cdr:to>
    <cdr:sp macro="" textlink="">
      <cdr:nvSpPr>
        <cdr:cNvPr id="6" name="TextBox 1"/>
        <cdr:cNvSpPr txBox="1"/>
      </cdr:nvSpPr>
      <cdr:spPr>
        <a:xfrm xmlns:a="http://schemas.openxmlformats.org/drawingml/2006/main">
          <a:off x="1411165" y="1491762"/>
          <a:ext cx="209421" cy="208297"/>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d</a:t>
          </a:r>
        </a:p>
      </cdr:txBody>
    </cdr:sp>
  </cdr:relSizeAnchor>
  <cdr:relSizeAnchor xmlns:cdr="http://schemas.openxmlformats.org/drawingml/2006/chartDrawing">
    <cdr:from>
      <cdr:x>0.74745</cdr:x>
      <cdr:y>0.63782</cdr:y>
    </cdr:from>
    <cdr:to>
      <cdr:x>0.81927</cdr:x>
      <cdr:y>0.73427</cdr:y>
    </cdr:to>
    <cdr:sp macro="" textlink="">
      <cdr:nvSpPr>
        <cdr:cNvPr id="7" name="TextBox 1"/>
        <cdr:cNvSpPr txBox="1"/>
      </cdr:nvSpPr>
      <cdr:spPr>
        <a:xfrm xmlns:a="http://schemas.openxmlformats.org/drawingml/2006/main">
          <a:off x="2179515" y="1377462"/>
          <a:ext cx="209422" cy="208297"/>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a:t>d</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787B-1EB8-4921-9738-E2A1376A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6254</Words>
  <Characters>34398</Characters>
  <Application>Microsoft Office Word</Application>
  <DocSecurity>0</DocSecurity>
  <Lines>286</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
    </vt:vector>
  </TitlesOfParts>
  <Company>Universidad Nacional de Colombia</Company>
  <LinksUpToDate>false</LinksUpToDate>
  <CharactersWithSpaces>40571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Universidad Nacional de Colombia</dc:creator>
  <cp:lastModifiedBy>revista</cp:lastModifiedBy>
  <cp:revision>8</cp:revision>
  <cp:lastPrinted>2016-11-22T16:07:00Z</cp:lastPrinted>
  <dcterms:created xsi:type="dcterms:W3CDTF">2017-04-23T09:34:00Z</dcterms:created>
  <dcterms:modified xsi:type="dcterms:W3CDTF">2017-05-26T20:43:00Z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zotero-version="4.0.26.3"&gt;&lt;session id="vaAA61vh"/&gt;&lt;style id="http://www.zotero.org/styles/american-anthropological-association" hasBibliography="1" bibliographyStyleHasBeenSet="0"/&gt;&lt;prefs&gt;&lt;pref name="fieldType" value="Field"/&gt;&lt;pref </vt:lpwstr>
  </property>
  <property fmtid="{D5CDD505-2E9C-101B-9397-08002B2CF9AE}" pid="3" name="ZOTERO_PREF_2">
    <vt:lpwstr>name="storeReferences" value="true"/&gt;&lt;pref name="automaticJournalAbbreviations" value="true"/&gt;&lt;pref name="noteType" value="0"/&gt;&lt;/prefs&gt;&lt;/data&gt;</vt:lpwstr>
  </property>
</Properties>
</file>