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E2DCF2" w14:textId="6DA6BCD4" w:rsidR="002771A2" w:rsidRPr="00E950AD" w:rsidRDefault="00D8303A" w:rsidP="00E950AD">
      <w:pPr>
        <w:spacing w:after="0" w:line="240" w:lineRule="auto"/>
        <w:jc w:val="center"/>
        <w:rPr>
          <w:rFonts w:ascii="Optimum" w:hAnsi="Optimum" w:cs="Arial"/>
          <w:b/>
          <w:sz w:val="20"/>
          <w:szCs w:val="20"/>
        </w:rPr>
      </w:pPr>
      <w:r w:rsidRPr="00E950AD">
        <w:rPr>
          <w:rFonts w:ascii="Optimum" w:hAnsi="Optimum" w:cs="Arial"/>
          <w:b/>
          <w:sz w:val="20"/>
          <w:szCs w:val="20"/>
        </w:rPr>
        <w:t>C</w:t>
      </w:r>
      <w:r w:rsidR="003F0FD9" w:rsidRPr="00E950AD">
        <w:rPr>
          <w:rFonts w:ascii="Optimum" w:hAnsi="Optimum" w:cs="Arial"/>
          <w:b/>
          <w:sz w:val="20"/>
          <w:szCs w:val="20"/>
        </w:rPr>
        <w:t>ontrol biológico</w:t>
      </w:r>
      <w:r w:rsidRPr="00E950AD">
        <w:rPr>
          <w:rFonts w:ascii="Optimum" w:hAnsi="Optimum" w:cs="Arial"/>
          <w:b/>
          <w:sz w:val="20"/>
          <w:szCs w:val="20"/>
        </w:rPr>
        <w:t>: C</w:t>
      </w:r>
      <w:r w:rsidR="003F0FD9" w:rsidRPr="00E950AD">
        <w:rPr>
          <w:rFonts w:ascii="Optimum" w:hAnsi="Optimum" w:cs="Arial"/>
          <w:b/>
          <w:sz w:val="20"/>
          <w:szCs w:val="20"/>
        </w:rPr>
        <w:t>amino a la agricultura moderna</w:t>
      </w:r>
    </w:p>
    <w:p w14:paraId="507C5BEC" w14:textId="0C4C886D" w:rsidR="00D71128" w:rsidRPr="00E950AD" w:rsidRDefault="00D71128" w:rsidP="00E950AD">
      <w:pPr>
        <w:spacing w:after="0" w:line="240" w:lineRule="auto"/>
        <w:jc w:val="center"/>
        <w:rPr>
          <w:rFonts w:ascii="Optimum" w:hAnsi="Optimum" w:cs="Arial"/>
          <w:b/>
          <w:sz w:val="20"/>
          <w:szCs w:val="20"/>
        </w:rPr>
      </w:pPr>
      <w:r w:rsidRPr="00E950AD">
        <w:rPr>
          <w:rFonts w:ascii="Optimum" w:hAnsi="Optimum" w:cs="Arial"/>
          <w:b/>
          <w:sz w:val="20"/>
          <w:szCs w:val="20"/>
        </w:rPr>
        <w:t>Biological control: Path to modern agriculture</w:t>
      </w:r>
    </w:p>
    <w:p w14:paraId="3088C42C" w14:textId="77777777" w:rsidR="00E950AD" w:rsidRDefault="00E950AD" w:rsidP="00E950AD">
      <w:pPr>
        <w:spacing w:after="0" w:line="240" w:lineRule="auto"/>
        <w:jc w:val="center"/>
        <w:rPr>
          <w:rFonts w:ascii="Optimum" w:hAnsi="Optimum" w:cs="Arial"/>
          <w:b/>
          <w:sz w:val="20"/>
          <w:szCs w:val="20"/>
        </w:rPr>
      </w:pPr>
    </w:p>
    <w:p w14:paraId="10AF9B21" w14:textId="6F3F5B72" w:rsidR="0017592E" w:rsidRPr="002D4CF1" w:rsidRDefault="0017592E" w:rsidP="00E950AD">
      <w:pPr>
        <w:spacing w:after="0" w:line="240" w:lineRule="auto"/>
        <w:jc w:val="center"/>
        <w:rPr>
          <w:rFonts w:ascii="Optimum" w:hAnsi="Optimum" w:cs="Arial"/>
          <w:b/>
          <w:i/>
          <w:sz w:val="20"/>
          <w:szCs w:val="20"/>
        </w:rPr>
      </w:pPr>
      <w:r w:rsidRPr="002D4CF1">
        <w:rPr>
          <w:rFonts w:ascii="Optimum" w:hAnsi="Optimum" w:cs="Arial"/>
          <w:b/>
          <w:i/>
          <w:sz w:val="20"/>
          <w:szCs w:val="20"/>
        </w:rPr>
        <w:t>Diana Marcela Vinchira-Villarraga</w:t>
      </w:r>
      <w:r w:rsidR="00A360ED">
        <w:rPr>
          <w:rFonts w:ascii="Optimum" w:hAnsi="Optimum" w:cs="Arial"/>
          <w:b/>
          <w:i/>
          <w:sz w:val="20"/>
          <w:szCs w:val="20"/>
        </w:rPr>
        <w:t>*</w:t>
      </w:r>
      <w:r w:rsidRPr="002D4CF1">
        <w:rPr>
          <w:rFonts w:ascii="Optimum" w:hAnsi="Optimum" w:cs="Arial"/>
          <w:b/>
          <w:i/>
          <w:sz w:val="20"/>
          <w:szCs w:val="20"/>
        </w:rPr>
        <w:t xml:space="preserve"> </w:t>
      </w:r>
      <w:r w:rsidR="000C3E82" w:rsidRPr="002D4CF1">
        <w:rPr>
          <w:rFonts w:ascii="Optimum" w:hAnsi="Optimum" w:cs="Arial"/>
          <w:b/>
          <w:i/>
          <w:sz w:val="20"/>
          <w:szCs w:val="20"/>
        </w:rPr>
        <w:t xml:space="preserve">y </w:t>
      </w:r>
      <w:r w:rsidRPr="002D4CF1">
        <w:rPr>
          <w:rFonts w:ascii="Optimum" w:hAnsi="Optimum" w:cs="Arial"/>
          <w:b/>
          <w:i/>
          <w:sz w:val="20"/>
          <w:szCs w:val="20"/>
        </w:rPr>
        <w:t>Nubia Moreno-Sarmiento</w:t>
      </w:r>
      <w:r w:rsidR="00A360ED">
        <w:rPr>
          <w:rFonts w:ascii="Optimum" w:hAnsi="Optimum" w:cs="Arial"/>
          <w:b/>
          <w:i/>
          <w:sz w:val="20"/>
          <w:szCs w:val="20"/>
          <w:vertAlign w:val="superscript"/>
        </w:rPr>
        <w:t>**</w:t>
      </w:r>
    </w:p>
    <w:p w14:paraId="4B763D7E" w14:textId="77777777" w:rsidR="00A360ED" w:rsidRPr="00A360ED" w:rsidRDefault="00A360ED" w:rsidP="00A360ED">
      <w:pPr>
        <w:spacing w:after="0" w:line="240" w:lineRule="auto"/>
        <w:jc w:val="both"/>
        <w:rPr>
          <w:rFonts w:ascii="Optimum" w:hAnsi="Optimum" w:cs="Arial"/>
          <w:sz w:val="20"/>
          <w:szCs w:val="20"/>
        </w:rPr>
      </w:pPr>
    </w:p>
    <w:p w14:paraId="1221D674" w14:textId="24B9389D" w:rsidR="00A360ED" w:rsidRPr="00A360ED" w:rsidRDefault="00A360ED" w:rsidP="00A360ED">
      <w:pPr>
        <w:spacing w:after="0" w:line="240" w:lineRule="auto"/>
        <w:jc w:val="both"/>
        <w:rPr>
          <w:rFonts w:ascii="Optimum" w:hAnsi="Optimum" w:cs="Arial"/>
          <w:sz w:val="18"/>
          <w:szCs w:val="18"/>
        </w:rPr>
      </w:pPr>
      <w:r w:rsidRPr="00A360ED">
        <w:rPr>
          <w:rFonts w:ascii="Optimum" w:hAnsi="Optimum" w:cs="Arial"/>
          <w:sz w:val="18"/>
          <w:szCs w:val="18"/>
        </w:rPr>
        <w:t xml:space="preserve">* </w:t>
      </w:r>
      <w:r w:rsidRPr="00A360ED">
        <w:rPr>
          <w:rFonts w:ascii="Optimum" w:hAnsi="Optimum" w:cs="Arial"/>
          <w:sz w:val="18"/>
          <w:szCs w:val="18"/>
        </w:rPr>
        <w:t>PhD(</w:t>
      </w:r>
      <w:bookmarkStart w:id="0" w:name="_GoBack"/>
      <w:bookmarkEnd w:id="0"/>
      <w:r w:rsidRPr="00A360ED">
        <w:rPr>
          <w:rFonts w:ascii="Optimum" w:hAnsi="Optimum" w:cs="Arial"/>
          <w:sz w:val="18"/>
          <w:szCs w:val="18"/>
        </w:rPr>
        <w:t>c) Biotecnología UN. MSc Microbiología UN. Bacterióloga. Grupo de Estudio y aprovechamiento de productos naturales marinos y frutas de Colombia (Facultad de Ciencias) y Grupo de Bioprocesos y Bioprospección (IBUN)</w:t>
      </w:r>
      <w:r w:rsidRPr="00A360ED">
        <w:rPr>
          <w:rFonts w:ascii="Optimum" w:hAnsi="Optimum" w:cs="Arial"/>
          <w:sz w:val="18"/>
          <w:szCs w:val="18"/>
        </w:rPr>
        <w:t>.</w:t>
      </w:r>
      <w:r w:rsidRPr="00A360ED">
        <w:rPr>
          <w:rFonts w:ascii="Optimum" w:hAnsi="Optimum" w:cs="Arial"/>
          <w:sz w:val="18"/>
          <w:szCs w:val="18"/>
        </w:rPr>
        <w:t xml:space="preserve"> </w:t>
      </w:r>
    </w:p>
    <w:p w14:paraId="467335C0" w14:textId="70BDA2C5" w:rsidR="00A360ED" w:rsidRPr="00A360ED" w:rsidRDefault="00A360ED" w:rsidP="00A360ED">
      <w:pPr>
        <w:spacing w:after="0" w:line="240" w:lineRule="auto"/>
        <w:jc w:val="both"/>
        <w:rPr>
          <w:rFonts w:ascii="Optimum" w:hAnsi="Optimum" w:cs="Arial"/>
          <w:sz w:val="18"/>
          <w:szCs w:val="18"/>
        </w:rPr>
      </w:pPr>
      <w:r w:rsidRPr="00A360ED">
        <w:rPr>
          <w:rFonts w:ascii="Optimum" w:hAnsi="Optimum" w:cs="Arial"/>
          <w:sz w:val="18"/>
          <w:szCs w:val="18"/>
        </w:rPr>
        <w:t xml:space="preserve">** </w:t>
      </w:r>
      <w:r w:rsidRPr="00A360ED">
        <w:rPr>
          <w:rFonts w:ascii="Optimum" w:hAnsi="Optimum" w:cs="Arial"/>
          <w:sz w:val="18"/>
          <w:szCs w:val="18"/>
        </w:rPr>
        <w:t>Profesora Titular.  Instituto de Biotecnología, Universidad Nacional de Colombia, Sede Bogotá, Colombia</w:t>
      </w:r>
      <w:r w:rsidRPr="00A360ED">
        <w:rPr>
          <w:rFonts w:ascii="Optimum" w:hAnsi="Optimum" w:cs="Arial"/>
          <w:sz w:val="18"/>
          <w:szCs w:val="18"/>
        </w:rPr>
        <w:t xml:space="preserve">. </w:t>
      </w:r>
      <w:r w:rsidRPr="00A360ED">
        <w:rPr>
          <w:rFonts w:ascii="Optimum" w:hAnsi="Optimum" w:cs="Arial"/>
          <w:sz w:val="18"/>
          <w:szCs w:val="18"/>
        </w:rPr>
        <w:t>Ing. Química, M.Sc. Grupo de Bioprocesos y Bioprospección (IBUN). ncmorenos@unal.edu.co</w:t>
      </w:r>
      <w:r w:rsidRPr="00A360ED">
        <w:rPr>
          <w:rFonts w:ascii="Optimum" w:hAnsi="Optimum" w:cs="Arial"/>
          <w:sz w:val="18"/>
          <w:szCs w:val="18"/>
        </w:rPr>
        <w:t>.</w:t>
      </w:r>
    </w:p>
    <w:p w14:paraId="4CE1F0D9" w14:textId="77777777" w:rsidR="00A360ED" w:rsidRDefault="00A360ED" w:rsidP="00E950AD">
      <w:pPr>
        <w:spacing w:after="0" w:line="240" w:lineRule="auto"/>
        <w:jc w:val="both"/>
        <w:rPr>
          <w:rFonts w:ascii="Optimum" w:hAnsi="Optimum" w:cs="Arial"/>
          <w:sz w:val="20"/>
          <w:szCs w:val="20"/>
        </w:rPr>
      </w:pPr>
    </w:p>
    <w:p w14:paraId="37A26720" w14:textId="1DEE42B5" w:rsidR="002D1DA4" w:rsidRPr="00E950AD" w:rsidRDefault="00AA602F" w:rsidP="00E950AD">
      <w:pPr>
        <w:spacing w:after="0" w:line="240" w:lineRule="auto"/>
        <w:jc w:val="both"/>
        <w:rPr>
          <w:rFonts w:ascii="Optimum" w:hAnsi="Optimum" w:cs="Arial"/>
          <w:sz w:val="20"/>
          <w:szCs w:val="20"/>
        </w:rPr>
      </w:pPr>
      <w:r w:rsidRPr="00E950AD">
        <w:rPr>
          <w:rFonts w:ascii="Optimum" w:hAnsi="Optimum" w:cs="Arial"/>
          <w:sz w:val="20"/>
          <w:szCs w:val="20"/>
        </w:rPr>
        <w:t>Históricamente, la agricultura ha sido la base de</w:t>
      </w:r>
      <w:r w:rsidR="00DA5A4B" w:rsidRPr="00E950AD">
        <w:rPr>
          <w:rFonts w:ascii="Optimum" w:hAnsi="Optimum" w:cs="Arial"/>
          <w:sz w:val="20"/>
          <w:szCs w:val="20"/>
        </w:rPr>
        <w:t>l</w:t>
      </w:r>
      <w:r w:rsidRPr="00E950AD">
        <w:rPr>
          <w:rFonts w:ascii="Optimum" w:hAnsi="Optimum" w:cs="Arial"/>
          <w:sz w:val="20"/>
          <w:szCs w:val="20"/>
        </w:rPr>
        <w:t xml:space="preserve"> desarrollo y </w:t>
      </w:r>
      <w:r w:rsidR="00DA5A4B" w:rsidRPr="00E950AD">
        <w:rPr>
          <w:rFonts w:ascii="Optimum" w:hAnsi="Optimum" w:cs="Arial"/>
          <w:sz w:val="20"/>
          <w:szCs w:val="20"/>
        </w:rPr>
        <w:t xml:space="preserve">la </w:t>
      </w:r>
      <w:r w:rsidRPr="00E950AD">
        <w:rPr>
          <w:rFonts w:ascii="Optimum" w:hAnsi="Optimum" w:cs="Arial"/>
          <w:sz w:val="20"/>
          <w:szCs w:val="20"/>
        </w:rPr>
        <w:t xml:space="preserve">subsistencia de la sociedad humana. De </w:t>
      </w:r>
      <w:r w:rsidR="00DA5A4B" w:rsidRPr="00E950AD">
        <w:rPr>
          <w:rFonts w:ascii="Optimum" w:hAnsi="Optimum" w:cs="Arial"/>
          <w:sz w:val="20"/>
          <w:szCs w:val="20"/>
        </w:rPr>
        <w:t>esta práctica</w:t>
      </w:r>
      <w:r w:rsidRPr="00E950AD">
        <w:rPr>
          <w:rFonts w:ascii="Optimum" w:hAnsi="Optimum" w:cs="Arial"/>
          <w:sz w:val="20"/>
          <w:szCs w:val="20"/>
        </w:rPr>
        <w:t xml:space="preserve"> se derivan buena parte de los alimentos básicos que conforman los pilares de la dieta de la población mundial</w:t>
      </w:r>
      <w:r w:rsidR="007955B0" w:rsidRPr="00E950AD">
        <w:rPr>
          <w:rFonts w:ascii="Optimum" w:hAnsi="Optimum" w:cs="Arial"/>
          <w:sz w:val="20"/>
          <w:szCs w:val="20"/>
        </w:rPr>
        <w:t>,</w:t>
      </w:r>
      <w:r w:rsidR="00C65C57" w:rsidRPr="00E950AD">
        <w:rPr>
          <w:rFonts w:ascii="Optimum" w:hAnsi="Optimum" w:cs="Arial"/>
          <w:sz w:val="20"/>
          <w:szCs w:val="20"/>
        </w:rPr>
        <w:t xml:space="preserve"> siendo por tanto </w:t>
      </w:r>
      <w:r w:rsidR="00BD24C0" w:rsidRPr="00E950AD">
        <w:rPr>
          <w:rFonts w:ascii="Optimum" w:hAnsi="Optimum" w:cs="Arial"/>
          <w:sz w:val="20"/>
          <w:szCs w:val="20"/>
        </w:rPr>
        <w:t>un</w:t>
      </w:r>
      <w:r w:rsidR="00C65C57" w:rsidRPr="00E950AD">
        <w:rPr>
          <w:rFonts w:ascii="Optimum" w:hAnsi="Optimum" w:cs="Arial"/>
          <w:sz w:val="20"/>
          <w:szCs w:val="20"/>
        </w:rPr>
        <w:t xml:space="preserve"> eje central </w:t>
      </w:r>
      <w:r w:rsidR="00BD24C0" w:rsidRPr="00E950AD">
        <w:rPr>
          <w:rFonts w:ascii="Optimum" w:hAnsi="Optimum" w:cs="Arial"/>
          <w:sz w:val="20"/>
          <w:szCs w:val="20"/>
        </w:rPr>
        <w:t>en</w:t>
      </w:r>
      <w:r w:rsidR="00C65C57" w:rsidRPr="00E950AD">
        <w:rPr>
          <w:rFonts w:ascii="Optimum" w:hAnsi="Optimum" w:cs="Arial"/>
          <w:sz w:val="20"/>
          <w:szCs w:val="20"/>
        </w:rPr>
        <w:t xml:space="preserve"> los planes de desarrollo </w:t>
      </w:r>
      <w:r w:rsidR="00BD24C0" w:rsidRPr="00E950AD">
        <w:rPr>
          <w:rFonts w:ascii="Optimum" w:hAnsi="Optimum" w:cs="Arial"/>
          <w:sz w:val="20"/>
          <w:szCs w:val="20"/>
        </w:rPr>
        <w:t>de</w:t>
      </w:r>
      <w:r w:rsidR="00C65C57" w:rsidRPr="00E950AD">
        <w:rPr>
          <w:rFonts w:ascii="Optimum" w:hAnsi="Optimum" w:cs="Arial"/>
          <w:sz w:val="20"/>
          <w:szCs w:val="20"/>
        </w:rPr>
        <w:t xml:space="preserve"> seguridad alimentaria</w:t>
      </w:r>
      <w:r w:rsidR="00DA5A4B" w:rsidRPr="00E950AD">
        <w:rPr>
          <w:rFonts w:ascii="Optimum" w:hAnsi="Optimum" w:cs="Arial"/>
          <w:sz w:val="20"/>
          <w:szCs w:val="20"/>
        </w:rPr>
        <w:t xml:space="preserve">. </w:t>
      </w:r>
      <w:r w:rsidR="00C65C57" w:rsidRPr="00E950AD">
        <w:rPr>
          <w:rFonts w:ascii="Optimum" w:hAnsi="Optimum" w:cs="Arial"/>
          <w:sz w:val="20"/>
          <w:szCs w:val="20"/>
        </w:rPr>
        <w:t>Sin embargo, se ha estimado</w:t>
      </w:r>
      <w:r w:rsidR="00DA5A4B" w:rsidRPr="00E950AD">
        <w:rPr>
          <w:rFonts w:ascii="Optimum" w:hAnsi="Optimum" w:cs="Arial"/>
          <w:sz w:val="20"/>
          <w:szCs w:val="20"/>
        </w:rPr>
        <w:t xml:space="preserve"> que</w:t>
      </w:r>
      <w:r w:rsidR="00C65C57" w:rsidRPr="00E950AD">
        <w:rPr>
          <w:rFonts w:ascii="Optimum" w:hAnsi="Optimum" w:cs="Arial"/>
          <w:sz w:val="20"/>
          <w:szCs w:val="20"/>
        </w:rPr>
        <w:t xml:space="preserve"> la productividad </w:t>
      </w:r>
      <w:r w:rsidR="00BD24C0" w:rsidRPr="00E950AD">
        <w:rPr>
          <w:rFonts w:ascii="Optimum" w:hAnsi="Optimum" w:cs="Arial"/>
          <w:sz w:val="20"/>
          <w:szCs w:val="20"/>
        </w:rPr>
        <w:t xml:space="preserve">agrícola </w:t>
      </w:r>
      <w:r w:rsidR="00C65C57" w:rsidRPr="00E950AD">
        <w:rPr>
          <w:rFonts w:ascii="Optimum" w:hAnsi="Optimum" w:cs="Arial"/>
          <w:sz w:val="20"/>
          <w:szCs w:val="20"/>
        </w:rPr>
        <w:t>actual es insuficiente para cubrir la demanda de una población creciente</w:t>
      </w:r>
      <w:r w:rsidR="00006642" w:rsidRPr="00E950AD">
        <w:rPr>
          <w:rFonts w:ascii="Optimum" w:hAnsi="Optimum" w:cs="Arial"/>
          <w:sz w:val="20"/>
          <w:szCs w:val="20"/>
        </w:rPr>
        <w:t xml:space="preserve">. </w:t>
      </w:r>
      <w:r w:rsidR="00D40047" w:rsidRPr="00E950AD">
        <w:rPr>
          <w:rFonts w:ascii="Optimum" w:hAnsi="Optimum" w:cs="Arial"/>
          <w:sz w:val="20"/>
          <w:szCs w:val="20"/>
        </w:rPr>
        <w:t>De hecho, se estima que p</w:t>
      </w:r>
      <w:r w:rsidR="00DA5A4B" w:rsidRPr="00E950AD">
        <w:rPr>
          <w:rFonts w:ascii="Optimum" w:hAnsi="Optimum" w:cs="Arial"/>
          <w:sz w:val="20"/>
          <w:szCs w:val="20"/>
        </w:rPr>
        <w:t>ar</w:t>
      </w:r>
      <w:r w:rsidR="0066676D" w:rsidRPr="00E950AD">
        <w:rPr>
          <w:rFonts w:ascii="Optimum" w:hAnsi="Optimum" w:cs="Arial"/>
          <w:sz w:val="20"/>
          <w:szCs w:val="20"/>
        </w:rPr>
        <w:t>a</w:t>
      </w:r>
      <w:r w:rsidR="00DA5A4B" w:rsidRPr="00E950AD">
        <w:rPr>
          <w:rFonts w:ascii="Optimum" w:hAnsi="Optimum" w:cs="Arial"/>
          <w:sz w:val="20"/>
          <w:szCs w:val="20"/>
        </w:rPr>
        <w:t xml:space="preserve"> el año 2050</w:t>
      </w:r>
      <w:r w:rsidR="00A76947" w:rsidRPr="00E950AD">
        <w:rPr>
          <w:rFonts w:ascii="Optimum" w:hAnsi="Optimum" w:cs="Arial"/>
          <w:sz w:val="20"/>
          <w:szCs w:val="20"/>
        </w:rPr>
        <w:t>,</w:t>
      </w:r>
      <w:r w:rsidR="00DA5A4B" w:rsidRPr="00E950AD">
        <w:rPr>
          <w:rFonts w:ascii="Optimum" w:hAnsi="Optimum" w:cs="Arial"/>
          <w:sz w:val="20"/>
          <w:szCs w:val="20"/>
        </w:rPr>
        <w:t xml:space="preserve"> será necesario un </w:t>
      </w:r>
      <w:r w:rsidR="0066676D" w:rsidRPr="00E950AD">
        <w:rPr>
          <w:rFonts w:ascii="Optimum" w:hAnsi="Optimum" w:cs="Arial"/>
          <w:sz w:val="20"/>
          <w:szCs w:val="20"/>
        </w:rPr>
        <w:t>aumento</w:t>
      </w:r>
      <w:r w:rsidR="00DA5A4B" w:rsidRPr="00E950AD">
        <w:rPr>
          <w:rFonts w:ascii="Optimum" w:hAnsi="Optimum" w:cs="Arial"/>
          <w:sz w:val="20"/>
          <w:szCs w:val="20"/>
        </w:rPr>
        <w:t xml:space="preserve"> de al menos el 70% </w:t>
      </w:r>
      <w:r w:rsidR="00D40047" w:rsidRPr="00E950AD">
        <w:rPr>
          <w:rFonts w:ascii="Optimum" w:hAnsi="Optimum" w:cs="Arial"/>
          <w:sz w:val="20"/>
          <w:szCs w:val="20"/>
        </w:rPr>
        <w:t>en</w:t>
      </w:r>
      <w:r w:rsidR="00DA5A4B" w:rsidRPr="00E950AD">
        <w:rPr>
          <w:rFonts w:ascii="Optimum" w:hAnsi="Optimum" w:cs="Arial"/>
          <w:sz w:val="20"/>
          <w:szCs w:val="20"/>
        </w:rPr>
        <w:t xml:space="preserve"> la producción de comida </w:t>
      </w:r>
      <w:r w:rsidR="00D40047" w:rsidRPr="00E950AD">
        <w:rPr>
          <w:rFonts w:ascii="Optimum" w:hAnsi="Optimum" w:cs="Arial"/>
          <w:sz w:val="20"/>
          <w:szCs w:val="20"/>
        </w:rPr>
        <w:t xml:space="preserve">para </w:t>
      </w:r>
      <w:r w:rsidR="00DA5A4B" w:rsidRPr="00E950AD">
        <w:rPr>
          <w:rFonts w:ascii="Optimum" w:hAnsi="Optimum" w:cs="Arial"/>
          <w:sz w:val="20"/>
          <w:szCs w:val="20"/>
        </w:rPr>
        <w:t>mantener la seguridad alimentaria de l</w:t>
      </w:r>
      <w:r w:rsidR="00D40047" w:rsidRPr="00E950AD">
        <w:rPr>
          <w:rFonts w:ascii="Optimum" w:hAnsi="Optimum" w:cs="Arial"/>
          <w:sz w:val="20"/>
          <w:szCs w:val="20"/>
        </w:rPr>
        <w:t>as 9.8 billones de personas que existirán para esta época en el mundo</w:t>
      </w:r>
      <w:r w:rsidR="00DA5A4B" w:rsidRPr="00E950AD">
        <w:rPr>
          <w:rFonts w:ascii="Optimum" w:hAnsi="Optimum" w:cs="Arial"/>
          <w:sz w:val="20"/>
          <w:szCs w:val="20"/>
        </w:rPr>
        <w:t xml:space="preserve"> (Ingram, 2011; </w:t>
      </w:r>
      <w:r w:rsidR="00D40047" w:rsidRPr="00E950AD">
        <w:rPr>
          <w:rFonts w:ascii="Optimum" w:hAnsi="Optimum" w:cs="Arial"/>
          <w:sz w:val="20"/>
          <w:szCs w:val="20"/>
        </w:rPr>
        <w:t xml:space="preserve">United Nations; 2017; </w:t>
      </w:r>
      <w:r w:rsidR="00DA5A4B" w:rsidRPr="00E950AD">
        <w:rPr>
          <w:rFonts w:ascii="Optimum" w:hAnsi="Optimum" w:cs="Arial"/>
          <w:sz w:val="20"/>
          <w:szCs w:val="20"/>
        </w:rPr>
        <w:t>Ab Rahmanm Singh, P</w:t>
      </w:r>
      <w:r w:rsidR="0066676D" w:rsidRPr="00E950AD">
        <w:rPr>
          <w:rFonts w:ascii="Optimum" w:hAnsi="Optimum" w:cs="Arial"/>
          <w:sz w:val="20"/>
          <w:szCs w:val="20"/>
        </w:rPr>
        <w:t>ieterse &amp; Schenk, 2018)</w:t>
      </w:r>
      <w:r w:rsidR="00DA5A4B" w:rsidRPr="00E950AD">
        <w:rPr>
          <w:rFonts w:ascii="Optimum" w:hAnsi="Optimum" w:cs="Arial"/>
          <w:sz w:val="20"/>
          <w:szCs w:val="20"/>
        </w:rPr>
        <w:t xml:space="preserve">. </w:t>
      </w:r>
      <w:r w:rsidR="002F0A06" w:rsidRPr="00E950AD">
        <w:rPr>
          <w:rFonts w:ascii="Optimum" w:hAnsi="Optimum" w:cs="Arial"/>
          <w:sz w:val="20"/>
          <w:szCs w:val="20"/>
        </w:rPr>
        <w:t>Ad</w:t>
      </w:r>
      <w:r w:rsidR="002D1DA4" w:rsidRPr="00E950AD">
        <w:rPr>
          <w:rFonts w:ascii="Optimum" w:hAnsi="Optimum" w:cs="Arial"/>
          <w:sz w:val="20"/>
          <w:szCs w:val="20"/>
        </w:rPr>
        <w:t>icionalmente, es necesario reducir</w:t>
      </w:r>
      <w:r w:rsidR="00D8303A" w:rsidRPr="00E950AD">
        <w:rPr>
          <w:rFonts w:ascii="Optimum" w:hAnsi="Optimum" w:cs="Arial"/>
          <w:sz w:val="20"/>
          <w:szCs w:val="20"/>
        </w:rPr>
        <w:t xml:space="preserve"> el impacto ambiental derivado de la producción de alimentos, plantea</w:t>
      </w:r>
      <w:r w:rsidR="002D1DA4" w:rsidRPr="00E950AD">
        <w:rPr>
          <w:rFonts w:ascii="Optimum" w:hAnsi="Optimum" w:cs="Arial"/>
          <w:sz w:val="20"/>
          <w:szCs w:val="20"/>
        </w:rPr>
        <w:t>n</w:t>
      </w:r>
      <w:r w:rsidR="00D8303A" w:rsidRPr="00E950AD">
        <w:rPr>
          <w:rFonts w:ascii="Optimum" w:hAnsi="Optimum" w:cs="Arial"/>
          <w:sz w:val="20"/>
          <w:szCs w:val="20"/>
        </w:rPr>
        <w:t>do un ret</w:t>
      </w:r>
      <w:r w:rsidR="002D1DA4" w:rsidRPr="00E950AD">
        <w:rPr>
          <w:rFonts w:ascii="Optimum" w:hAnsi="Optimum" w:cs="Arial"/>
          <w:sz w:val="20"/>
          <w:szCs w:val="20"/>
        </w:rPr>
        <w:t>o para la industria agrícola que</w:t>
      </w:r>
      <w:r w:rsidR="00D8303A" w:rsidRPr="00E950AD">
        <w:rPr>
          <w:rFonts w:ascii="Optimum" w:hAnsi="Optimum" w:cs="Arial"/>
          <w:sz w:val="20"/>
          <w:szCs w:val="20"/>
        </w:rPr>
        <w:t xml:space="preserve"> debe mejorar la eficiencia de la utilización de los recursos y disminuir la presión ejercida sobre los recursos no renovables</w:t>
      </w:r>
      <w:r w:rsidR="00894DDA" w:rsidRPr="00E950AD">
        <w:rPr>
          <w:rFonts w:ascii="Optimum" w:hAnsi="Optimum" w:cs="Arial"/>
          <w:sz w:val="20"/>
          <w:szCs w:val="20"/>
        </w:rPr>
        <w:t xml:space="preserve"> </w:t>
      </w:r>
      <w:r w:rsidR="002D1DA4" w:rsidRPr="00E950AD">
        <w:rPr>
          <w:rFonts w:ascii="Optimum" w:hAnsi="Optimum" w:cs="Arial"/>
          <w:sz w:val="20"/>
          <w:szCs w:val="20"/>
        </w:rPr>
        <w:t>conduciendo a una agricultura moderna, entendida como aquella que maximiza la productividad a través del uso de alternativas biológicas</w:t>
      </w:r>
      <w:r w:rsidR="00622CA1" w:rsidRPr="00E950AD">
        <w:rPr>
          <w:rFonts w:ascii="Optimum" w:hAnsi="Optimum" w:cs="Arial"/>
          <w:sz w:val="20"/>
          <w:szCs w:val="20"/>
        </w:rPr>
        <w:t xml:space="preserve"> </w:t>
      </w:r>
      <w:r w:rsidR="002D1DA4" w:rsidRPr="00E950AD">
        <w:rPr>
          <w:rFonts w:ascii="Optimum" w:hAnsi="Optimum" w:cs="Arial"/>
          <w:sz w:val="20"/>
          <w:szCs w:val="20"/>
        </w:rPr>
        <w:t xml:space="preserve">que aseguren rentabilidad para el agricultor (Pedraza-Zapata </w:t>
      </w:r>
      <w:r w:rsidR="002D1DA4" w:rsidRPr="00E950AD">
        <w:rPr>
          <w:rFonts w:ascii="Optimum" w:hAnsi="Optimum" w:cs="Arial"/>
          <w:i/>
          <w:sz w:val="20"/>
          <w:szCs w:val="20"/>
        </w:rPr>
        <w:t>et al</w:t>
      </w:r>
      <w:r w:rsidR="002D4CF1">
        <w:rPr>
          <w:rFonts w:ascii="Optimum" w:hAnsi="Optimum" w:cs="Arial"/>
          <w:i/>
          <w:sz w:val="20"/>
          <w:szCs w:val="20"/>
        </w:rPr>
        <w:t>.</w:t>
      </w:r>
      <w:r w:rsidR="002D1DA4" w:rsidRPr="00E950AD">
        <w:rPr>
          <w:rFonts w:ascii="Optimum" w:hAnsi="Optimum" w:cs="Arial"/>
          <w:i/>
          <w:sz w:val="20"/>
          <w:szCs w:val="20"/>
        </w:rPr>
        <w:t>,</w:t>
      </w:r>
      <w:r w:rsidR="002D1DA4" w:rsidRPr="00E950AD">
        <w:rPr>
          <w:rFonts w:ascii="Optimum" w:hAnsi="Optimum" w:cs="Arial"/>
          <w:sz w:val="20"/>
          <w:szCs w:val="20"/>
        </w:rPr>
        <w:t xml:space="preserve"> 2017)</w:t>
      </w:r>
      <w:r w:rsidR="0017592E" w:rsidRPr="00E950AD">
        <w:rPr>
          <w:rFonts w:ascii="Optimum" w:hAnsi="Optimum" w:cs="Arial"/>
          <w:sz w:val="20"/>
          <w:szCs w:val="20"/>
        </w:rPr>
        <w:t>.</w:t>
      </w:r>
    </w:p>
    <w:p w14:paraId="7023934C" w14:textId="77777777" w:rsidR="002D4CF1" w:rsidRDefault="002D4CF1" w:rsidP="00E950AD">
      <w:pPr>
        <w:spacing w:after="0" w:line="240" w:lineRule="auto"/>
        <w:jc w:val="both"/>
        <w:rPr>
          <w:rFonts w:ascii="Optimum" w:hAnsi="Optimum" w:cs="Arial"/>
          <w:sz w:val="20"/>
          <w:szCs w:val="20"/>
        </w:rPr>
      </w:pPr>
    </w:p>
    <w:p w14:paraId="4C64D3F9" w14:textId="0DC9E1CD" w:rsidR="00A0428C" w:rsidRPr="00E950AD" w:rsidRDefault="0017592E" w:rsidP="00E950AD">
      <w:pPr>
        <w:spacing w:after="0" w:line="240" w:lineRule="auto"/>
        <w:jc w:val="both"/>
        <w:rPr>
          <w:rFonts w:ascii="Optimum" w:hAnsi="Optimum" w:cs="Arial"/>
          <w:sz w:val="20"/>
          <w:szCs w:val="20"/>
        </w:rPr>
      </w:pPr>
      <w:r w:rsidRPr="00E950AD">
        <w:rPr>
          <w:rFonts w:ascii="Optimum" w:hAnsi="Optimum" w:cs="Arial"/>
          <w:sz w:val="20"/>
          <w:szCs w:val="20"/>
        </w:rPr>
        <w:t>Estas alternativas incluyen,</w:t>
      </w:r>
      <w:r w:rsidR="00622CA1" w:rsidRPr="00E950AD">
        <w:rPr>
          <w:rFonts w:ascii="Optimum" w:hAnsi="Optimum" w:cs="Arial"/>
          <w:sz w:val="20"/>
          <w:szCs w:val="20"/>
        </w:rPr>
        <w:t xml:space="preserve"> como punto clave</w:t>
      </w:r>
      <w:r w:rsidRPr="00E950AD">
        <w:rPr>
          <w:rFonts w:ascii="Optimum" w:hAnsi="Optimum" w:cs="Arial"/>
          <w:sz w:val="20"/>
          <w:szCs w:val="20"/>
        </w:rPr>
        <w:t>,</w:t>
      </w:r>
      <w:r w:rsidR="00622CA1" w:rsidRPr="00E950AD">
        <w:rPr>
          <w:rFonts w:ascii="Optimum" w:hAnsi="Optimum" w:cs="Arial"/>
          <w:sz w:val="20"/>
          <w:szCs w:val="20"/>
        </w:rPr>
        <w:t xml:space="preserve"> </w:t>
      </w:r>
      <w:r w:rsidR="006B2C6D" w:rsidRPr="00E950AD">
        <w:rPr>
          <w:rFonts w:ascii="Optimum" w:hAnsi="Optimum" w:cs="Arial"/>
          <w:sz w:val="20"/>
          <w:szCs w:val="20"/>
        </w:rPr>
        <w:t xml:space="preserve">el manejo de plagas y enfermedades en </w:t>
      </w:r>
      <w:r w:rsidR="002D1DA4" w:rsidRPr="00E950AD">
        <w:rPr>
          <w:rFonts w:ascii="Optimum" w:hAnsi="Optimum" w:cs="Arial"/>
          <w:sz w:val="20"/>
          <w:szCs w:val="20"/>
        </w:rPr>
        <w:t xml:space="preserve">los </w:t>
      </w:r>
      <w:r w:rsidR="006B2C6D" w:rsidRPr="00E950AD">
        <w:rPr>
          <w:rFonts w:ascii="Optimum" w:hAnsi="Optimum" w:cs="Arial"/>
          <w:sz w:val="20"/>
          <w:szCs w:val="20"/>
        </w:rPr>
        <w:t>cultivos</w:t>
      </w:r>
      <w:r w:rsidR="002D1DA4" w:rsidRPr="00E950AD">
        <w:rPr>
          <w:rFonts w:ascii="Optimum" w:hAnsi="Optimum" w:cs="Arial"/>
          <w:sz w:val="20"/>
          <w:szCs w:val="20"/>
        </w:rPr>
        <w:t xml:space="preserve">. </w:t>
      </w:r>
      <w:r w:rsidR="00622CA1" w:rsidRPr="00E950AD">
        <w:rPr>
          <w:rFonts w:ascii="Optimum" w:hAnsi="Optimum" w:cs="Arial"/>
          <w:sz w:val="20"/>
          <w:szCs w:val="20"/>
        </w:rPr>
        <w:t>La</w:t>
      </w:r>
      <w:r w:rsidR="006B2C6D" w:rsidRPr="00E950AD">
        <w:rPr>
          <w:rFonts w:ascii="Optimum" w:hAnsi="Optimum" w:cs="Arial"/>
          <w:sz w:val="20"/>
          <w:szCs w:val="20"/>
        </w:rPr>
        <w:t xml:space="preserve">s infecciones </w:t>
      </w:r>
      <w:r w:rsidR="00622CA1" w:rsidRPr="00E950AD">
        <w:rPr>
          <w:rFonts w:ascii="Optimum" w:hAnsi="Optimum" w:cs="Arial"/>
          <w:sz w:val="20"/>
          <w:szCs w:val="20"/>
        </w:rPr>
        <w:t>asociadas a</w:t>
      </w:r>
      <w:r w:rsidR="006B2C6D" w:rsidRPr="00E950AD">
        <w:rPr>
          <w:rFonts w:ascii="Optimum" w:hAnsi="Optimum" w:cs="Arial"/>
          <w:sz w:val="20"/>
          <w:szCs w:val="20"/>
        </w:rPr>
        <w:t xml:space="preserve"> </w:t>
      </w:r>
      <w:r w:rsidR="00622CA1" w:rsidRPr="00E950AD">
        <w:rPr>
          <w:rFonts w:ascii="Optimum" w:hAnsi="Optimum" w:cs="Arial"/>
          <w:sz w:val="20"/>
          <w:szCs w:val="20"/>
        </w:rPr>
        <w:t>fito</w:t>
      </w:r>
      <w:r w:rsidR="006B2C6D" w:rsidRPr="00E950AD">
        <w:rPr>
          <w:rFonts w:ascii="Optimum" w:hAnsi="Optimum" w:cs="Arial"/>
          <w:sz w:val="20"/>
          <w:szCs w:val="20"/>
        </w:rPr>
        <w:t xml:space="preserve">patógenos </w:t>
      </w:r>
      <w:r w:rsidR="00622CA1" w:rsidRPr="00E950AD">
        <w:rPr>
          <w:rFonts w:ascii="Optimum" w:hAnsi="Optimum" w:cs="Arial"/>
          <w:sz w:val="20"/>
          <w:szCs w:val="20"/>
        </w:rPr>
        <w:t>son responsables del</w:t>
      </w:r>
      <w:r w:rsidR="006B2C6D" w:rsidRPr="00E950AD">
        <w:rPr>
          <w:rFonts w:ascii="Optimum" w:hAnsi="Optimum" w:cs="Arial"/>
          <w:sz w:val="20"/>
          <w:szCs w:val="20"/>
        </w:rPr>
        <w:t xml:space="preserve"> 20 al 40% del total de pérdidas en producción ocasionadas por enfermedades en plantas</w:t>
      </w:r>
      <w:r w:rsidR="00622CA1" w:rsidRPr="00E950AD">
        <w:rPr>
          <w:rFonts w:ascii="Optimum" w:hAnsi="Optimum" w:cs="Arial"/>
          <w:sz w:val="20"/>
          <w:szCs w:val="20"/>
        </w:rPr>
        <w:t xml:space="preserve">, las cuales </w:t>
      </w:r>
      <w:r w:rsidR="006B2C6D" w:rsidRPr="00E950AD">
        <w:rPr>
          <w:rFonts w:ascii="Optimum" w:hAnsi="Optimum" w:cs="Arial"/>
          <w:sz w:val="20"/>
          <w:szCs w:val="20"/>
        </w:rPr>
        <w:t xml:space="preserve">generan pérdidas económicas </w:t>
      </w:r>
      <w:r w:rsidR="00622CA1" w:rsidRPr="00E950AD">
        <w:rPr>
          <w:rFonts w:ascii="Optimum" w:hAnsi="Optimum" w:cs="Arial"/>
          <w:sz w:val="20"/>
          <w:szCs w:val="20"/>
        </w:rPr>
        <w:t>cercanas a los</w:t>
      </w:r>
      <w:r w:rsidR="006B2C6D" w:rsidRPr="00E950AD">
        <w:rPr>
          <w:rFonts w:ascii="Optimum" w:hAnsi="Optimum" w:cs="Arial"/>
          <w:sz w:val="20"/>
          <w:szCs w:val="20"/>
        </w:rPr>
        <w:t xml:space="preserve"> 40 billones de dólares </w:t>
      </w:r>
      <w:r w:rsidR="00622CA1" w:rsidRPr="00E950AD">
        <w:rPr>
          <w:rFonts w:ascii="Optimum" w:hAnsi="Optimum" w:cs="Arial"/>
          <w:sz w:val="20"/>
          <w:szCs w:val="20"/>
        </w:rPr>
        <w:t>al año</w:t>
      </w:r>
      <w:r w:rsidR="006B2C6D" w:rsidRPr="00E950AD">
        <w:rPr>
          <w:rFonts w:ascii="Optimum" w:hAnsi="Optimum" w:cs="Arial"/>
          <w:sz w:val="20"/>
          <w:szCs w:val="20"/>
        </w:rPr>
        <w:t xml:space="preserve"> </w:t>
      </w:r>
      <w:r w:rsidR="00622CA1" w:rsidRPr="00E950AD">
        <w:rPr>
          <w:rFonts w:ascii="Optimum" w:hAnsi="Optimum" w:cs="Arial"/>
          <w:sz w:val="20"/>
          <w:szCs w:val="20"/>
        </w:rPr>
        <w:t xml:space="preserve">a nivel mundial </w:t>
      </w:r>
      <w:r w:rsidR="006B2C6D" w:rsidRPr="00E950AD">
        <w:rPr>
          <w:rFonts w:ascii="Optimum" w:hAnsi="Optimum" w:cs="Arial"/>
          <w:sz w:val="20"/>
          <w:szCs w:val="20"/>
        </w:rPr>
        <w:t xml:space="preserve">(Roberts </w:t>
      </w:r>
      <w:r w:rsidR="006B2C6D" w:rsidRPr="00E950AD">
        <w:rPr>
          <w:rFonts w:ascii="Optimum" w:hAnsi="Optimum" w:cs="Arial"/>
          <w:i/>
          <w:sz w:val="20"/>
          <w:szCs w:val="20"/>
        </w:rPr>
        <w:t xml:space="preserve">et al, </w:t>
      </w:r>
      <w:r w:rsidR="006B2C6D" w:rsidRPr="00E950AD">
        <w:rPr>
          <w:rFonts w:ascii="Optimum" w:hAnsi="Optimum" w:cs="Arial"/>
          <w:sz w:val="20"/>
          <w:szCs w:val="20"/>
        </w:rPr>
        <w:t>2006; Savary, Ficke, Aubertot &amp; Hollier, 2012).</w:t>
      </w:r>
      <w:r w:rsidR="00A41DAC" w:rsidRPr="00E950AD">
        <w:rPr>
          <w:rFonts w:ascii="Optimum" w:hAnsi="Optimum" w:cs="Arial"/>
          <w:sz w:val="20"/>
          <w:szCs w:val="20"/>
        </w:rPr>
        <w:t xml:space="preserve"> </w:t>
      </w:r>
    </w:p>
    <w:p w14:paraId="1FD6B430" w14:textId="77777777" w:rsidR="002D4CF1" w:rsidRDefault="002D4CF1" w:rsidP="00E950AD">
      <w:pPr>
        <w:spacing w:after="0" w:line="240" w:lineRule="auto"/>
        <w:jc w:val="both"/>
        <w:rPr>
          <w:rFonts w:ascii="Optimum" w:hAnsi="Optimum" w:cs="Arial"/>
          <w:sz w:val="20"/>
          <w:szCs w:val="20"/>
        </w:rPr>
      </w:pPr>
    </w:p>
    <w:p w14:paraId="5D0C6B1A" w14:textId="73D55B7A" w:rsidR="00622CA1" w:rsidRPr="00E950AD" w:rsidRDefault="00622CA1" w:rsidP="00E950AD">
      <w:pPr>
        <w:spacing w:after="0" w:line="240" w:lineRule="auto"/>
        <w:jc w:val="both"/>
        <w:rPr>
          <w:rFonts w:ascii="Optimum" w:hAnsi="Optimum" w:cs="Arial"/>
          <w:sz w:val="20"/>
          <w:szCs w:val="20"/>
        </w:rPr>
      </w:pPr>
      <w:r w:rsidRPr="00E950AD">
        <w:rPr>
          <w:rFonts w:ascii="Optimum" w:hAnsi="Optimum" w:cs="Arial"/>
          <w:sz w:val="20"/>
          <w:szCs w:val="20"/>
        </w:rPr>
        <w:t>Es importante recalcar que a</w:t>
      </w:r>
      <w:r w:rsidR="00A41DAC" w:rsidRPr="00E950AD">
        <w:rPr>
          <w:rFonts w:ascii="Optimum" w:hAnsi="Optimum" w:cs="Arial"/>
          <w:sz w:val="20"/>
          <w:szCs w:val="20"/>
        </w:rPr>
        <w:t>lgun</w:t>
      </w:r>
      <w:r w:rsidR="00E758D1" w:rsidRPr="00E950AD">
        <w:rPr>
          <w:rFonts w:ascii="Optimum" w:hAnsi="Optimum" w:cs="Arial"/>
          <w:sz w:val="20"/>
          <w:szCs w:val="20"/>
        </w:rPr>
        <w:t>o</w:t>
      </w:r>
      <w:r w:rsidR="00A41DAC" w:rsidRPr="00E950AD">
        <w:rPr>
          <w:rFonts w:ascii="Optimum" w:hAnsi="Optimum" w:cs="Arial"/>
          <w:sz w:val="20"/>
          <w:szCs w:val="20"/>
        </w:rPr>
        <w:t>s de estos patógenos</w:t>
      </w:r>
      <w:r w:rsidRPr="00E950AD">
        <w:rPr>
          <w:rFonts w:ascii="Optimum" w:hAnsi="Optimum" w:cs="Arial"/>
          <w:sz w:val="20"/>
          <w:szCs w:val="20"/>
        </w:rPr>
        <w:t xml:space="preserve"> </w:t>
      </w:r>
      <w:r w:rsidR="00A41DAC" w:rsidRPr="00E950AD">
        <w:rPr>
          <w:rFonts w:ascii="Optimum" w:hAnsi="Optimum" w:cs="Arial"/>
          <w:sz w:val="20"/>
          <w:szCs w:val="20"/>
        </w:rPr>
        <w:t xml:space="preserve">han causado grandes impactos en la humanidad a nivel </w:t>
      </w:r>
      <w:r w:rsidR="00E758D1" w:rsidRPr="00E950AD">
        <w:rPr>
          <w:rFonts w:ascii="Optimum" w:hAnsi="Optimum" w:cs="Arial"/>
          <w:sz w:val="20"/>
          <w:szCs w:val="20"/>
        </w:rPr>
        <w:t>socioeconómico</w:t>
      </w:r>
      <w:r w:rsidR="00A41DAC" w:rsidRPr="00E950AD">
        <w:rPr>
          <w:rFonts w:ascii="Optimum" w:hAnsi="Optimum" w:cs="Arial"/>
          <w:sz w:val="20"/>
          <w:szCs w:val="20"/>
        </w:rPr>
        <w:t>.</w:t>
      </w:r>
      <w:r w:rsidR="00E758D1" w:rsidRPr="00E950AD">
        <w:rPr>
          <w:rFonts w:ascii="Optimum" w:hAnsi="Optimum" w:cs="Arial"/>
          <w:sz w:val="20"/>
          <w:szCs w:val="20"/>
        </w:rPr>
        <w:t xml:space="preserve"> </w:t>
      </w:r>
      <w:r w:rsidR="00962513" w:rsidRPr="00E950AD">
        <w:rPr>
          <w:rFonts w:ascii="Optimum" w:hAnsi="Optimum" w:cs="Arial"/>
          <w:sz w:val="20"/>
          <w:szCs w:val="20"/>
        </w:rPr>
        <w:t>Como</w:t>
      </w:r>
      <w:r w:rsidR="00E758D1" w:rsidRPr="00E950AD">
        <w:rPr>
          <w:rFonts w:ascii="Optimum" w:hAnsi="Optimum" w:cs="Arial"/>
          <w:sz w:val="20"/>
          <w:szCs w:val="20"/>
        </w:rPr>
        <w:t xml:space="preserve"> ejemplo, se </w:t>
      </w:r>
      <w:r w:rsidR="00962513" w:rsidRPr="00E950AD">
        <w:rPr>
          <w:rFonts w:ascii="Optimum" w:hAnsi="Optimum" w:cs="Arial"/>
          <w:sz w:val="20"/>
          <w:szCs w:val="20"/>
        </w:rPr>
        <w:t>tienen</w:t>
      </w:r>
      <w:r w:rsidR="00E758D1" w:rsidRPr="00E950AD">
        <w:rPr>
          <w:rFonts w:ascii="Optimum" w:hAnsi="Optimum" w:cs="Arial"/>
          <w:sz w:val="20"/>
          <w:szCs w:val="20"/>
        </w:rPr>
        <w:t xml:space="preserve"> los casos de brotes de</w:t>
      </w:r>
      <w:r w:rsidR="00A41DAC" w:rsidRPr="00E950AD">
        <w:rPr>
          <w:rFonts w:ascii="Optimum" w:hAnsi="Optimum" w:cs="Arial"/>
          <w:sz w:val="20"/>
          <w:szCs w:val="20"/>
        </w:rPr>
        <w:t xml:space="preserve"> </w:t>
      </w:r>
      <w:r w:rsidR="00E758D1" w:rsidRPr="00E950AD">
        <w:rPr>
          <w:rFonts w:ascii="Optimum" w:hAnsi="Optimum" w:cs="Arial"/>
          <w:sz w:val="20"/>
          <w:szCs w:val="20"/>
        </w:rPr>
        <w:t>tizón</w:t>
      </w:r>
      <w:r w:rsidR="00A41DAC" w:rsidRPr="00E950AD">
        <w:rPr>
          <w:rFonts w:ascii="Optimum" w:hAnsi="Optimum" w:cs="Arial"/>
          <w:sz w:val="20"/>
          <w:szCs w:val="20"/>
        </w:rPr>
        <w:t xml:space="preserve"> tardío </w:t>
      </w:r>
      <w:r w:rsidR="00E758D1" w:rsidRPr="00E950AD">
        <w:rPr>
          <w:rFonts w:ascii="Optimum" w:hAnsi="Optimum" w:cs="Arial"/>
          <w:sz w:val="20"/>
          <w:szCs w:val="20"/>
        </w:rPr>
        <w:t xml:space="preserve">en papa ocasionado por </w:t>
      </w:r>
      <w:r w:rsidR="00E758D1" w:rsidRPr="00E950AD">
        <w:rPr>
          <w:rFonts w:ascii="Optimum" w:hAnsi="Optimum" w:cs="Arial"/>
          <w:i/>
          <w:sz w:val="20"/>
          <w:szCs w:val="20"/>
        </w:rPr>
        <w:t xml:space="preserve">Phytophtora infestans </w:t>
      </w:r>
      <w:r w:rsidR="00E758D1" w:rsidRPr="00E950AD">
        <w:rPr>
          <w:rFonts w:ascii="Optimum" w:hAnsi="Optimum" w:cs="Arial"/>
          <w:sz w:val="20"/>
          <w:szCs w:val="20"/>
        </w:rPr>
        <w:t xml:space="preserve">en 1840 (Irlanda), </w:t>
      </w:r>
      <w:r w:rsidR="007955B0" w:rsidRPr="00E950AD">
        <w:rPr>
          <w:rFonts w:ascii="Optimum" w:hAnsi="Optimum" w:cs="Arial"/>
          <w:sz w:val="20"/>
          <w:szCs w:val="20"/>
        </w:rPr>
        <w:t xml:space="preserve">la </w:t>
      </w:r>
      <w:r w:rsidR="00E758D1" w:rsidRPr="00E950AD">
        <w:rPr>
          <w:rFonts w:ascii="Optimum" w:hAnsi="Optimum" w:cs="Arial"/>
          <w:sz w:val="20"/>
          <w:szCs w:val="20"/>
        </w:rPr>
        <w:t xml:space="preserve">mancha parda del arroz generada por </w:t>
      </w:r>
      <w:r w:rsidR="00E758D1" w:rsidRPr="00E950AD">
        <w:rPr>
          <w:rFonts w:ascii="Optimum" w:hAnsi="Optimum" w:cs="Arial"/>
          <w:i/>
          <w:sz w:val="20"/>
          <w:szCs w:val="20"/>
        </w:rPr>
        <w:t>Helmintospoium oryzae</w:t>
      </w:r>
      <w:r w:rsidR="00E758D1" w:rsidRPr="00E950AD">
        <w:rPr>
          <w:rFonts w:ascii="Optimum" w:hAnsi="Optimum" w:cs="Arial"/>
          <w:sz w:val="20"/>
          <w:szCs w:val="20"/>
        </w:rPr>
        <w:t xml:space="preserve"> en la década de 1940 en Bengala (hoy localizada en la República de Banglades e India) y </w:t>
      </w:r>
      <w:r w:rsidR="0017592E" w:rsidRPr="00E950AD">
        <w:rPr>
          <w:rFonts w:ascii="Optimum" w:hAnsi="Optimum" w:cs="Arial"/>
          <w:sz w:val="20"/>
          <w:szCs w:val="20"/>
        </w:rPr>
        <w:t>más</w:t>
      </w:r>
      <w:r w:rsidR="00E758D1" w:rsidRPr="00E950AD">
        <w:rPr>
          <w:rFonts w:ascii="Optimum" w:hAnsi="Optimum" w:cs="Arial"/>
          <w:sz w:val="20"/>
          <w:szCs w:val="20"/>
        </w:rPr>
        <w:t xml:space="preserve"> recientemente los casos de a</w:t>
      </w:r>
      <w:r w:rsidR="00962513" w:rsidRPr="00E950AD">
        <w:rPr>
          <w:rFonts w:ascii="Optimum" w:hAnsi="Optimum" w:cs="Arial"/>
          <w:sz w:val="20"/>
          <w:szCs w:val="20"/>
        </w:rPr>
        <w:t>ñ</w:t>
      </w:r>
      <w:r w:rsidR="00E758D1" w:rsidRPr="00E950AD">
        <w:rPr>
          <w:rFonts w:ascii="Optimum" w:hAnsi="Optimum" w:cs="Arial"/>
          <w:sz w:val="20"/>
          <w:szCs w:val="20"/>
        </w:rPr>
        <w:t xml:space="preserve">ublo bacteriano de la </w:t>
      </w:r>
      <w:r w:rsidR="00A0428C" w:rsidRPr="00E950AD">
        <w:rPr>
          <w:rFonts w:ascii="Optimum" w:hAnsi="Optimum" w:cs="Arial"/>
          <w:sz w:val="20"/>
          <w:szCs w:val="20"/>
        </w:rPr>
        <w:t>panícula</w:t>
      </w:r>
      <w:r w:rsidR="00E758D1" w:rsidRPr="00E950AD">
        <w:rPr>
          <w:rFonts w:ascii="Optimum" w:hAnsi="Optimum" w:cs="Arial"/>
          <w:sz w:val="20"/>
          <w:szCs w:val="20"/>
        </w:rPr>
        <w:t xml:space="preserve"> del arroz, causado en 2007 por </w:t>
      </w:r>
      <w:r w:rsidR="00E758D1" w:rsidRPr="00E950AD">
        <w:rPr>
          <w:rFonts w:ascii="Optimum" w:hAnsi="Optimum" w:cs="Arial"/>
          <w:i/>
          <w:sz w:val="20"/>
          <w:szCs w:val="20"/>
        </w:rPr>
        <w:t>Burkholderia glumae</w:t>
      </w:r>
      <w:r w:rsidR="00E758D1" w:rsidRPr="00E950AD">
        <w:rPr>
          <w:rFonts w:ascii="Optimum" w:hAnsi="Optimum" w:cs="Arial"/>
          <w:sz w:val="20"/>
          <w:szCs w:val="20"/>
        </w:rPr>
        <w:t xml:space="preserve"> en Colombia, la pudrición de la raíz en aguacate </w:t>
      </w:r>
      <w:r w:rsidR="00275C4A" w:rsidRPr="00E950AD">
        <w:rPr>
          <w:rFonts w:ascii="Optimum" w:hAnsi="Optimum" w:cs="Arial"/>
          <w:sz w:val="20"/>
          <w:szCs w:val="20"/>
        </w:rPr>
        <w:t xml:space="preserve">y otras plantas silvestres </w:t>
      </w:r>
      <w:r w:rsidR="00E758D1" w:rsidRPr="00E950AD">
        <w:rPr>
          <w:rFonts w:ascii="Optimum" w:hAnsi="Optimum" w:cs="Arial"/>
          <w:sz w:val="20"/>
          <w:szCs w:val="20"/>
        </w:rPr>
        <w:t xml:space="preserve">generada por </w:t>
      </w:r>
      <w:r w:rsidR="00E758D1" w:rsidRPr="00E950AD">
        <w:rPr>
          <w:rFonts w:ascii="Optimum" w:hAnsi="Optimum" w:cs="Arial"/>
          <w:i/>
          <w:sz w:val="20"/>
          <w:szCs w:val="20"/>
        </w:rPr>
        <w:t xml:space="preserve">Phytophtora cinammoni </w:t>
      </w:r>
      <w:r w:rsidR="00E758D1" w:rsidRPr="00E950AD">
        <w:rPr>
          <w:rFonts w:ascii="Optimum" w:hAnsi="Optimum" w:cs="Arial"/>
          <w:sz w:val="20"/>
          <w:szCs w:val="20"/>
        </w:rPr>
        <w:t xml:space="preserve">en gran parte de Australia en la </w:t>
      </w:r>
      <w:r w:rsidR="0017592E" w:rsidRPr="00E950AD">
        <w:rPr>
          <w:rFonts w:ascii="Optimum" w:hAnsi="Optimum" w:cs="Arial"/>
          <w:sz w:val="20"/>
          <w:szCs w:val="20"/>
        </w:rPr>
        <w:t>última</w:t>
      </w:r>
      <w:r w:rsidR="00E758D1" w:rsidRPr="00E950AD">
        <w:rPr>
          <w:rFonts w:ascii="Optimum" w:hAnsi="Optimum" w:cs="Arial"/>
          <w:sz w:val="20"/>
          <w:szCs w:val="20"/>
        </w:rPr>
        <w:t xml:space="preserve"> </w:t>
      </w:r>
      <w:r w:rsidR="00A0428C" w:rsidRPr="00E950AD">
        <w:rPr>
          <w:rFonts w:ascii="Optimum" w:hAnsi="Optimum" w:cs="Arial"/>
          <w:sz w:val="20"/>
          <w:szCs w:val="20"/>
        </w:rPr>
        <w:t>década</w:t>
      </w:r>
      <w:r w:rsidR="00E758D1" w:rsidRPr="00E950AD">
        <w:rPr>
          <w:rFonts w:ascii="Optimum" w:hAnsi="Optimum" w:cs="Arial"/>
          <w:sz w:val="20"/>
          <w:szCs w:val="20"/>
        </w:rPr>
        <w:t xml:space="preserve"> y el </w:t>
      </w:r>
      <w:r w:rsidR="00A0428C" w:rsidRPr="00E950AD">
        <w:rPr>
          <w:rFonts w:ascii="Optimum" w:hAnsi="Optimum" w:cs="Arial"/>
          <w:sz w:val="20"/>
          <w:szCs w:val="20"/>
        </w:rPr>
        <w:t xml:space="preserve">mal de Panamá generado por </w:t>
      </w:r>
      <w:r w:rsidR="00A0428C" w:rsidRPr="00E950AD">
        <w:rPr>
          <w:rFonts w:ascii="Optimum" w:hAnsi="Optimum" w:cs="Arial"/>
          <w:i/>
          <w:sz w:val="20"/>
          <w:szCs w:val="20"/>
        </w:rPr>
        <w:t xml:space="preserve">Fusarium oxysporum f. sp. cubense </w:t>
      </w:r>
      <w:r w:rsidR="00A0428C" w:rsidRPr="00E950AD">
        <w:rPr>
          <w:rFonts w:ascii="Optimum" w:hAnsi="Optimum" w:cs="Arial"/>
          <w:sz w:val="20"/>
          <w:szCs w:val="20"/>
        </w:rPr>
        <w:t>raza 4</w:t>
      </w:r>
      <w:r w:rsidR="00962513" w:rsidRPr="00E950AD">
        <w:rPr>
          <w:rFonts w:ascii="Optimum" w:hAnsi="Optimum" w:cs="Arial"/>
          <w:sz w:val="20"/>
          <w:szCs w:val="20"/>
        </w:rPr>
        <w:t xml:space="preserve"> en gran parte del sudeste Asiático</w:t>
      </w:r>
      <w:r w:rsidRPr="00E950AD">
        <w:rPr>
          <w:rFonts w:ascii="Optimum" w:hAnsi="Optimum" w:cs="Arial"/>
          <w:sz w:val="20"/>
          <w:szCs w:val="20"/>
        </w:rPr>
        <w:t xml:space="preserve"> </w:t>
      </w:r>
      <w:r w:rsidR="00275C4A" w:rsidRPr="00E950AD">
        <w:rPr>
          <w:rFonts w:ascii="Optimum" w:hAnsi="Optimum" w:cs="Arial"/>
          <w:sz w:val="20"/>
          <w:szCs w:val="20"/>
        </w:rPr>
        <w:t>(Padmanabhan, 1973; Donelly, 2002; Cahill, Rookes, Wilson, Gibson &amp; McDougall, 2008;</w:t>
      </w:r>
      <w:r w:rsidR="00ED337A" w:rsidRPr="00E950AD">
        <w:rPr>
          <w:rFonts w:ascii="Optimum" w:hAnsi="Optimum" w:cs="Arial"/>
          <w:sz w:val="20"/>
          <w:szCs w:val="20"/>
        </w:rPr>
        <w:t xml:space="preserve"> Pérez &amp; Saavedra, 2011,</w:t>
      </w:r>
      <w:r w:rsidR="0088044B" w:rsidRPr="00E950AD">
        <w:rPr>
          <w:rFonts w:ascii="Optimum" w:hAnsi="Optimum" w:cs="Arial"/>
          <w:sz w:val="20"/>
          <w:szCs w:val="20"/>
        </w:rPr>
        <w:t xml:space="preserve"> Dita, Barquero, Heck, Mizubuti, &amp; Staver, 2018)</w:t>
      </w:r>
      <w:r w:rsidR="00962513" w:rsidRPr="00E950AD">
        <w:rPr>
          <w:rFonts w:ascii="Optimum" w:hAnsi="Optimum" w:cs="Arial"/>
          <w:sz w:val="20"/>
          <w:szCs w:val="20"/>
        </w:rPr>
        <w:t>.</w:t>
      </w:r>
    </w:p>
    <w:p w14:paraId="0ACB465F" w14:textId="77777777" w:rsidR="002D4CF1" w:rsidRDefault="002D4CF1" w:rsidP="00E950AD">
      <w:pPr>
        <w:spacing w:after="0" w:line="240" w:lineRule="auto"/>
        <w:jc w:val="both"/>
        <w:rPr>
          <w:rFonts w:ascii="Optimum" w:hAnsi="Optimum" w:cs="Arial"/>
          <w:sz w:val="20"/>
          <w:szCs w:val="20"/>
        </w:rPr>
      </w:pPr>
    </w:p>
    <w:p w14:paraId="26E36BB6" w14:textId="40C941F5" w:rsidR="007955B0" w:rsidRPr="00E950AD" w:rsidRDefault="00622CA1" w:rsidP="00E950AD">
      <w:pPr>
        <w:spacing w:after="0" w:line="240" w:lineRule="auto"/>
        <w:jc w:val="both"/>
        <w:rPr>
          <w:rFonts w:ascii="Optimum" w:hAnsi="Optimum" w:cs="Arial"/>
          <w:sz w:val="20"/>
          <w:szCs w:val="20"/>
        </w:rPr>
      </w:pPr>
      <w:r w:rsidRPr="00E950AD">
        <w:rPr>
          <w:rFonts w:ascii="Optimum" w:hAnsi="Optimum" w:cs="Arial"/>
          <w:sz w:val="20"/>
          <w:szCs w:val="20"/>
        </w:rPr>
        <w:t>Estas enfermedades han causado enormes pérdidas económicas</w:t>
      </w:r>
      <w:r w:rsidR="0088044B" w:rsidRPr="00E950AD">
        <w:rPr>
          <w:rFonts w:ascii="Optimum" w:hAnsi="Optimum" w:cs="Arial"/>
          <w:sz w:val="20"/>
          <w:szCs w:val="20"/>
        </w:rPr>
        <w:t xml:space="preserve"> y se han asociado a eventos sociales que incluyen mortalidad</w:t>
      </w:r>
      <w:r w:rsidR="007955B0" w:rsidRPr="00E950AD">
        <w:rPr>
          <w:rFonts w:ascii="Optimum" w:hAnsi="Optimum" w:cs="Arial"/>
          <w:sz w:val="20"/>
          <w:szCs w:val="20"/>
        </w:rPr>
        <w:t xml:space="preserve"> y</w:t>
      </w:r>
      <w:r w:rsidR="0088044B" w:rsidRPr="00E950AD">
        <w:rPr>
          <w:rFonts w:ascii="Optimum" w:hAnsi="Optimum" w:cs="Arial"/>
          <w:sz w:val="20"/>
          <w:szCs w:val="20"/>
        </w:rPr>
        <w:t xml:space="preserve"> </w:t>
      </w:r>
      <w:r w:rsidR="007955B0" w:rsidRPr="00E950AD">
        <w:rPr>
          <w:rFonts w:ascii="Optimum" w:hAnsi="Optimum" w:cs="Arial"/>
          <w:sz w:val="20"/>
          <w:szCs w:val="20"/>
        </w:rPr>
        <w:t xml:space="preserve">migración </w:t>
      </w:r>
      <w:r w:rsidR="0088044B" w:rsidRPr="00E950AD">
        <w:rPr>
          <w:rFonts w:ascii="Optimum" w:hAnsi="Optimum" w:cs="Arial"/>
          <w:sz w:val="20"/>
          <w:szCs w:val="20"/>
        </w:rPr>
        <w:t>en poblaciones vulnerables</w:t>
      </w:r>
      <w:r w:rsidR="007955B0" w:rsidRPr="00E950AD">
        <w:rPr>
          <w:rFonts w:ascii="Optimum" w:hAnsi="Optimum" w:cs="Arial"/>
          <w:sz w:val="20"/>
          <w:szCs w:val="20"/>
        </w:rPr>
        <w:t xml:space="preserve"> cuya base de alimentación eran </w:t>
      </w:r>
      <w:r w:rsidR="00B85572" w:rsidRPr="00E950AD">
        <w:rPr>
          <w:rFonts w:ascii="Optimum" w:hAnsi="Optimum" w:cs="Arial"/>
          <w:sz w:val="20"/>
          <w:szCs w:val="20"/>
        </w:rPr>
        <w:t>los cultivos anteriormente mencionado</w:t>
      </w:r>
      <w:r w:rsidR="007955B0" w:rsidRPr="00E950AD">
        <w:rPr>
          <w:rFonts w:ascii="Optimum" w:hAnsi="Optimum" w:cs="Arial"/>
          <w:sz w:val="20"/>
          <w:szCs w:val="20"/>
        </w:rPr>
        <w:t>s</w:t>
      </w:r>
      <w:r w:rsidR="0088044B" w:rsidRPr="00E950AD">
        <w:rPr>
          <w:rFonts w:ascii="Optimum" w:hAnsi="Optimum" w:cs="Arial"/>
          <w:sz w:val="20"/>
          <w:szCs w:val="20"/>
        </w:rPr>
        <w:t xml:space="preserve">, </w:t>
      </w:r>
      <w:r w:rsidR="00ED337A" w:rsidRPr="00E950AD">
        <w:rPr>
          <w:rFonts w:ascii="Optimum" w:hAnsi="Optimum" w:cs="Arial"/>
          <w:sz w:val="20"/>
          <w:szCs w:val="20"/>
        </w:rPr>
        <w:t xml:space="preserve">y pérdida de especies de plantas silvestres entre otras. </w:t>
      </w:r>
    </w:p>
    <w:p w14:paraId="33574F14" w14:textId="77777777" w:rsidR="002D4CF1" w:rsidRDefault="002D4CF1" w:rsidP="00E950AD">
      <w:pPr>
        <w:spacing w:after="0" w:line="240" w:lineRule="auto"/>
        <w:jc w:val="both"/>
        <w:rPr>
          <w:rFonts w:ascii="Optimum" w:hAnsi="Optimum" w:cs="Arial"/>
          <w:sz w:val="20"/>
          <w:szCs w:val="20"/>
        </w:rPr>
      </w:pPr>
    </w:p>
    <w:p w14:paraId="54EC984D" w14:textId="74F00C49" w:rsidR="00006642" w:rsidRPr="00E950AD" w:rsidRDefault="00D50D48" w:rsidP="00E950AD">
      <w:pPr>
        <w:spacing w:after="0" w:line="240" w:lineRule="auto"/>
        <w:jc w:val="both"/>
        <w:rPr>
          <w:rFonts w:ascii="Optimum" w:hAnsi="Optimum" w:cs="Arial"/>
          <w:sz w:val="20"/>
          <w:szCs w:val="20"/>
        </w:rPr>
      </w:pPr>
      <w:r w:rsidRPr="00E950AD">
        <w:rPr>
          <w:rFonts w:ascii="Optimum" w:hAnsi="Optimum" w:cs="Arial"/>
          <w:sz w:val="20"/>
          <w:szCs w:val="20"/>
        </w:rPr>
        <w:t xml:space="preserve">Tradicionalmente, el manejo de fitopatógenos se realiza mediante el uso de </w:t>
      </w:r>
      <w:r w:rsidR="005141C2" w:rsidRPr="00E950AD">
        <w:rPr>
          <w:rFonts w:ascii="Optimum" w:hAnsi="Optimum" w:cs="Arial"/>
          <w:sz w:val="20"/>
          <w:szCs w:val="20"/>
        </w:rPr>
        <w:t xml:space="preserve">agroquímicos con efectos biocidas </w:t>
      </w:r>
      <w:r w:rsidR="00761FF9" w:rsidRPr="00E950AD">
        <w:rPr>
          <w:rFonts w:ascii="Optimum" w:hAnsi="Optimum" w:cs="Arial"/>
          <w:sz w:val="20"/>
          <w:szCs w:val="20"/>
        </w:rPr>
        <w:t xml:space="preserve">(antibacterianos, antifúngicos, antivirales, anti-oomycetos, nematicidas). Sin embargo, su aplicación constante ha conducido a eventos de desarrollo de resistencia particularmente en el caso de bacterias y hongos. Este escenario a su vez </w:t>
      </w:r>
      <w:r w:rsidR="004F12D9" w:rsidRPr="00E950AD">
        <w:rPr>
          <w:rFonts w:ascii="Optimum" w:hAnsi="Optimum" w:cs="Arial"/>
          <w:sz w:val="20"/>
          <w:szCs w:val="20"/>
        </w:rPr>
        <w:t>h</w:t>
      </w:r>
      <w:r w:rsidR="00761FF9" w:rsidRPr="00E950AD">
        <w:rPr>
          <w:rFonts w:ascii="Optimum" w:hAnsi="Optimum" w:cs="Arial"/>
          <w:sz w:val="20"/>
          <w:szCs w:val="20"/>
        </w:rPr>
        <w:t>a desencadenado el uso de mayores dosis de los químicos disponible</w:t>
      </w:r>
      <w:r w:rsidR="004F12D9" w:rsidRPr="00E950AD">
        <w:rPr>
          <w:rFonts w:ascii="Optimum" w:hAnsi="Optimum" w:cs="Arial"/>
          <w:sz w:val="20"/>
          <w:szCs w:val="20"/>
        </w:rPr>
        <w:t>s</w:t>
      </w:r>
      <w:r w:rsidR="00761FF9" w:rsidRPr="00E950AD">
        <w:rPr>
          <w:rFonts w:ascii="Optimum" w:hAnsi="Optimum" w:cs="Arial"/>
          <w:sz w:val="20"/>
          <w:szCs w:val="20"/>
        </w:rPr>
        <w:t xml:space="preserve"> o la entrada al mercado de nuevas moléculas con espectros de acción </w:t>
      </w:r>
      <w:r w:rsidR="0017592E" w:rsidRPr="00E950AD">
        <w:rPr>
          <w:rFonts w:ascii="Optimum" w:hAnsi="Optimum" w:cs="Arial"/>
          <w:sz w:val="20"/>
          <w:szCs w:val="20"/>
        </w:rPr>
        <w:t>más</w:t>
      </w:r>
      <w:r w:rsidR="00761FF9" w:rsidRPr="00E950AD">
        <w:rPr>
          <w:rFonts w:ascii="Optimum" w:hAnsi="Optimum" w:cs="Arial"/>
          <w:sz w:val="20"/>
          <w:szCs w:val="20"/>
        </w:rPr>
        <w:t xml:space="preserve"> amplios. </w:t>
      </w:r>
    </w:p>
    <w:p w14:paraId="37817E52" w14:textId="77777777" w:rsidR="002D4CF1" w:rsidRDefault="002D4CF1" w:rsidP="00E950AD">
      <w:pPr>
        <w:spacing w:after="0" w:line="240" w:lineRule="auto"/>
        <w:jc w:val="both"/>
        <w:rPr>
          <w:rFonts w:ascii="Optimum" w:hAnsi="Optimum" w:cs="Arial"/>
          <w:sz w:val="20"/>
          <w:szCs w:val="20"/>
        </w:rPr>
      </w:pPr>
    </w:p>
    <w:p w14:paraId="5D8FB190" w14:textId="746691ED" w:rsidR="00530638" w:rsidRPr="00E950AD" w:rsidRDefault="00BF39FE" w:rsidP="00E950AD">
      <w:pPr>
        <w:spacing w:after="0" w:line="240" w:lineRule="auto"/>
        <w:jc w:val="both"/>
        <w:rPr>
          <w:rFonts w:ascii="Optimum" w:hAnsi="Optimum" w:cs="Arial"/>
          <w:sz w:val="20"/>
          <w:szCs w:val="20"/>
        </w:rPr>
      </w:pPr>
      <w:r w:rsidRPr="00E950AD">
        <w:rPr>
          <w:rFonts w:ascii="Optimum" w:hAnsi="Optimum" w:cs="Arial"/>
          <w:sz w:val="20"/>
          <w:szCs w:val="20"/>
        </w:rPr>
        <w:t>El</w:t>
      </w:r>
      <w:r w:rsidR="00761FF9" w:rsidRPr="00E950AD">
        <w:rPr>
          <w:rFonts w:ascii="Optimum" w:hAnsi="Optimum" w:cs="Arial"/>
          <w:sz w:val="20"/>
          <w:szCs w:val="20"/>
        </w:rPr>
        <w:t xml:space="preserve"> uso de una mayor cantidad de agroquímicos</w:t>
      </w:r>
      <w:r w:rsidR="00A15BC6" w:rsidRPr="00E950AD">
        <w:rPr>
          <w:rFonts w:ascii="Optimum" w:hAnsi="Optimum" w:cs="Arial"/>
          <w:sz w:val="20"/>
          <w:szCs w:val="20"/>
        </w:rPr>
        <w:t xml:space="preserve"> (en concentración, dosis o diversidad)</w:t>
      </w:r>
      <w:r w:rsidR="00761FF9" w:rsidRPr="00E950AD">
        <w:rPr>
          <w:rFonts w:ascii="Optimum" w:hAnsi="Optimum" w:cs="Arial"/>
          <w:sz w:val="20"/>
          <w:szCs w:val="20"/>
        </w:rPr>
        <w:t xml:space="preserve"> ha provocado efectos deletéreos para el medio ambiente por contaminación de suelos y fuentes hídricas, para la salud humana por exposición</w:t>
      </w:r>
      <w:r w:rsidR="00D30317" w:rsidRPr="00E950AD">
        <w:rPr>
          <w:rFonts w:ascii="Optimum" w:hAnsi="Optimum" w:cs="Arial"/>
          <w:sz w:val="20"/>
          <w:szCs w:val="20"/>
        </w:rPr>
        <w:t xml:space="preserve"> directa </w:t>
      </w:r>
      <w:r w:rsidR="004F12D9" w:rsidRPr="00E950AD">
        <w:rPr>
          <w:rFonts w:ascii="Optimum" w:hAnsi="Optimum" w:cs="Arial"/>
          <w:sz w:val="20"/>
          <w:szCs w:val="20"/>
        </w:rPr>
        <w:t xml:space="preserve">y prolongada </w:t>
      </w:r>
      <w:r w:rsidR="00D30317" w:rsidRPr="00E950AD">
        <w:rPr>
          <w:rFonts w:ascii="Optimum" w:hAnsi="Optimum" w:cs="Arial"/>
          <w:sz w:val="20"/>
          <w:szCs w:val="20"/>
        </w:rPr>
        <w:t>a los agroquímicos</w:t>
      </w:r>
      <w:r w:rsidR="00761FF9" w:rsidRPr="00E950AD">
        <w:rPr>
          <w:rFonts w:ascii="Optimum" w:hAnsi="Optimum" w:cs="Arial"/>
          <w:sz w:val="20"/>
          <w:szCs w:val="20"/>
        </w:rPr>
        <w:t xml:space="preserve"> y para la biodiversidad de microorganismos e insectos</w:t>
      </w:r>
      <w:r w:rsidR="00D30317" w:rsidRPr="00E950AD">
        <w:rPr>
          <w:rFonts w:ascii="Optimum" w:hAnsi="Optimum" w:cs="Arial"/>
          <w:sz w:val="20"/>
          <w:szCs w:val="20"/>
        </w:rPr>
        <w:t xml:space="preserve"> </w:t>
      </w:r>
      <w:r w:rsidR="00A15BC6" w:rsidRPr="00E950AD">
        <w:rPr>
          <w:rFonts w:ascii="Optimum" w:hAnsi="Optimum" w:cs="Arial"/>
          <w:sz w:val="20"/>
          <w:szCs w:val="20"/>
        </w:rPr>
        <w:t>benéficos</w:t>
      </w:r>
      <w:r w:rsidR="00D30317" w:rsidRPr="00E950AD">
        <w:rPr>
          <w:rFonts w:ascii="Optimum" w:hAnsi="Optimum" w:cs="Arial"/>
          <w:sz w:val="20"/>
          <w:szCs w:val="20"/>
        </w:rPr>
        <w:t xml:space="preserve"> para el cultivo,</w:t>
      </w:r>
      <w:r w:rsidR="00761FF9" w:rsidRPr="00E950AD">
        <w:rPr>
          <w:rFonts w:ascii="Optimum" w:hAnsi="Optimum" w:cs="Arial"/>
          <w:sz w:val="20"/>
          <w:szCs w:val="20"/>
        </w:rPr>
        <w:t xml:space="preserve"> que son susceptibles a las moléculas que </w:t>
      </w:r>
      <w:r w:rsidR="00761FF9" w:rsidRPr="00E950AD">
        <w:rPr>
          <w:rFonts w:ascii="Optimum" w:hAnsi="Optimum" w:cs="Arial"/>
          <w:sz w:val="20"/>
          <w:szCs w:val="20"/>
        </w:rPr>
        <w:lastRenderedPageBreak/>
        <w:t>conforman el producto biocida</w:t>
      </w:r>
      <w:r w:rsidR="00A15BC6" w:rsidRPr="00E950AD">
        <w:rPr>
          <w:rFonts w:ascii="Optimum" w:hAnsi="Optimum" w:cs="Arial"/>
          <w:sz w:val="20"/>
          <w:szCs w:val="20"/>
        </w:rPr>
        <w:t xml:space="preserve"> y cuyas poblaciones se reducen </w:t>
      </w:r>
      <w:r w:rsidR="007955B0" w:rsidRPr="00E950AD">
        <w:rPr>
          <w:rFonts w:ascii="Optimum" w:hAnsi="Optimum" w:cs="Arial"/>
          <w:sz w:val="20"/>
          <w:szCs w:val="20"/>
        </w:rPr>
        <w:t xml:space="preserve">como efecto secundario </w:t>
      </w:r>
      <w:r w:rsidR="00A15BC6" w:rsidRPr="00E950AD">
        <w:rPr>
          <w:rFonts w:ascii="Optimum" w:hAnsi="Optimum" w:cs="Arial"/>
          <w:sz w:val="20"/>
          <w:szCs w:val="20"/>
        </w:rPr>
        <w:t>tras la aplicación del químico (Ab Rahman, 2018)</w:t>
      </w:r>
      <w:r w:rsidR="00530638" w:rsidRPr="00E950AD">
        <w:rPr>
          <w:rFonts w:ascii="Optimum" w:hAnsi="Optimum" w:cs="Arial"/>
          <w:sz w:val="20"/>
          <w:szCs w:val="20"/>
        </w:rPr>
        <w:t>.</w:t>
      </w:r>
    </w:p>
    <w:p w14:paraId="7DD7D146" w14:textId="77777777" w:rsidR="002D4CF1" w:rsidRDefault="002D4CF1" w:rsidP="00E950AD">
      <w:pPr>
        <w:spacing w:after="0" w:line="240" w:lineRule="auto"/>
        <w:jc w:val="both"/>
        <w:rPr>
          <w:rFonts w:ascii="Optimum" w:hAnsi="Optimum" w:cs="Arial"/>
          <w:sz w:val="20"/>
          <w:szCs w:val="20"/>
        </w:rPr>
      </w:pPr>
    </w:p>
    <w:p w14:paraId="3DFB385C" w14:textId="7C4F66F2" w:rsidR="00530638" w:rsidRPr="00E950AD" w:rsidRDefault="00530638" w:rsidP="00E950AD">
      <w:pPr>
        <w:spacing w:after="0" w:line="240" w:lineRule="auto"/>
        <w:jc w:val="both"/>
        <w:rPr>
          <w:rFonts w:ascii="Optimum" w:hAnsi="Optimum" w:cs="Arial"/>
          <w:sz w:val="20"/>
          <w:szCs w:val="20"/>
        </w:rPr>
      </w:pPr>
      <w:r w:rsidRPr="00E950AD">
        <w:rPr>
          <w:rFonts w:ascii="Optimum" w:hAnsi="Optimum" w:cs="Arial"/>
          <w:sz w:val="20"/>
          <w:szCs w:val="20"/>
        </w:rPr>
        <w:t>Otras aproximaciones</w:t>
      </w:r>
      <w:r w:rsidR="005E3D6F" w:rsidRPr="00E950AD">
        <w:rPr>
          <w:rFonts w:ascii="Optimum" w:hAnsi="Optimum" w:cs="Arial"/>
          <w:sz w:val="20"/>
          <w:szCs w:val="20"/>
        </w:rPr>
        <w:t xml:space="preserve"> propuestas para el manejo de </w:t>
      </w:r>
      <w:r w:rsidR="00367EEB" w:rsidRPr="00E950AD">
        <w:rPr>
          <w:rFonts w:ascii="Optimum" w:hAnsi="Optimum" w:cs="Arial"/>
          <w:sz w:val="20"/>
          <w:szCs w:val="20"/>
        </w:rPr>
        <w:t>fitopatógenos</w:t>
      </w:r>
      <w:r w:rsidRPr="00E950AD">
        <w:rPr>
          <w:rFonts w:ascii="Optimum" w:hAnsi="Optimum" w:cs="Arial"/>
          <w:sz w:val="20"/>
          <w:szCs w:val="20"/>
        </w:rPr>
        <w:t xml:space="preserve"> incluyen el uso de variedades resistentes y el control biológico. </w:t>
      </w:r>
      <w:r w:rsidR="000F71F9" w:rsidRPr="00E950AD">
        <w:rPr>
          <w:rFonts w:ascii="Optimum" w:hAnsi="Optimum" w:cs="Arial"/>
          <w:sz w:val="20"/>
          <w:szCs w:val="20"/>
        </w:rPr>
        <w:t>De</w:t>
      </w:r>
      <w:r w:rsidRPr="00E950AD">
        <w:rPr>
          <w:rFonts w:ascii="Optimum" w:hAnsi="Optimum" w:cs="Arial"/>
          <w:sz w:val="20"/>
          <w:szCs w:val="20"/>
        </w:rPr>
        <w:t xml:space="preserve"> la primera</w:t>
      </w:r>
      <w:r w:rsidR="000663D6" w:rsidRPr="00E950AD">
        <w:rPr>
          <w:rFonts w:ascii="Optimum" w:hAnsi="Optimum" w:cs="Arial"/>
          <w:sz w:val="20"/>
          <w:szCs w:val="20"/>
        </w:rPr>
        <w:t xml:space="preserve"> se destacan sus</w:t>
      </w:r>
      <w:r w:rsidRPr="00E950AD">
        <w:rPr>
          <w:rFonts w:ascii="Optimum" w:hAnsi="Optimum" w:cs="Arial"/>
          <w:sz w:val="20"/>
          <w:szCs w:val="20"/>
        </w:rPr>
        <w:t xml:space="preserve"> buenos resultados en campo</w:t>
      </w:r>
      <w:r w:rsidR="000663D6" w:rsidRPr="00E950AD">
        <w:rPr>
          <w:rFonts w:ascii="Optimum" w:hAnsi="Optimum" w:cs="Arial"/>
          <w:sz w:val="20"/>
          <w:szCs w:val="20"/>
        </w:rPr>
        <w:t xml:space="preserve"> y su bajo impacto ambiental</w:t>
      </w:r>
      <w:r w:rsidRPr="00E950AD">
        <w:rPr>
          <w:rFonts w:ascii="Optimum" w:hAnsi="Optimum" w:cs="Arial"/>
          <w:sz w:val="20"/>
          <w:szCs w:val="20"/>
        </w:rPr>
        <w:t>. A pesar de ello, su desarrollo antes de entrar al mercado es largo, no solo por la generación de la variedad resistente sino por el tiempo que conlleva obtener los permisos necesarios para su comercialización</w:t>
      </w:r>
      <w:r w:rsidR="000663D6" w:rsidRPr="00E950AD">
        <w:rPr>
          <w:rFonts w:ascii="Optimum" w:hAnsi="Optimum" w:cs="Arial"/>
          <w:sz w:val="20"/>
          <w:szCs w:val="20"/>
        </w:rPr>
        <w:t xml:space="preserve"> y la aceptación en el mercado cuando se tratan de organismos genéticamente modificados (GM</w:t>
      </w:r>
      <w:r w:rsidR="00B32B6E" w:rsidRPr="00E950AD">
        <w:rPr>
          <w:rFonts w:ascii="Optimum" w:hAnsi="Optimum" w:cs="Arial"/>
          <w:sz w:val="20"/>
          <w:szCs w:val="20"/>
        </w:rPr>
        <w:t>O</w:t>
      </w:r>
      <w:r w:rsidR="000663D6" w:rsidRPr="00E950AD">
        <w:rPr>
          <w:rFonts w:ascii="Optimum" w:hAnsi="Optimum" w:cs="Arial"/>
          <w:sz w:val="20"/>
          <w:szCs w:val="20"/>
        </w:rPr>
        <w:t>)</w:t>
      </w:r>
      <w:r w:rsidRPr="00E950AD">
        <w:rPr>
          <w:rFonts w:ascii="Optimum" w:hAnsi="Optimum" w:cs="Arial"/>
          <w:sz w:val="20"/>
          <w:szCs w:val="20"/>
        </w:rPr>
        <w:t xml:space="preserve">. </w:t>
      </w:r>
    </w:p>
    <w:p w14:paraId="5B846131" w14:textId="77777777" w:rsidR="002D4CF1" w:rsidRDefault="002D4CF1" w:rsidP="00E950AD">
      <w:pPr>
        <w:spacing w:after="0" w:line="240" w:lineRule="auto"/>
        <w:jc w:val="both"/>
        <w:rPr>
          <w:rFonts w:ascii="Optimum" w:hAnsi="Optimum" w:cs="Arial"/>
          <w:sz w:val="20"/>
          <w:szCs w:val="20"/>
        </w:rPr>
      </w:pPr>
    </w:p>
    <w:p w14:paraId="48A947BC" w14:textId="688188F0" w:rsidR="00773B43" w:rsidRPr="00E950AD" w:rsidRDefault="007955B0" w:rsidP="00E950AD">
      <w:pPr>
        <w:spacing w:after="0" w:line="240" w:lineRule="auto"/>
        <w:jc w:val="both"/>
        <w:rPr>
          <w:rFonts w:ascii="Optimum" w:hAnsi="Optimum" w:cs="Arial"/>
          <w:sz w:val="20"/>
          <w:szCs w:val="20"/>
        </w:rPr>
      </w:pPr>
      <w:r w:rsidRPr="00E950AD">
        <w:rPr>
          <w:rFonts w:ascii="Optimum" w:hAnsi="Optimum" w:cs="Arial"/>
          <w:sz w:val="20"/>
          <w:szCs w:val="20"/>
        </w:rPr>
        <w:t>Por su parte, e</w:t>
      </w:r>
      <w:r w:rsidR="000663D6" w:rsidRPr="00E950AD">
        <w:rPr>
          <w:rFonts w:ascii="Optimum" w:hAnsi="Optimum" w:cs="Arial"/>
          <w:sz w:val="20"/>
          <w:szCs w:val="20"/>
        </w:rPr>
        <w:t>l control biológico o biocontrol, hace referencia al uso de diferentes organismos (o los compuestos</w:t>
      </w:r>
      <w:r w:rsidR="00773B43" w:rsidRPr="00E950AD">
        <w:rPr>
          <w:rFonts w:ascii="Optimum" w:hAnsi="Optimum" w:cs="Arial"/>
          <w:sz w:val="20"/>
          <w:szCs w:val="20"/>
        </w:rPr>
        <w:t xml:space="preserve"> o extractos obtenidos de ellos)</w:t>
      </w:r>
      <w:r w:rsidR="000663D6" w:rsidRPr="00E950AD">
        <w:rPr>
          <w:rFonts w:ascii="Optimum" w:hAnsi="Optimum" w:cs="Arial"/>
          <w:sz w:val="20"/>
          <w:szCs w:val="20"/>
        </w:rPr>
        <w:t xml:space="preserve"> que solos o en combinación son capaces de disminuir los efectos deletéreos que causa una población patógena sobre el crecimiento y/o productividad de un</w:t>
      </w:r>
      <w:r w:rsidR="00B85572" w:rsidRPr="00E950AD">
        <w:rPr>
          <w:rFonts w:ascii="Optimum" w:hAnsi="Optimum" w:cs="Arial"/>
          <w:sz w:val="20"/>
          <w:szCs w:val="20"/>
        </w:rPr>
        <w:t xml:space="preserve"> cultivo</w:t>
      </w:r>
      <w:r w:rsidR="00773B43" w:rsidRPr="00E950AD">
        <w:rPr>
          <w:rFonts w:ascii="Optimum" w:hAnsi="Optimum" w:cs="Arial"/>
          <w:sz w:val="20"/>
          <w:szCs w:val="20"/>
        </w:rPr>
        <w:t xml:space="preserve"> (Pal &amp; Gardener, 2006)</w:t>
      </w:r>
      <w:r w:rsidR="000663D6" w:rsidRPr="00E950AD">
        <w:rPr>
          <w:rFonts w:ascii="Optimum" w:hAnsi="Optimum" w:cs="Arial"/>
          <w:sz w:val="20"/>
          <w:szCs w:val="20"/>
        </w:rPr>
        <w:t>. Esta estrategia de manejo de fitopatógenos depende en gran medida de las interacciones que ocurren entre la planta, el patógeno, el organismo biocontrolador y el ambiente en el cual se desarrolla tal interacción.</w:t>
      </w:r>
    </w:p>
    <w:p w14:paraId="00916AE6" w14:textId="77777777" w:rsidR="002D4CF1" w:rsidRDefault="002D4CF1" w:rsidP="00E950AD">
      <w:pPr>
        <w:spacing w:after="0" w:line="240" w:lineRule="auto"/>
        <w:jc w:val="both"/>
        <w:rPr>
          <w:rFonts w:ascii="Optimum" w:hAnsi="Optimum" w:cs="Arial"/>
          <w:sz w:val="20"/>
          <w:szCs w:val="20"/>
        </w:rPr>
      </w:pPr>
    </w:p>
    <w:p w14:paraId="5917A122" w14:textId="697B2E1A" w:rsidR="00671806" w:rsidRPr="00E950AD" w:rsidRDefault="00773B43" w:rsidP="00E950AD">
      <w:pPr>
        <w:spacing w:after="0" w:line="240" w:lineRule="auto"/>
        <w:jc w:val="both"/>
        <w:rPr>
          <w:rFonts w:ascii="Optimum" w:hAnsi="Optimum" w:cs="Arial"/>
          <w:sz w:val="20"/>
          <w:szCs w:val="20"/>
        </w:rPr>
      </w:pPr>
      <w:r w:rsidRPr="00E950AD">
        <w:rPr>
          <w:rFonts w:ascii="Optimum" w:hAnsi="Optimum" w:cs="Arial"/>
          <w:sz w:val="20"/>
          <w:szCs w:val="20"/>
        </w:rPr>
        <w:t xml:space="preserve">El objetivo central del uso de microorganismos biocontroladores es limitar la aplicación de agroquímicos disminuyendo la presencia del patógeno en el cultivo de una forma ambientalmente amigable. </w:t>
      </w:r>
      <w:r w:rsidR="00537E54" w:rsidRPr="00E950AD">
        <w:rPr>
          <w:rFonts w:ascii="Optimum" w:hAnsi="Optimum" w:cs="Arial"/>
          <w:sz w:val="20"/>
          <w:szCs w:val="20"/>
        </w:rPr>
        <w:t>Para ello, es necesario que el biocontrolador sea capaz de permanecer viable y crecer en el espacio de la planta susceptible a la presencia del fitopatógeno bien sea la riz</w:t>
      </w:r>
      <w:r w:rsidR="00637593" w:rsidRPr="00E950AD">
        <w:rPr>
          <w:rFonts w:ascii="Optimum" w:hAnsi="Optimum" w:cs="Arial"/>
          <w:sz w:val="20"/>
          <w:szCs w:val="20"/>
        </w:rPr>
        <w:t>ó</w:t>
      </w:r>
      <w:r w:rsidR="00537E54" w:rsidRPr="00E950AD">
        <w:rPr>
          <w:rFonts w:ascii="Optimum" w:hAnsi="Optimum" w:cs="Arial"/>
          <w:sz w:val="20"/>
          <w:szCs w:val="20"/>
        </w:rPr>
        <w:t>sfera, la fil</w:t>
      </w:r>
      <w:r w:rsidR="00671806" w:rsidRPr="00E950AD">
        <w:rPr>
          <w:rFonts w:ascii="Optimum" w:hAnsi="Optimum" w:cs="Arial"/>
          <w:sz w:val="20"/>
          <w:szCs w:val="20"/>
        </w:rPr>
        <w:t>ó</w:t>
      </w:r>
      <w:r w:rsidR="00537E54" w:rsidRPr="00E950AD">
        <w:rPr>
          <w:rFonts w:ascii="Optimum" w:hAnsi="Optimum" w:cs="Arial"/>
          <w:sz w:val="20"/>
          <w:szCs w:val="20"/>
        </w:rPr>
        <w:t>sfera</w:t>
      </w:r>
      <w:r w:rsidR="00671806" w:rsidRPr="00E950AD">
        <w:rPr>
          <w:rFonts w:ascii="Optimum" w:hAnsi="Optimum" w:cs="Arial"/>
          <w:sz w:val="20"/>
          <w:szCs w:val="20"/>
        </w:rPr>
        <w:t xml:space="preserve"> o la end</w:t>
      </w:r>
      <w:r w:rsidR="00637593" w:rsidRPr="00E950AD">
        <w:rPr>
          <w:rFonts w:ascii="Optimum" w:hAnsi="Optimum" w:cs="Arial"/>
          <w:sz w:val="20"/>
          <w:szCs w:val="20"/>
        </w:rPr>
        <w:t>ó</w:t>
      </w:r>
      <w:r w:rsidR="00671806" w:rsidRPr="00E950AD">
        <w:rPr>
          <w:rFonts w:ascii="Optimum" w:hAnsi="Optimum" w:cs="Arial"/>
          <w:sz w:val="20"/>
          <w:szCs w:val="20"/>
        </w:rPr>
        <w:t>sfera</w:t>
      </w:r>
      <w:r w:rsidR="00537E54" w:rsidRPr="00E950AD">
        <w:rPr>
          <w:rFonts w:ascii="Optimum" w:hAnsi="Optimum" w:cs="Arial"/>
          <w:sz w:val="20"/>
          <w:szCs w:val="20"/>
        </w:rPr>
        <w:t>.</w:t>
      </w:r>
    </w:p>
    <w:p w14:paraId="65BEA1B7" w14:textId="77777777" w:rsidR="002D4CF1" w:rsidRDefault="002D4CF1" w:rsidP="00E950AD">
      <w:pPr>
        <w:spacing w:after="0" w:line="240" w:lineRule="auto"/>
        <w:jc w:val="both"/>
        <w:rPr>
          <w:rFonts w:ascii="Optimum" w:hAnsi="Optimum" w:cs="Arial"/>
          <w:sz w:val="20"/>
          <w:szCs w:val="20"/>
        </w:rPr>
      </w:pPr>
    </w:p>
    <w:p w14:paraId="10C64B28" w14:textId="78096967" w:rsidR="00773B43" w:rsidRPr="00E950AD" w:rsidRDefault="00B85572" w:rsidP="00E950AD">
      <w:pPr>
        <w:spacing w:after="0" w:line="240" w:lineRule="auto"/>
        <w:jc w:val="both"/>
        <w:rPr>
          <w:rFonts w:ascii="Optimum" w:hAnsi="Optimum" w:cs="Arial"/>
          <w:sz w:val="20"/>
          <w:szCs w:val="20"/>
        </w:rPr>
      </w:pPr>
      <w:r w:rsidRPr="00E950AD">
        <w:rPr>
          <w:rFonts w:ascii="Optimum" w:hAnsi="Optimum" w:cs="Arial"/>
          <w:sz w:val="20"/>
          <w:szCs w:val="20"/>
        </w:rPr>
        <w:t>Considerando</w:t>
      </w:r>
      <w:r w:rsidR="00773B43" w:rsidRPr="00E950AD">
        <w:rPr>
          <w:rFonts w:ascii="Optimum" w:hAnsi="Optimum" w:cs="Arial"/>
          <w:sz w:val="20"/>
          <w:szCs w:val="20"/>
        </w:rPr>
        <w:t xml:space="preserve"> que muchas de las enfermedades ocasionadas por fitopatógenos son producidas dentro del ambiente rizosférico, las investigaciones dirigidas al aislamiento selección y posterior uso de biocontroladores se han enfocado en aquellos que son capaces de colonizar este nicho ecológico</w:t>
      </w:r>
      <w:r w:rsidR="005E3D6F" w:rsidRPr="00E950AD">
        <w:rPr>
          <w:rFonts w:ascii="Optimum" w:hAnsi="Optimum" w:cs="Arial"/>
          <w:sz w:val="20"/>
          <w:szCs w:val="20"/>
        </w:rPr>
        <w:t xml:space="preserve"> y por ende interactuar (física y químicamente) con la planta hospedera</w:t>
      </w:r>
      <w:r w:rsidR="00773B43" w:rsidRPr="00E950AD">
        <w:rPr>
          <w:rFonts w:ascii="Optimum" w:hAnsi="Optimum" w:cs="Arial"/>
          <w:sz w:val="20"/>
          <w:szCs w:val="20"/>
        </w:rPr>
        <w:t>.</w:t>
      </w:r>
      <w:r w:rsidR="00E4797B" w:rsidRPr="00E950AD">
        <w:rPr>
          <w:rFonts w:ascii="Optimum" w:hAnsi="Optimum" w:cs="Arial"/>
          <w:sz w:val="20"/>
          <w:szCs w:val="20"/>
        </w:rPr>
        <w:t xml:space="preserve"> El microorganismo seleccionado como biocontrolador, debe además ser metabólicamente activo de </w:t>
      </w:r>
      <w:r w:rsidR="007955B0" w:rsidRPr="00E950AD">
        <w:rPr>
          <w:rFonts w:ascii="Optimum" w:hAnsi="Optimum" w:cs="Arial"/>
          <w:sz w:val="20"/>
          <w:szCs w:val="20"/>
        </w:rPr>
        <w:t>manera</w:t>
      </w:r>
      <w:r w:rsidR="00E4797B" w:rsidRPr="00E950AD">
        <w:rPr>
          <w:rFonts w:ascii="Optimum" w:hAnsi="Optimum" w:cs="Arial"/>
          <w:sz w:val="20"/>
          <w:szCs w:val="20"/>
        </w:rPr>
        <w:t xml:space="preserve"> que pueda ejercer su “efecto protector” bien se</w:t>
      </w:r>
      <w:r w:rsidRPr="00E950AD">
        <w:rPr>
          <w:rFonts w:ascii="Optimum" w:hAnsi="Optimum" w:cs="Arial"/>
          <w:sz w:val="20"/>
          <w:szCs w:val="20"/>
        </w:rPr>
        <w:t>a</w:t>
      </w:r>
      <w:r w:rsidR="00E4797B" w:rsidRPr="00E950AD">
        <w:rPr>
          <w:rFonts w:ascii="Optimum" w:hAnsi="Optimum" w:cs="Arial"/>
          <w:sz w:val="20"/>
          <w:szCs w:val="20"/>
        </w:rPr>
        <w:t xml:space="preserve"> de forma directa (produciendo metabolitos o enzimas que inhiben el crecimiento del patógeno o compitiendo por espacio o nutrientes) o indirecta (estimulando las defensas de la planta) (Nihorimbere, Ongena, Smargiassi &amp; Thonart, 2011). </w:t>
      </w:r>
    </w:p>
    <w:p w14:paraId="5D4ED11B" w14:textId="77777777" w:rsidR="002D4CF1" w:rsidRDefault="002D4CF1" w:rsidP="00E950AD">
      <w:pPr>
        <w:spacing w:after="0" w:line="240" w:lineRule="auto"/>
        <w:jc w:val="both"/>
        <w:rPr>
          <w:rFonts w:ascii="Optimum" w:hAnsi="Optimum" w:cs="Arial"/>
          <w:sz w:val="20"/>
          <w:szCs w:val="20"/>
        </w:rPr>
      </w:pPr>
    </w:p>
    <w:p w14:paraId="37F9B901" w14:textId="49AAD2F4" w:rsidR="00FE5A02" w:rsidRPr="00E950AD" w:rsidRDefault="005E3D6F" w:rsidP="00E950AD">
      <w:pPr>
        <w:spacing w:after="0" w:line="240" w:lineRule="auto"/>
        <w:jc w:val="both"/>
        <w:rPr>
          <w:rFonts w:ascii="Optimum" w:hAnsi="Optimum" w:cs="Arial"/>
          <w:sz w:val="20"/>
          <w:szCs w:val="20"/>
        </w:rPr>
      </w:pPr>
      <w:r w:rsidRPr="00E950AD">
        <w:rPr>
          <w:rFonts w:ascii="Optimum" w:hAnsi="Optimum" w:cs="Arial"/>
          <w:sz w:val="20"/>
          <w:szCs w:val="20"/>
        </w:rPr>
        <w:t>En este contexto, el éxito de un biocontrolador recae en la rigurosidad de su selección y</w:t>
      </w:r>
      <w:r w:rsidR="00FE5A02" w:rsidRPr="00E950AD">
        <w:rPr>
          <w:rFonts w:ascii="Optimum" w:hAnsi="Optimum" w:cs="Arial"/>
          <w:sz w:val="20"/>
          <w:szCs w:val="20"/>
        </w:rPr>
        <w:t xml:space="preserve"> en</w:t>
      </w:r>
      <w:r w:rsidRPr="00E950AD">
        <w:rPr>
          <w:rFonts w:ascii="Optimum" w:hAnsi="Optimum" w:cs="Arial"/>
          <w:sz w:val="20"/>
          <w:szCs w:val="20"/>
        </w:rPr>
        <w:t xml:space="preserve"> la cantidad de información que se pueda obtener sobre su interacción con la planta y el fitopatógeno de interés. </w:t>
      </w:r>
      <w:r w:rsidR="00FE5A02" w:rsidRPr="00E950AD">
        <w:rPr>
          <w:rFonts w:ascii="Optimum" w:hAnsi="Optimum" w:cs="Arial"/>
          <w:sz w:val="20"/>
          <w:szCs w:val="20"/>
        </w:rPr>
        <w:t xml:space="preserve">Existen diversos métodos de selección de un posible biocontrolador, los </w:t>
      </w:r>
      <w:r w:rsidR="00D73514" w:rsidRPr="00E950AD">
        <w:rPr>
          <w:rFonts w:ascii="Optimum" w:hAnsi="Optimum" w:cs="Arial"/>
          <w:sz w:val="20"/>
          <w:szCs w:val="20"/>
        </w:rPr>
        <w:t>más</w:t>
      </w:r>
      <w:r w:rsidR="00FE5A02" w:rsidRPr="00E950AD">
        <w:rPr>
          <w:rFonts w:ascii="Optimum" w:hAnsi="Optimum" w:cs="Arial"/>
          <w:sz w:val="20"/>
          <w:szCs w:val="20"/>
        </w:rPr>
        <w:t xml:space="preserve"> comunes son los métodos de tamizaje </w:t>
      </w:r>
      <w:r w:rsidR="00FE5A02" w:rsidRPr="00E950AD">
        <w:rPr>
          <w:rFonts w:ascii="Optimum" w:hAnsi="Optimum" w:cs="Arial"/>
          <w:i/>
          <w:sz w:val="20"/>
          <w:szCs w:val="20"/>
        </w:rPr>
        <w:t>In vitro</w:t>
      </w:r>
      <w:r w:rsidR="00FE5A02" w:rsidRPr="00E950AD">
        <w:rPr>
          <w:rFonts w:ascii="Optimum" w:hAnsi="Optimum" w:cs="Arial"/>
          <w:sz w:val="20"/>
          <w:szCs w:val="20"/>
        </w:rPr>
        <w:t xml:space="preserve"> que incluyen pruebas de enfrentamiento directo</w:t>
      </w:r>
      <w:r w:rsidR="00895A6D" w:rsidRPr="00E950AD">
        <w:rPr>
          <w:rFonts w:ascii="Optimum" w:hAnsi="Optimum" w:cs="Arial"/>
          <w:sz w:val="20"/>
          <w:szCs w:val="20"/>
        </w:rPr>
        <w:t xml:space="preserve">, </w:t>
      </w:r>
      <w:r w:rsidR="00FE5A02" w:rsidRPr="00E950AD">
        <w:rPr>
          <w:rFonts w:ascii="Optimum" w:hAnsi="Optimum" w:cs="Arial"/>
          <w:sz w:val="20"/>
          <w:szCs w:val="20"/>
        </w:rPr>
        <w:t>difusión en placa</w:t>
      </w:r>
      <w:r w:rsidR="00895A6D" w:rsidRPr="00E950AD">
        <w:rPr>
          <w:rFonts w:ascii="Optimum" w:hAnsi="Optimum" w:cs="Arial"/>
          <w:sz w:val="20"/>
          <w:szCs w:val="20"/>
        </w:rPr>
        <w:t>, Inhibición de la germinación de conidias o del crecimiento</w:t>
      </w:r>
      <w:r w:rsidR="00D73514" w:rsidRPr="00E950AD">
        <w:rPr>
          <w:rFonts w:ascii="Optimum" w:hAnsi="Optimum" w:cs="Arial"/>
          <w:sz w:val="20"/>
          <w:szCs w:val="20"/>
        </w:rPr>
        <w:t>, bioautografía</w:t>
      </w:r>
      <w:r w:rsidR="00895A6D" w:rsidRPr="00E950AD">
        <w:rPr>
          <w:rFonts w:ascii="Optimum" w:hAnsi="Optimum" w:cs="Arial"/>
          <w:sz w:val="20"/>
          <w:szCs w:val="20"/>
        </w:rPr>
        <w:t xml:space="preserve"> entre otros (Balouiri, Sadiki &amp; Ibnsouda, 2016)</w:t>
      </w:r>
      <w:r w:rsidR="00FE5A02" w:rsidRPr="00E950AD">
        <w:rPr>
          <w:rFonts w:ascii="Optimum" w:hAnsi="Optimum" w:cs="Arial"/>
          <w:sz w:val="20"/>
          <w:szCs w:val="20"/>
        </w:rPr>
        <w:t xml:space="preserve">. Estos métodos se enfocan en la selección de microorganismos que basan su actividad en la producción de metabolitos secundarios o enzimas que inhiben el crecimiento del patógeno (Pliego, Ramos, de Vicente &amp; Cazorla, 2011). </w:t>
      </w:r>
    </w:p>
    <w:p w14:paraId="33B8E621" w14:textId="77777777" w:rsidR="002D4CF1" w:rsidRDefault="002D4CF1" w:rsidP="00E950AD">
      <w:pPr>
        <w:spacing w:after="0" w:line="240" w:lineRule="auto"/>
        <w:jc w:val="both"/>
        <w:rPr>
          <w:rFonts w:ascii="Optimum" w:hAnsi="Optimum" w:cs="Arial"/>
          <w:sz w:val="20"/>
          <w:szCs w:val="20"/>
        </w:rPr>
      </w:pPr>
    </w:p>
    <w:p w14:paraId="726C4413" w14:textId="77777777" w:rsidR="00DE077D" w:rsidRPr="00E950AD" w:rsidRDefault="00FE5A02" w:rsidP="00E950AD">
      <w:pPr>
        <w:spacing w:after="0" w:line="240" w:lineRule="auto"/>
        <w:jc w:val="both"/>
        <w:rPr>
          <w:rFonts w:ascii="Optimum" w:hAnsi="Optimum" w:cs="Arial"/>
          <w:sz w:val="20"/>
          <w:szCs w:val="20"/>
        </w:rPr>
      </w:pPr>
      <w:r w:rsidRPr="00E950AD">
        <w:rPr>
          <w:rFonts w:ascii="Optimum" w:hAnsi="Optimum" w:cs="Arial"/>
          <w:sz w:val="20"/>
          <w:szCs w:val="20"/>
        </w:rPr>
        <w:t>Otras evaluaciones como</w:t>
      </w:r>
      <w:r w:rsidR="00D73514" w:rsidRPr="00E950AD">
        <w:rPr>
          <w:rFonts w:ascii="Optimum" w:hAnsi="Optimum" w:cs="Arial"/>
          <w:sz w:val="20"/>
          <w:szCs w:val="20"/>
        </w:rPr>
        <w:t xml:space="preserve"> los</w:t>
      </w:r>
      <w:r w:rsidRPr="00E950AD">
        <w:rPr>
          <w:rFonts w:ascii="Optimum" w:hAnsi="Optimum" w:cs="Arial"/>
          <w:sz w:val="20"/>
          <w:szCs w:val="20"/>
        </w:rPr>
        <w:t xml:space="preserve"> ensayos en tejido vegetales (hojas o frutos, por ejemplo) o ensayos en planta a nivel de invernadero bajo condiciones controladas no dan cuenta del mecanismo especifico de acción, pero permiten seleccionar el microorganismo en función de su eficiencia</w:t>
      </w:r>
      <w:r w:rsidR="00D73514" w:rsidRPr="00E950AD">
        <w:rPr>
          <w:rFonts w:ascii="Optimum" w:hAnsi="Optimum" w:cs="Arial"/>
          <w:sz w:val="20"/>
          <w:szCs w:val="20"/>
        </w:rPr>
        <w:t xml:space="preserve"> y permiten incluir aislamientos con actividades como competencia, parasitismo o inductores de resistencia sistémica que por lo regular no son seleccionados cuando se usan los ensayos </w:t>
      </w:r>
      <w:r w:rsidR="00D73514" w:rsidRPr="00E950AD">
        <w:rPr>
          <w:rFonts w:ascii="Optimum" w:hAnsi="Optimum" w:cs="Arial"/>
          <w:i/>
          <w:sz w:val="20"/>
          <w:szCs w:val="20"/>
        </w:rPr>
        <w:t>In vitro</w:t>
      </w:r>
      <w:r w:rsidRPr="00E950AD">
        <w:rPr>
          <w:rFonts w:ascii="Optimum" w:hAnsi="Optimum" w:cs="Arial"/>
          <w:sz w:val="20"/>
          <w:szCs w:val="20"/>
        </w:rPr>
        <w:t xml:space="preserve">. </w:t>
      </w:r>
    </w:p>
    <w:p w14:paraId="57615A5A" w14:textId="77777777" w:rsidR="002D4CF1" w:rsidRDefault="002D4CF1" w:rsidP="00E950AD">
      <w:pPr>
        <w:spacing w:after="0" w:line="240" w:lineRule="auto"/>
        <w:jc w:val="both"/>
        <w:rPr>
          <w:rFonts w:ascii="Optimum" w:hAnsi="Optimum" w:cs="Arial"/>
          <w:sz w:val="20"/>
          <w:szCs w:val="20"/>
        </w:rPr>
      </w:pPr>
    </w:p>
    <w:p w14:paraId="6D4F1642" w14:textId="6D2105E3" w:rsidR="00B554FA" w:rsidRPr="00E950AD" w:rsidRDefault="00D73514" w:rsidP="00E950AD">
      <w:pPr>
        <w:spacing w:after="0" w:line="240" w:lineRule="auto"/>
        <w:jc w:val="both"/>
        <w:rPr>
          <w:rFonts w:ascii="Optimum" w:hAnsi="Optimum" w:cs="Arial"/>
          <w:sz w:val="20"/>
          <w:szCs w:val="20"/>
        </w:rPr>
      </w:pPr>
      <w:r w:rsidRPr="00E950AD">
        <w:rPr>
          <w:rFonts w:ascii="Optimum" w:hAnsi="Optimum" w:cs="Arial"/>
          <w:sz w:val="20"/>
          <w:szCs w:val="20"/>
        </w:rPr>
        <w:t>Infortunadamente</w:t>
      </w:r>
      <w:r w:rsidR="00895A6D" w:rsidRPr="00E950AD">
        <w:rPr>
          <w:rFonts w:ascii="Optimum" w:hAnsi="Optimum" w:cs="Arial"/>
          <w:sz w:val="20"/>
          <w:szCs w:val="20"/>
        </w:rPr>
        <w:t>,</w:t>
      </w:r>
      <w:r w:rsidR="00FE5A02" w:rsidRPr="00E950AD">
        <w:rPr>
          <w:rFonts w:ascii="Optimum" w:hAnsi="Optimum" w:cs="Arial"/>
          <w:sz w:val="20"/>
          <w:szCs w:val="20"/>
        </w:rPr>
        <w:t xml:space="preserve"> estos </w:t>
      </w:r>
      <w:r w:rsidR="00944622" w:rsidRPr="00E950AD">
        <w:rPr>
          <w:rFonts w:ascii="Optimum" w:hAnsi="Optimum" w:cs="Arial"/>
          <w:sz w:val="20"/>
          <w:szCs w:val="20"/>
        </w:rPr>
        <w:t>ensayos</w:t>
      </w:r>
      <w:r w:rsidR="00FE5A02" w:rsidRPr="00E950AD">
        <w:rPr>
          <w:rFonts w:ascii="Optimum" w:hAnsi="Optimum" w:cs="Arial"/>
          <w:sz w:val="20"/>
          <w:szCs w:val="20"/>
        </w:rPr>
        <w:t xml:space="preserve"> consumen </w:t>
      </w:r>
      <w:r w:rsidRPr="00E950AD">
        <w:rPr>
          <w:rFonts w:ascii="Optimum" w:hAnsi="Optimum" w:cs="Arial"/>
          <w:sz w:val="20"/>
          <w:szCs w:val="20"/>
        </w:rPr>
        <w:t>un mayor tiempo</w:t>
      </w:r>
      <w:r w:rsidR="00FE5A02" w:rsidRPr="00E950AD">
        <w:rPr>
          <w:rFonts w:ascii="Optimum" w:hAnsi="Optimum" w:cs="Arial"/>
          <w:sz w:val="20"/>
          <w:szCs w:val="20"/>
        </w:rPr>
        <w:t xml:space="preserve"> de evaluación y debido a sus características </w:t>
      </w:r>
      <w:r w:rsidRPr="00E950AD">
        <w:rPr>
          <w:rFonts w:ascii="Optimum" w:hAnsi="Optimum" w:cs="Arial"/>
          <w:sz w:val="20"/>
          <w:szCs w:val="20"/>
        </w:rPr>
        <w:t xml:space="preserve">(desarrollo, espacio y costos) </w:t>
      </w:r>
      <w:r w:rsidR="00FE5A02" w:rsidRPr="00E950AD">
        <w:rPr>
          <w:rFonts w:ascii="Optimum" w:hAnsi="Optimum" w:cs="Arial"/>
          <w:sz w:val="20"/>
          <w:szCs w:val="20"/>
        </w:rPr>
        <w:t xml:space="preserve">limitan la cantidad de aislamientos que se pueden evaluar (Pliego, Ramos, de Vicente &amp; Cazorla, 2011). </w:t>
      </w:r>
      <w:r w:rsidRPr="00E950AD">
        <w:rPr>
          <w:rFonts w:ascii="Optimum" w:hAnsi="Optimum" w:cs="Arial"/>
          <w:sz w:val="20"/>
          <w:szCs w:val="20"/>
        </w:rPr>
        <w:t xml:space="preserve">Por ello, algunos autores proponen desarrollar estrategias combinadas de tamizaje que permitan evaluar la colonización y la actividad </w:t>
      </w:r>
      <w:r w:rsidRPr="00E950AD">
        <w:rPr>
          <w:rFonts w:ascii="Optimum" w:hAnsi="Optimum" w:cs="Arial"/>
          <w:i/>
          <w:sz w:val="20"/>
          <w:szCs w:val="20"/>
        </w:rPr>
        <w:t>In vivo</w:t>
      </w:r>
      <w:r w:rsidRPr="00E950AD">
        <w:rPr>
          <w:rFonts w:ascii="Optimum" w:hAnsi="Optimum" w:cs="Arial"/>
          <w:sz w:val="20"/>
          <w:szCs w:val="20"/>
        </w:rPr>
        <w:t xml:space="preserve"> e </w:t>
      </w:r>
      <w:r w:rsidRPr="00E950AD">
        <w:rPr>
          <w:rFonts w:ascii="Optimum" w:hAnsi="Optimum" w:cs="Arial"/>
          <w:i/>
          <w:sz w:val="20"/>
          <w:szCs w:val="20"/>
        </w:rPr>
        <w:t>In vitro</w:t>
      </w:r>
      <w:r w:rsidRPr="00E950AD">
        <w:rPr>
          <w:rFonts w:ascii="Optimum" w:hAnsi="Optimum" w:cs="Arial"/>
          <w:sz w:val="20"/>
          <w:szCs w:val="20"/>
        </w:rPr>
        <w:t xml:space="preserve"> por métodos dependiente e independientes de cultivo en paralelo para llegar a la mejor selección de un agente de control biológico </w:t>
      </w:r>
      <w:r w:rsidR="00DE077D" w:rsidRPr="00E950AD">
        <w:rPr>
          <w:rFonts w:ascii="Optimum" w:hAnsi="Optimum" w:cs="Arial"/>
          <w:sz w:val="20"/>
          <w:szCs w:val="20"/>
        </w:rPr>
        <w:t xml:space="preserve">(Pliego, Ramos, de Vicente &amp; Cazorla, 2011). </w:t>
      </w:r>
    </w:p>
    <w:p w14:paraId="4CD40AC8" w14:textId="77777777" w:rsidR="002D4CF1" w:rsidRDefault="002D4CF1" w:rsidP="00E950AD">
      <w:pPr>
        <w:spacing w:after="0" w:line="240" w:lineRule="auto"/>
        <w:jc w:val="both"/>
        <w:rPr>
          <w:rFonts w:ascii="Optimum" w:hAnsi="Optimum" w:cs="Arial"/>
          <w:sz w:val="20"/>
          <w:szCs w:val="20"/>
        </w:rPr>
      </w:pPr>
    </w:p>
    <w:p w14:paraId="6C7AA3AF" w14:textId="7E5F0275" w:rsidR="00D73514" w:rsidRPr="00E950AD" w:rsidRDefault="00D73514" w:rsidP="00E950AD">
      <w:pPr>
        <w:spacing w:after="0" w:line="240" w:lineRule="auto"/>
        <w:jc w:val="both"/>
        <w:rPr>
          <w:rFonts w:ascii="Optimum" w:hAnsi="Optimum" w:cs="Arial"/>
          <w:sz w:val="20"/>
          <w:szCs w:val="20"/>
        </w:rPr>
      </w:pPr>
      <w:r w:rsidRPr="00E950AD">
        <w:rPr>
          <w:rFonts w:ascii="Optimum" w:hAnsi="Optimum" w:cs="Arial"/>
          <w:sz w:val="20"/>
          <w:szCs w:val="20"/>
        </w:rPr>
        <w:t xml:space="preserve">Para evitar resultados </w:t>
      </w:r>
      <w:r w:rsidR="009125E5" w:rsidRPr="00E950AD">
        <w:rPr>
          <w:rFonts w:ascii="Optimum" w:hAnsi="Optimum" w:cs="Arial"/>
          <w:sz w:val="20"/>
          <w:szCs w:val="20"/>
        </w:rPr>
        <w:t>poco reproducibles</w:t>
      </w:r>
      <w:r w:rsidRPr="00E950AD">
        <w:rPr>
          <w:rFonts w:ascii="Optimum" w:hAnsi="Optimum" w:cs="Arial"/>
          <w:sz w:val="20"/>
          <w:szCs w:val="20"/>
        </w:rPr>
        <w:t>, es necesario que el proceso de selección y escalamiento para producción de un biocontrolador sea lo m</w:t>
      </w:r>
      <w:r w:rsidR="00637593" w:rsidRPr="00E950AD">
        <w:rPr>
          <w:rFonts w:ascii="Optimum" w:hAnsi="Optimum" w:cs="Arial"/>
          <w:sz w:val="20"/>
          <w:szCs w:val="20"/>
        </w:rPr>
        <w:t>á</w:t>
      </w:r>
      <w:r w:rsidRPr="00E950AD">
        <w:rPr>
          <w:rFonts w:ascii="Optimum" w:hAnsi="Optimum" w:cs="Arial"/>
          <w:sz w:val="20"/>
          <w:szCs w:val="20"/>
        </w:rPr>
        <w:t xml:space="preserve">s preciso posible. Muchos de los agentes de biocontrol </w:t>
      </w:r>
      <w:r w:rsidRPr="00E950AD">
        <w:rPr>
          <w:rFonts w:ascii="Optimum" w:hAnsi="Optimum" w:cs="Arial"/>
          <w:sz w:val="20"/>
          <w:szCs w:val="20"/>
        </w:rPr>
        <w:lastRenderedPageBreak/>
        <w:t>muestran resultados variables en campo. Esto se asocia a que en general los estudios realizados con los microorganismos antagonistas se realizan bajo condiciones controladas que no s</w:t>
      </w:r>
      <w:r w:rsidR="00B85572" w:rsidRPr="00E950AD">
        <w:rPr>
          <w:rFonts w:ascii="Optimum" w:hAnsi="Optimum" w:cs="Arial"/>
          <w:sz w:val="20"/>
          <w:szCs w:val="20"/>
        </w:rPr>
        <w:t>on las que se encuentran en</w:t>
      </w:r>
      <w:r w:rsidRPr="00E950AD">
        <w:rPr>
          <w:rFonts w:ascii="Optimum" w:hAnsi="Optimum" w:cs="Arial"/>
          <w:sz w:val="20"/>
          <w:szCs w:val="20"/>
        </w:rPr>
        <w:t xml:space="preserve"> los cultivos en campo (Fravel, 2005). Para evitar estas situaciones es necesario realizar ensayos </w:t>
      </w:r>
      <w:r w:rsidR="009125E5" w:rsidRPr="00E950AD">
        <w:rPr>
          <w:rFonts w:ascii="Optimum" w:hAnsi="Optimum" w:cs="Arial"/>
          <w:sz w:val="20"/>
          <w:szCs w:val="20"/>
        </w:rPr>
        <w:t xml:space="preserve">comerciales y semi-comerciales en condiciones </w:t>
      </w:r>
      <w:r w:rsidR="00B85572" w:rsidRPr="00E950AD">
        <w:rPr>
          <w:rFonts w:ascii="Optimum" w:hAnsi="Optimum" w:cs="Arial"/>
          <w:sz w:val="20"/>
          <w:szCs w:val="20"/>
        </w:rPr>
        <w:t>reales</w:t>
      </w:r>
      <w:r w:rsidR="009125E5" w:rsidRPr="00E950AD">
        <w:rPr>
          <w:rFonts w:ascii="Optimum" w:hAnsi="Optimum" w:cs="Arial"/>
          <w:sz w:val="20"/>
          <w:szCs w:val="20"/>
        </w:rPr>
        <w:t xml:space="preserve"> de</w:t>
      </w:r>
      <w:r w:rsidR="00B85572" w:rsidRPr="00E950AD">
        <w:rPr>
          <w:rFonts w:ascii="Optimum" w:hAnsi="Optimum" w:cs="Arial"/>
          <w:sz w:val="20"/>
          <w:szCs w:val="20"/>
        </w:rPr>
        <w:t>l</w:t>
      </w:r>
      <w:r w:rsidR="009125E5" w:rsidRPr="00E950AD">
        <w:rPr>
          <w:rFonts w:ascii="Optimum" w:hAnsi="Optimum" w:cs="Arial"/>
          <w:sz w:val="20"/>
          <w:szCs w:val="20"/>
        </w:rPr>
        <w:t xml:space="preserve"> cultivo </w:t>
      </w:r>
      <w:r w:rsidR="00271F2E" w:rsidRPr="00E950AD">
        <w:rPr>
          <w:rFonts w:ascii="Optimum" w:hAnsi="Optimum" w:cs="Arial"/>
          <w:sz w:val="20"/>
          <w:szCs w:val="20"/>
        </w:rPr>
        <w:t>que permitan evaluar el desempeño del</w:t>
      </w:r>
      <w:r w:rsidR="009125E5" w:rsidRPr="00E950AD">
        <w:rPr>
          <w:rFonts w:ascii="Optimum" w:hAnsi="Optimum" w:cs="Arial"/>
          <w:sz w:val="20"/>
          <w:szCs w:val="20"/>
        </w:rPr>
        <w:t xml:space="preserve"> bio</w:t>
      </w:r>
      <w:r w:rsidR="00271F2E" w:rsidRPr="00E950AD">
        <w:rPr>
          <w:rFonts w:ascii="Optimum" w:hAnsi="Optimum" w:cs="Arial"/>
          <w:sz w:val="20"/>
          <w:szCs w:val="20"/>
        </w:rPr>
        <w:t>insumo y determinar si</w:t>
      </w:r>
      <w:r w:rsidR="009125E5" w:rsidRPr="00E950AD">
        <w:rPr>
          <w:rFonts w:ascii="Optimum" w:hAnsi="Optimum" w:cs="Arial"/>
          <w:sz w:val="20"/>
          <w:szCs w:val="20"/>
        </w:rPr>
        <w:t xml:space="preserve"> </w:t>
      </w:r>
      <w:r w:rsidR="00271F2E" w:rsidRPr="00E950AD">
        <w:rPr>
          <w:rFonts w:ascii="Optimum" w:hAnsi="Optimum" w:cs="Arial"/>
          <w:sz w:val="20"/>
          <w:szCs w:val="20"/>
        </w:rPr>
        <w:t>la formulación y</w:t>
      </w:r>
      <w:r w:rsidR="009125E5" w:rsidRPr="00E950AD">
        <w:rPr>
          <w:rFonts w:ascii="Optimum" w:hAnsi="Optimum" w:cs="Arial"/>
          <w:sz w:val="20"/>
          <w:szCs w:val="20"/>
        </w:rPr>
        <w:t xml:space="preserve"> </w:t>
      </w:r>
      <w:r w:rsidR="00271F2E" w:rsidRPr="00E950AD">
        <w:rPr>
          <w:rFonts w:ascii="Optimum" w:hAnsi="Optimum" w:cs="Arial"/>
          <w:sz w:val="20"/>
          <w:szCs w:val="20"/>
        </w:rPr>
        <w:t xml:space="preserve">la forma de aplicación son las </w:t>
      </w:r>
      <w:r w:rsidR="002D4CF1" w:rsidRPr="00E950AD">
        <w:rPr>
          <w:rFonts w:ascii="Optimum" w:hAnsi="Optimum" w:cs="Arial"/>
          <w:sz w:val="20"/>
          <w:szCs w:val="20"/>
        </w:rPr>
        <w:t>más</w:t>
      </w:r>
      <w:r w:rsidR="00271F2E" w:rsidRPr="00E950AD">
        <w:rPr>
          <w:rFonts w:ascii="Optimum" w:hAnsi="Optimum" w:cs="Arial"/>
          <w:sz w:val="20"/>
          <w:szCs w:val="20"/>
        </w:rPr>
        <w:t xml:space="preserve"> </w:t>
      </w:r>
      <w:r w:rsidR="009125E5" w:rsidRPr="00E950AD">
        <w:rPr>
          <w:rFonts w:ascii="Optimum" w:hAnsi="Optimum" w:cs="Arial"/>
          <w:sz w:val="20"/>
          <w:szCs w:val="20"/>
        </w:rPr>
        <w:t>conveniente</w:t>
      </w:r>
      <w:r w:rsidR="00271F2E" w:rsidRPr="00E950AD">
        <w:rPr>
          <w:rFonts w:ascii="Optimum" w:hAnsi="Optimum" w:cs="Arial"/>
          <w:sz w:val="20"/>
          <w:szCs w:val="20"/>
        </w:rPr>
        <w:t xml:space="preserve">s, </w:t>
      </w:r>
      <w:r w:rsidR="002D4CF1" w:rsidRPr="00E950AD">
        <w:rPr>
          <w:rFonts w:ascii="Optimum" w:hAnsi="Optimum" w:cs="Arial"/>
          <w:sz w:val="20"/>
          <w:szCs w:val="20"/>
        </w:rPr>
        <w:t>así</w:t>
      </w:r>
      <w:r w:rsidR="00271F2E" w:rsidRPr="00E950AD">
        <w:rPr>
          <w:rFonts w:ascii="Optimum" w:hAnsi="Optimum" w:cs="Arial"/>
          <w:sz w:val="20"/>
          <w:szCs w:val="20"/>
        </w:rPr>
        <w:t xml:space="preserve"> mismo definir la dosis adecuada </w:t>
      </w:r>
      <w:r w:rsidR="009125E5" w:rsidRPr="00E950AD">
        <w:rPr>
          <w:rFonts w:ascii="Optimum" w:hAnsi="Optimum" w:cs="Arial"/>
          <w:sz w:val="20"/>
          <w:szCs w:val="20"/>
        </w:rPr>
        <w:t>para el manejo de la enfermedad</w:t>
      </w:r>
      <w:r w:rsidR="00271F2E" w:rsidRPr="00E950AD">
        <w:rPr>
          <w:rFonts w:ascii="Optimum" w:hAnsi="Optimum" w:cs="Arial"/>
          <w:sz w:val="20"/>
          <w:szCs w:val="20"/>
        </w:rPr>
        <w:t>, todo esto permitirá establecer su uso dentro del</w:t>
      </w:r>
      <w:r w:rsidR="009125E5" w:rsidRPr="00E950AD">
        <w:rPr>
          <w:rFonts w:ascii="Optimum" w:hAnsi="Optimum" w:cs="Arial"/>
          <w:sz w:val="20"/>
          <w:szCs w:val="20"/>
        </w:rPr>
        <w:t xml:space="preserve"> proceso productivo del cultivo objetivo.</w:t>
      </w:r>
    </w:p>
    <w:p w14:paraId="7DAE7D8F" w14:textId="77777777" w:rsidR="002D4CF1" w:rsidRDefault="002D4CF1" w:rsidP="00E950AD">
      <w:pPr>
        <w:spacing w:after="0" w:line="240" w:lineRule="auto"/>
        <w:jc w:val="both"/>
        <w:rPr>
          <w:rFonts w:ascii="Optimum" w:hAnsi="Optimum" w:cs="Arial"/>
          <w:sz w:val="20"/>
          <w:szCs w:val="20"/>
        </w:rPr>
      </w:pPr>
    </w:p>
    <w:p w14:paraId="485191B4" w14:textId="4652D3AA" w:rsidR="00060D08" w:rsidRPr="00E950AD" w:rsidRDefault="009125E5" w:rsidP="00E950AD">
      <w:pPr>
        <w:spacing w:after="0" w:line="240" w:lineRule="auto"/>
        <w:jc w:val="both"/>
        <w:rPr>
          <w:rFonts w:ascii="Optimum" w:hAnsi="Optimum" w:cs="Arial"/>
          <w:sz w:val="20"/>
          <w:szCs w:val="20"/>
        </w:rPr>
      </w:pPr>
      <w:r w:rsidRPr="00E950AD">
        <w:rPr>
          <w:rFonts w:ascii="Optimum" w:hAnsi="Optimum" w:cs="Arial"/>
          <w:sz w:val="20"/>
          <w:szCs w:val="20"/>
        </w:rPr>
        <w:t>Como se manifiesta en los anteriores apartados, la generación de un agente de control biológico es un proceso multidisciplinario que requiere de investigación en diferentes niveles desde la microbiología</w:t>
      </w:r>
      <w:r w:rsidR="00944622" w:rsidRPr="00E950AD">
        <w:rPr>
          <w:rFonts w:ascii="Optimum" w:hAnsi="Optimum" w:cs="Arial"/>
          <w:sz w:val="20"/>
          <w:szCs w:val="20"/>
        </w:rPr>
        <w:t xml:space="preserve"> </w:t>
      </w:r>
      <w:r w:rsidRPr="00E950AD">
        <w:rPr>
          <w:rFonts w:ascii="Optimum" w:hAnsi="Optimum" w:cs="Arial"/>
          <w:sz w:val="20"/>
          <w:szCs w:val="20"/>
        </w:rPr>
        <w:t xml:space="preserve">hasta el desarrollo de procesos de ingeniería. </w:t>
      </w:r>
      <w:r w:rsidR="005E3D6F" w:rsidRPr="00E950AD">
        <w:rPr>
          <w:rFonts w:ascii="Optimum" w:hAnsi="Optimum" w:cs="Arial"/>
          <w:sz w:val="20"/>
          <w:szCs w:val="20"/>
        </w:rPr>
        <w:t xml:space="preserve">Las empresas </w:t>
      </w:r>
      <w:r w:rsidRPr="00E950AD">
        <w:rPr>
          <w:rFonts w:ascii="Optimum" w:hAnsi="Optimum" w:cs="Arial"/>
          <w:sz w:val="20"/>
          <w:szCs w:val="20"/>
        </w:rPr>
        <w:t xml:space="preserve">e instituciones </w:t>
      </w:r>
      <w:r w:rsidR="005E3D6F" w:rsidRPr="00E950AD">
        <w:rPr>
          <w:rFonts w:ascii="Optimum" w:hAnsi="Optimum" w:cs="Arial"/>
          <w:sz w:val="20"/>
          <w:szCs w:val="20"/>
        </w:rPr>
        <w:t xml:space="preserve">de base biotecnológica que buscan y desarrollan estos biocontroladores </w:t>
      </w:r>
      <w:r w:rsidR="00223261" w:rsidRPr="00E950AD">
        <w:rPr>
          <w:rFonts w:ascii="Optimum" w:hAnsi="Optimum" w:cs="Arial"/>
          <w:sz w:val="20"/>
          <w:szCs w:val="20"/>
        </w:rPr>
        <w:t>hacen uso de investigaciones en ciencia básica</w:t>
      </w:r>
      <w:r w:rsidR="00C41492" w:rsidRPr="00E950AD">
        <w:rPr>
          <w:rFonts w:ascii="Optimum" w:hAnsi="Optimum" w:cs="Arial"/>
          <w:sz w:val="20"/>
          <w:szCs w:val="20"/>
        </w:rPr>
        <w:t xml:space="preserve">, </w:t>
      </w:r>
      <w:r w:rsidR="00F274A0" w:rsidRPr="00E950AD">
        <w:rPr>
          <w:rFonts w:ascii="Optimum" w:hAnsi="Optimum" w:cs="Arial"/>
          <w:sz w:val="20"/>
          <w:szCs w:val="20"/>
        </w:rPr>
        <w:t>en ocasiones</w:t>
      </w:r>
      <w:r w:rsidR="00C41492" w:rsidRPr="00E950AD">
        <w:rPr>
          <w:rFonts w:ascii="Optimum" w:hAnsi="Optimum" w:cs="Arial"/>
          <w:sz w:val="20"/>
          <w:szCs w:val="20"/>
        </w:rPr>
        <w:t xml:space="preserve"> mediante asociaciones con la academia, </w:t>
      </w:r>
      <w:r w:rsidR="00223261" w:rsidRPr="00E950AD">
        <w:rPr>
          <w:rFonts w:ascii="Optimum" w:hAnsi="Optimum" w:cs="Arial"/>
          <w:sz w:val="20"/>
          <w:szCs w:val="20"/>
        </w:rPr>
        <w:t>que les permit</w:t>
      </w:r>
      <w:r w:rsidR="00A3095F" w:rsidRPr="00E950AD">
        <w:rPr>
          <w:rFonts w:ascii="Optimum" w:hAnsi="Optimum" w:cs="Arial"/>
          <w:sz w:val="20"/>
          <w:szCs w:val="20"/>
        </w:rPr>
        <w:t>e</w:t>
      </w:r>
      <w:r w:rsidR="00223261" w:rsidRPr="00E950AD">
        <w:rPr>
          <w:rFonts w:ascii="Optimum" w:hAnsi="Optimum" w:cs="Arial"/>
          <w:sz w:val="20"/>
          <w:szCs w:val="20"/>
        </w:rPr>
        <w:t>n evaluar un gran n</w:t>
      </w:r>
      <w:r w:rsidR="00367EEB" w:rsidRPr="00E950AD">
        <w:rPr>
          <w:rFonts w:ascii="Optimum" w:hAnsi="Optimum" w:cs="Arial"/>
          <w:sz w:val="20"/>
          <w:szCs w:val="20"/>
        </w:rPr>
        <w:t>ú</w:t>
      </w:r>
      <w:r w:rsidR="00223261" w:rsidRPr="00E950AD">
        <w:rPr>
          <w:rFonts w:ascii="Optimum" w:hAnsi="Optimum" w:cs="Arial"/>
          <w:sz w:val="20"/>
          <w:szCs w:val="20"/>
        </w:rPr>
        <w:t>mero de aislamientos, bien sea de bacterias, hongos</w:t>
      </w:r>
      <w:r w:rsidR="00060D08" w:rsidRPr="00E950AD">
        <w:rPr>
          <w:rFonts w:ascii="Optimum" w:hAnsi="Optimum" w:cs="Arial"/>
          <w:sz w:val="20"/>
          <w:szCs w:val="20"/>
        </w:rPr>
        <w:t xml:space="preserve">, </w:t>
      </w:r>
      <w:r w:rsidR="00223261" w:rsidRPr="00E950AD">
        <w:rPr>
          <w:rFonts w:ascii="Optimum" w:hAnsi="Optimum" w:cs="Arial"/>
          <w:sz w:val="20"/>
          <w:szCs w:val="20"/>
        </w:rPr>
        <w:t>bacteriófagos</w:t>
      </w:r>
      <w:r w:rsidR="00060D08" w:rsidRPr="00E950AD">
        <w:rPr>
          <w:rFonts w:ascii="Optimum" w:hAnsi="Optimum" w:cs="Arial"/>
          <w:sz w:val="20"/>
          <w:szCs w:val="20"/>
        </w:rPr>
        <w:t xml:space="preserve"> o virus</w:t>
      </w:r>
      <w:r w:rsidR="00223261" w:rsidRPr="00E950AD">
        <w:rPr>
          <w:rFonts w:ascii="Optimum" w:hAnsi="Optimum" w:cs="Arial"/>
          <w:sz w:val="20"/>
          <w:szCs w:val="20"/>
        </w:rPr>
        <w:t xml:space="preserve">, para seleccionar aquel que presente los mejores resultados en escalas de laboratorio e invernadero </w:t>
      </w:r>
      <w:r w:rsidR="00060D08" w:rsidRPr="00E950AD">
        <w:rPr>
          <w:rFonts w:ascii="Optimum" w:hAnsi="Optimum" w:cs="Arial"/>
          <w:sz w:val="20"/>
          <w:szCs w:val="20"/>
        </w:rPr>
        <w:t>para</w:t>
      </w:r>
      <w:r w:rsidR="00223261" w:rsidRPr="00E950AD">
        <w:rPr>
          <w:rFonts w:ascii="Optimum" w:hAnsi="Optimum" w:cs="Arial"/>
          <w:sz w:val="20"/>
          <w:szCs w:val="20"/>
        </w:rPr>
        <w:t xml:space="preserve"> </w:t>
      </w:r>
      <w:r w:rsidR="00367EEB" w:rsidRPr="00E950AD">
        <w:rPr>
          <w:rFonts w:ascii="Optimum" w:hAnsi="Optimum" w:cs="Arial"/>
          <w:sz w:val="20"/>
          <w:szCs w:val="20"/>
        </w:rPr>
        <w:t>posteriormente</w:t>
      </w:r>
      <w:r w:rsidR="00223261" w:rsidRPr="00E950AD">
        <w:rPr>
          <w:rFonts w:ascii="Optimum" w:hAnsi="Optimum" w:cs="Arial"/>
          <w:sz w:val="20"/>
          <w:szCs w:val="20"/>
        </w:rPr>
        <w:t xml:space="preserve"> ser formulado</w:t>
      </w:r>
      <w:r w:rsidR="00367EEB" w:rsidRPr="00E950AD">
        <w:rPr>
          <w:rFonts w:ascii="Optimum" w:hAnsi="Optimum" w:cs="Arial"/>
          <w:sz w:val="20"/>
          <w:szCs w:val="20"/>
        </w:rPr>
        <w:t>s</w:t>
      </w:r>
      <w:r w:rsidR="00223261" w:rsidRPr="00E950AD">
        <w:rPr>
          <w:rFonts w:ascii="Optimum" w:hAnsi="Optimum" w:cs="Arial"/>
          <w:sz w:val="20"/>
          <w:szCs w:val="20"/>
        </w:rPr>
        <w:t>, probado</w:t>
      </w:r>
      <w:r w:rsidR="00367EEB" w:rsidRPr="00E950AD">
        <w:rPr>
          <w:rFonts w:ascii="Optimum" w:hAnsi="Optimum" w:cs="Arial"/>
          <w:sz w:val="20"/>
          <w:szCs w:val="20"/>
        </w:rPr>
        <w:t>s</w:t>
      </w:r>
      <w:r w:rsidR="00223261" w:rsidRPr="00E950AD">
        <w:rPr>
          <w:rFonts w:ascii="Optimum" w:hAnsi="Optimum" w:cs="Arial"/>
          <w:sz w:val="20"/>
          <w:szCs w:val="20"/>
        </w:rPr>
        <w:t xml:space="preserve"> en campo, registrado</w:t>
      </w:r>
      <w:r w:rsidR="00367EEB" w:rsidRPr="00E950AD">
        <w:rPr>
          <w:rFonts w:ascii="Optimum" w:hAnsi="Optimum" w:cs="Arial"/>
          <w:sz w:val="20"/>
          <w:szCs w:val="20"/>
        </w:rPr>
        <w:t>s</w:t>
      </w:r>
      <w:r w:rsidR="00223261" w:rsidRPr="00E950AD">
        <w:rPr>
          <w:rFonts w:ascii="Optimum" w:hAnsi="Optimum" w:cs="Arial"/>
          <w:sz w:val="20"/>
          <w:szCs w:val="20"/>
        </w:rPr>
        <w:t xml:space="preserve"> y finalmente comercializado</w:t>
      </w:r>
      <w:r w:rsidR="00F274A0" w:rsidRPr="00E950AD">
        <w:rPr>
          <w:rFonts w:ascii="Optimum" w:hAnsi="Optimum" w:cs="Arial"/>
          <w:sz w:val="20"/>
          <w:szCs w:val="20"/>
        </w:rPr>
        <w:t>s</w:t>
      </w:r>
      <w:r w:rsidR="00223261" w:rsidRPr="00E950AD">
        <w:rPr>
          <w:rFonts w:ascii="Optimum" w:hAnsi="Optimum" w:cs="Arial"/>
          <w:sz w:val="20"/>
          <w:szCs w:val="20"/>
        </w:rPr>
        <w:t xml:space="preserve">. </w:t>
      </w:r>
    </w:p>
    <w:p w14:paraId="2A13CE29" w14:textId="77777777" w:rsidR="002D4CF1" w:rsidRDefault="002D4CF1" w:rsidP="00E950AD">
      <w:pPr>
        <w:spacing w:after="0" w:line="240" w:lineRule="auto"/>
        <w:jc w:val="both"/>
        <w:rPr>
          <w:rFonts w:ascii="Optimum" w:hAnsi="Optimum" w:cs="Arial"/>
          <w:sz w:val="20"/>
          <w:szCs w:val="20"/>
        </w:rPr>
      </w:pPr>
    </w:p>
    <w:p w14:paraId="121C5BEB" w14:textId="0B2931D7" w:rsidR="00060D08" w:rsidRPr="00E950AD" w:rsidRDefault="00060D08" w:rsidP="00E950AD">
      <w:pPr>
        <w:spacing w:after="0" w:line="240" w:lineRule="auto"/>
        <w:jc w:val="both"/>
        <w:rPr>
          <w:rFonts w:ascii="Optimum" w:hAnsi="Optimum" w:cs="Arial"/>
          <w:sz w:val="20"/>
          <w:szCs w:val="20"/>
        </w:rPr>
      </w:pPr>
      <w:r w:rsidRPr="00E950AD">
        <w:rPr>
          <w:rFonts w:ascii="Optimum" w:hAnsi="Optimum" w:cs="Arial"/>
          <w:sz w:val="20"/>
          <w:szCs w:val="20"/>
        </w:rPr>
        <w:t xml:space="preserve">Actualmente, la Agencia de Protección Ambiental Estadounidense (EPA) tiene registrados un total de 114 aislamientos de microorganismos biocontroladores de los cuales la mayoría corresponden a bacterias del género </w:t>
      </w:r>
      <w:r w:rsidRPr="00E950AD">
        <w:rPr>
          <w:rFonts w:ascii="Optimum" w:hAnsi="Optimum" w:cs="Arial"/>
          <w:i/>
          <w:sz w:val="20"/>
          <w:szCs w:val="20"/>
        </w:rPr>
        <w:t xml:space="preserve">Bacillus </w:t>
      </w:r>
      <w:r w:rsidRPr="00E950AD">
        <w:rPr>
          <w:rFonts w:ascii="Optimum" w:hAnsi="Optimum" w:cs="Arial"/>
          <w:sz w:val="20"/>
          <w:szCs w:val="20"/>
        </w:rPr>
        <w:t xml:space="preserve">y </w:t>
      </w:r>
      <w:r w:rsidRPr="00E950AD">
        <w:rPr>
          <w:rFonts w:ascii="Optimum" w:hAnsi="Optimum" w:cs="Arial"/>
          <w:i/>
          <w:sz w:val="20"/>
          <w:szCs w:val="20"/>
        </w:rPr>
        <w:t>Pseudomonas</w:t>
      </w:r>
      <w:r w:rsidRPr="00E950AD">
        <w:rPr>
          <w:rFonts w:ascii="Optimum" w:hAnsi="Optimum" w:cs="Arial"/>
          <w:sz w:val="20"/>
          <w:szCs w:val="20"/>
        </w:rPr>
        <w:t xml:space="preserve"> y hongos del género </w:t>
      </w:r>
      <w:r w:rsidRPr="00E950AD">
        <w:rPr>
          <w:rFonts w:ascii="Optimum" w:hAnsi="Optimum" w:cs="Arial"/>
          <w:i/>
          <w:sz w:val="20"/>
          <w:szCs w:val="20"/>
        </w:rPr>
        <w:t xml:space="preserve">Trichoderma </w:t>
      </w:r>
      <w:r w:rsidRPr="00E950AD">
        <w:rPr>
          <w:rFonts w:ascii="Optimum" w:hAnsi="Optimum" w:cs="Arial"/>
          <w:sz w:val="20"/>
          <w:szCs w:val="20"/>
        </w:rPr>
        <w:t>(EPA, 2019). Estos microorganismos forman</w:t>
      </w:r>
      <w:r w:rsidR="00A3095F" w:rsidRPr="00E950AD">
        <w:rPr>
          <w:rFonts w:ascii="Optimum" w:hAnsi="Optimum" w:cs="Arial"/>
          <w:sz w:val="20"/>
          <w:szCs w:val="20"/>
        </w:rPr>
        <w:t xml:space="preserve"> parte de</w:t>
      </w:r>
      <w:r w:rsidRPr="00E950AD">
        <w:rPr>
          <w:rFonts w:ascii="Optimum" w:hAnsi="Optimum" w:cs="Arial"/>
          <w:sz w:val="20"/>
          <w:szCs w:val="20"/>
        </w:rPr>
        <w:t xml:space="preserve"> los ingredientes activos de uno o </w:t>
      </w:r>
      <w:r w:rsidR="00637593" w:rsidRPr="00E950AD">
        <w:rPr>
          <w:rFonts w:ascii="Optimum" w:hAnsi="Optimum" w:cs="Arial"/>
          <w:sz w:val="20"/>
          <w:szCs w:val="20"/>
        </w:rPr>
        <w:t>más</w:t>
      </w:r>
      <w:r w:rsidRPr="00E950AD">
        <w:rPr>
          <w:rFonts w:ascii="Optimum" w:hAnsi="Optimum" w:cs="Arial"/>
          <w:sz w:val="20"/>
          <w:szCs w:val="20"/>
        </w:rPr>
        <w:t xml:space="preserve"> productos comercializados por empresas como Bayer CropScience</w:t>
      </w:r>
      <w:r w:rsidR="00F274A0" w:rsidRPr="00E950AD">
        <w:rPr>
          <w:rFonts w:ascii="Optimum" w:hAnsi="Optimum" w:cs="Arial"/>
          <w:sz w:val="20"/>
          <w:szCs w:val="20"/>
        </w:rPr>
        <w:t>, Novozymes, BASF y Syngenta y se presentan con amplios espectros de acción para el manejo de uno o m</w:t>
      </w:r>
      <w:r w:rsidR="00637593" w:rsidRPr="00E950AD">
        <w:rPr>
          <w:rFonts w:ascii="Optimum" w:hAnsi="Optimum" w:cs="Arial"/>
          <w:sz w:val="20"/>
          <w:szCs w:val="20"/>
        </w:rPr>
        <w:t>á</w:t>
      </w:r>
      <w:r w:rsidR="00F274A0" w:rsidRPr="00E950AD">
        <w:rPr>
          <w:rFonts w:ascii="Optimum" w:hAnsi="Optimum" w:cs="Arial"/>
          <w:sz w:val="20"/>
          <w:szCs w:val="20"/>
        </w:rPr>
        <w:t xml:space="preserve">s fitopatógenos en diferentes cultivos. </w:t>
      </w:r>
    </w:p>
    <w:p w14:paraId="5881EB80" w14:textId="77777777" w:rsidR="002D4CF1" w:rsidRDefault="002D4CF1" w:rsidP="00E950AD">
      <w:pPr>
        <w:spacing w:after="0" w:line="240" w:lineRule="auto"/>
        <w:jc w:val="both"/>
        <w:rPr>
          <w:rFonts w:ascii="Optimum" w:hAnsi="Optimum" w:cs="Arial"/>
          <w:sz w:val="20"/>
          <w:szCs w:val="20"/>
        </w:rPr>
      </w:pPr>
    </w:p>
    <w:p w14:paraId="47998201" w14:textId="3ADEAE4E" w:rsidR="006A08E2" w:rsidRPr="00E950AD" w:rsidRDefault="00F274A0" w:rsidP="00E950AD">
      <w:pPr>
        <w:spacing w:after="0" w:line="240" w:lineRule="auto"/>
        <w:jc w:val="both"/>
        <w:rPr>
          <w:rFonts w:ascii="Optimum" w:hAnsi="Optimum" w:cs="Arial"/>
          <w:sz w:val="20"/>
          <w:szCs w:val="20"/>
        </w:rPr>
      </w:pPr>
      <w:r w:rsidRPr="00E950AD">
        <w:rPr>
          <w:rFonts w:ascii="Optimum" w:hAnsi="Optimum" w:cs="Arial"/>
          <w:sz w:val="20"/>
          <w:szCs w:val="20"/>
        </w:rPr>
        <w:t xml:space="preserve">En </w:t>
      </w:r>
      <w:r w:rsidR="00A3095F" w:rsidRPr="00E950AD">
        <w:rPr>
          <w:rFonts w:ascii="Optimum" w:hAnsi="Optimum" w:cs="Arial"/>
          <w:sz w:val="20"/>
          <w:szCs w:val="20"/>
        </w:rPr>
        <w:t xml:space="preserve">el caso particular de </w:t>
      </w:r>
      <w:r w:rsidRPr="00E950AD">
        <w:rPr>
          <w:rFonts w:ascii="Optimum" w:hAnsi="Optimum" w:cs="Arial"/>
          <w:sz w:val="20"/>
          <w:szCs w:val="20"/>
        </w:rPr>
        <w:t>Colombia, el Instituto Agropecuario Colombiano (ICA)</w:t>
      </w:r>
      <w:r w:rsidR="00A3095F" w:rsidRPr="00E950AD">
        <w:rPr>
          <w:rFonts w:ascii="Optimum" w:hAnsi="Optimum" w:cs="Arial"/>
          <w:sz w:val="20"/>
          <w:szCs w:val="20"/>
        </w:rPr>
        <w:t xml:space="preserve"> tiene</w:t>
      </w:r>
      <w:r w:rsidR="006A08E2" w:rsidRPr="00E950AD">
        <w:rPr>
          <w:rFonts w:ascii="Optimum" w:hAnsi="Optimum" w:cs="Arial"/>
          <w:sz w:val="20"/>
          <w:szCs w:val="20"/>
        </w:rPr>
        <w:t>198 empresas autorizadas para la distribución de productos biológicos (95 Importadoras y 103 productoras) que comercializan insumos biológicos (promotores de crecimiento vegetal), extractos vegetales y agentes de control biológico.</w:t>
      </w:r>
      <w:r w:rsidR="00A3095F" w:rsidRPr="00E950AD">
        <w:rPr>
          <w:rFonts w:ascii="Optimum" w:hAnsi="Optimum" w:cs="Arial"/>
          <w:sz w:val="20"/>
          <w:szCs w:val="20"/>
        </w:rPr>
        <w:t xml:space="preserve"> </w:t>
      </w:r>
      <w:r w:rsidR="006A08E2" w:rsidRPr="00E950AD">
        <w:rPr>
          <w:rFonts w:ascii="Optimum" w:hAnsi="Optimum" w:cs="Arial"/>
          <w:sz w:val="20"/>
          <w:szCs w:val="20"/>
        </w:rPr>
        <w:t xml:space="preserve">En este último caso, se encuentran reportes de </w:t>
      </w:r>
      <w:r w:rsidR="00A3095F" w:rsidRPr="00E950AD">
        <w:rPr>
          <w:rFonts w:ascii="Optimum" w:hAnsi="Optimum" w:cs="Arial"/>
          <w:sz w:val="20"/>
          <w:szCs w:val="20"/>
        </w:rPr>
        <w:t>218 productos registrados</w:t>
      </w:r>
      <w:r w:rsidR="006C432F" w:rsidRPr="00E950AD">
        <w:rPr>
          <w:rFonts w:ascii="Optimum" w:hAnsi="Optimum" w:cs="Arial"/>
          <w:sz w:val="20"/>
          <w:szCs w:val="20"/>
        </w:rPr>
        <w:t xml:space="preserve"> para el manejo de insectos, nematodos, oomycetos, hongos y bacterias fitopatógenas</w:t>
      </w:r>
      <w:r w:rsidR="006A08E2" w:rsidRPr="00E950AD">
        <w:rPr>
          <w:rFonts w:ascii="Optimum" w:hAnsi="Optimum" w:cs="Arial"/>
          <w:sz w:val="20"/>
          <w:szCs w:val="20"/>
        </w:rPr>
        <w:t xml:space="preserve"> (ICA, 2019)</w:t>
      </w:r>
      <w:r w:rsidR="006C432F" w:rsidRPr="00E950AD">
        <w:rPr>
          <w:rFonts w:ascii="Optimum" w:hAnsi="Optimum" w:cs="Arial"/>
          <w:sz w:val="20"/>
          <w:szCs w:val="20"/>
        </w:rPr>
        <w:t xml:space="preserve">. </w:t>
      </w:r>
    </w:p>
    <w:p w14:paraId="0B346DDD" w14:textId="77777777" w:rsidR="002D4CF1" w:rsidRDefault="002D4CF1" w:rsidP="00E950AD">
      <w:pPr>
        <w:spacing w:after="0" w:line="240" w:lineRule="auto"/>
        <w:jc w:val="both"/>
        <w:rPr>
          <w:rFonts w:ascii="Optimum" w:hAnsi="Optimum" w:cs="Arial"/>
          <w:sz w:val="20"/>
          <w:szCs w:val="20"/>
        </w:rPr>
      </w:pPr>
    </w:p>
    <w:p w14:paraId="6AF3B515" w14:textId="09E6FC00" w:rsidR="00223261" w:rsidRPr="00E950AD" w:rsidRDefault="006C432F" w:rsidP="00E950AD">
      <w:pPr>
        <w:spacing w:after="0" w:line="240" w:lineRule="auto"/>
        <w:jc w:val="both"/>
        <w:rPr>
          <w:rFonts w:ascii="Optimum" w:hAnsi="Optimum" w:cs="Arial"/>
          <w:i/>
          <w:sz w:val="20"/>
          <w:szCs w:val="20"/>
        </w:rPr>
      </w:pPr>
      <w:r w:rsidRPr="00E950AD">
        <w:rPr>
          <w:rFonts w:ascii="Optimum" w:hAnsi="Optimum" w:cs="Arial"/>
          <w:sz w:val="20"/>
          <w:szCs w:val="20"/>
        </w:rPr>
        <w:t xml:space="preserve">Al igual que en el caso de los biocontroladores registrados en la EPA, los microorganismos </w:t>
      </w:r>
      <w:r w:rsidR="006A08E2" w:rsidRPr="00E950AD">
        <w:rPr>
          <w:rFonts w:ascii="Optimum" w:hAnsi="Optimum" w:cs="Arial"/>
          <w:sz w:val="20"/>
          <w:szCs w:val="20"/>
        </w:rPr>
        <w:t>más</w:t>
      </w:r>
      <w:r w:rsidRPr="00E950AD">
        <w:rPr>
          <w:rFonts w:ascii="Optimum" w:hAnsi="Optimum" w:cs="Arial"/>
          <w:sz w:val="20"/>
          <w:szCs w:val="20"/>
        </w:rPr>
        <w:t xml:space="preserve"> usados en los productos listados por el ICA corresponden a hongos del género </w:t>
      </w:r>
      <w:r w:rsidRPr="00E950AD">
        <w:rPr>
          <w:rFonts w:ascii="Optimum" w:hAnsi="Optimum" w:cs="Arial"/>
          <w:i/>
          <w:sz w:val="20"/>
          <w:szCs w:val="20"/>
        </w:rPr>
        <w:t xml:space="preserve">Trichoderma </w:t>
      </w:r>
      <w:r w:rsidRPr="00E950AD">
        <w:rPr>
          <w:rFonts w:ascii="Optimum" w:hAnsi="Optimum" w:cs="Arial"/>
          <w:sz w:val="20"/>
          <w:szCs w:val="20"/>
        </w:rPr>
        <w:t xml:space="preserve">(particularmente </w:t>
      </w:r>
      <w:r w:rsidR="00271F2E" w:rsidRPr="00E950AD">
        <w:rPr>
          <w:rFonts w:ascii="Optimum" w:hAnsi="Optimum" w:cs="Arial"/>
          <w:i/>
          <w:sz w:val="20"/>
          <w:szCs w:val="20"/>
        </w:rPr>
        <w:t>T. viride</w:t>
      </w:r>
      <w:r w:rsidR="00637593" w:rsidRPr="00E950AD">
        <w:rPr>
          <w:rFonts w:ascii="Optimum" w:hAnsi="Optimum" w:cs="Arial"/>
          <w:i/>
          <w:sz w:val="20"/>
          <w:szCs w:val="20"/>
        </w:rPr>
        <w:t xml:space="preserve"> </w:t>
      </w:r>
      <w:r w:rsidR="00637593" w:rsidRPr="00E950AD">
        <w:rPr>
          <w:rFonts w:ascii="Optimum" w:hAnsi="Optimum" w:cs="Arial"/>
          <w:iCs/>
          <w:sz w:val="20"/>
          <w:szCs w:val="20"/>
        </w:rPr>
        <w:t>(Biocultivos S.A.)</w:t>
      </w:r>
      <w:r w:rsidR="00271F2E" w:rsidRPr="00E950AD">
        <w:rPr>
          <w:rFonts w:ascii="Optimum" w:hAnsi="Optimum" w:cs="Arial"/>
          <w:i/>
          <w:sz w:val="20"/>
          <w:szCs w:val="20"/>
        </w:rPr>
        <w:t xml:space="preserve">, </w:t>
      </w:r>
      <w:r w:rsidRPr="00E950AD">
        <w:rPr>
          <w:rFonts w:ascii="Optimum" w:hAnsi="Optimum" w:cs="Arial"/>
          <w:i/>
          <w:sz w:val="20"/>
          <w:szCs w:val="20"/>
        </w:rPr>
        <w:t xml:space="preserve">T. </w:t>
      </w:r>
      <w:r w:rsidR="00271F2E" w:rsidRPr="00E950AD">
        <w:rPr>
          <w:rFonts w:ascii="Optimum" w:hAnsi="Optimum" w:cs="Arial"/>
          <w:i/>
          <w:sz w:val="20"/>
          <w:szCs w:val="20"/>
        </w:rPr>
        <w:t>h</w:t>
      </w:r>
      <w:r w:rsidRPr="00E950AD">
        <w:rPr>
          <w:rFonts w:ascii="Optimum" w:hAnsi="Optimum" w:cs="Arial"/>
          <w:i/>
          <w:sz w:val="20"/>
          <w:szCs w:val="20"/>
        </w:rPr>
        <w:t>arzianum</w:t>
      </w:r>
      <w:r w:rsidR="00271F2E" w:rsidRPr="00E950AD">
        <w:rPr>
          <w:rFonts w:ascii="Optimum" w:hAnsi="Optimum" w:cs="Arial"/>
          <w:sz w:val="20"/>
          <w:szCs w:val="20"/>
        </w:rPr>
        <w:t xml:space="preserve"> </w:t>
      </w:r>
      <w:r w:rsidRPr="00E950AD">
        <w:rPr>
          <w:rFonts w:ascii="Optimum" w:hAnsi="Optimum" w:cs="Arial"/>
          <w:sz w:val="20"/>
          <w:szCs w:val="20"/>
        </w:rPr>
        <w:t xml:space="preserve">y </w:t>
      </w:r>
      <w:r w:rsidRPr="00E950AD">
        <w:rPr>
          <w:rFonts w:ascii="Optimum" w:hAnsi="Optimum" w:cs="Arial"/>
          <w:i/>
          <w:sz w:val="20"/>
          <w:szCs w:val="20"/>
        </w:rPr>
        <w:t>T. lignorum</w:t>
      </w:r>
      <w:r w:rsidRPr="00E950AD">
        <w:rPr>
          <w:rFonts w:ascii="Optimum" w:hAnsi="Optimum" w:cs="Arial"/>
          <w:sz w:val="20"/>
          <w:szCs w:val="20"/>
        </w:rPr>
        <w:t xml:space="preserve">) </w:t>
      </w:r>
      <w:r w:rsidR="006A08E2" w:rsidRPr="00E950AD">
        <w:rPr>
          <w:rFonts w:ascii="Optimum" w:hAnsi="Optimum" w:cs="Arial"/>
          <w:sz w:val="20"/>
          <w:szCs w:val="20"/>
        </w:rPr>
        <w:t xml:space="preserve">y en menor proporción bacterias de los géneros </w:t>
      </w:r>
      <w:r w:rsidR="006A08E2" w:rsidRPr="00E950AD">
        <w:rPr>
          <w:rFonts w:ascii="Optimum" w:hAnsi="Optimum" w:cs="Arial"/>
          <w:i/>
          <w:sz w:val="20"/>
          <w:szCs w:val="20"/>
        </w:rPr>
        <w:t xml:space="preserve">Bacillus </w:t>
      </w:r>
      <w:r w:rsidR="006A08E2" w:rsidRPr="00E950AD">
        <w:rPr>
          <w:rFonts w:ascii="Optimum" w:hAnsi="Optimum" w:cs="Arial"/>
          <w:sz w:val="20"/>
          <w:szCs w:val="20"/>
        </w:rPr>
        <w:t>(</w:t>
      </w:r>
      <w:r w:rsidR="006A08E2" w:rsidRPr="00E950AD">
        <w:rPr>
          <w:rFonts w:ascii="Optimum" w:hAnsi="Optimum" w:cs="Arial"/>
          <w:i/>
          <w:sz w:val="20"/>
          <w:szCs w:val="20"/>
        </w:rPr>
        <w:t xml:space="preserve">B. subtillis </w:t>
      </w:r>
      <w:r w:rsidR="006A08E2" w:rsidRPr="00E950AD">
        <w:rPr>
          <w:rFonts w:ascii="Optimum" w:hAnsi="Optimum" w:cs="Arial"/>
          <w:sz w:val="20"/>
          <w:szCs w:val="20"/>
        </w:rPr>
        <w:t xml:space="preserve">y </w:t>
      </w:r>
      <w:r w:rsidR="006A08E2" w:rsidRPr="00E950AD">
        <w:rPr>
          <w:rFonts w:ascii="Optimum" w:hAnsi="Optimum" w:cs="Arial"/>
          <w:i/>
          <w:sz w:val="20"/>
          <w:szCs w:val="20"/>
        </w:rPr>
        <w:t>B. thuringensis</w:t>
      </w:r>
      <w:r w:rsidR="006A08E2" w:rsidRPr="00E950AD">
        <w:rPr>
          <w:rFonts w:ascii="Optimum" w:hAnsi="Optimum" w:cs="Arial"/>
          <w:sz w:val="20"/>
          <w:szCs w:val="20"/>
        </w:rPr>
        <w:t xml:space="preserve">) y </w:t>
      </w:r>
      <w:r w:rsidR="006A08E2" w:rsidRPr="00E950AD">
        <w:rPr>
          <w:rFonts w:ascii="Optimum" w:hAnsi="Optimum" w:cs="Arial"/>
          <w:i/>
          <w:sz w:val="20"/>
          <w:szCs w:val="20"/>
        </w:rPr>
        <w:t xml:space="preserve">Streptomyces </w:t>
      </w:r>
      <w:r w:rsidR="006A08E2" w:rsidRPr="00E950AD">
        <w:rPr>
          <w:rFonts w:ascii="Optimum" w:hAnsi="Optimum" w:cs="Arial"/>
          <w:sz w:val="20"/>
          <w:szCs w:val="20"/>
        </w:rPr>
        <w:t>(</w:t>
      </w:r>
      <w:r w:rsidR="006A08E2" w:rsidRPr="00E950AD">
        <w:rPr>
          <w:rFonts w:ascii="Optimum" w:hAnsi="Optimum" w:cs="Arial"/>
          <w:i/>
          <w:sz w:val="20"/>
          <w:szCs w:val="20"/>
        </w:rPr>
        <w:t>S. racemochromogenes</w:t>
      </w:r>
      <w:r w:rsidR="006A08E2" w:rsidRPr="00E950AD">
        <w:rPr>
          <w:rFonts w:ascii="Optimum" w:hAnsi="Optimum" w:cs="Arial"/>
          <w:sz w:val="20"/>
          <w:szCs w:val="20"/>
        </w:rPr>
        <w:t xml:space="preserve">). </w:t>
      </w:r>
      <w:r w:rsidR="00DC5DDB" w:rsidRPr="00E950AD">
        <w:rPr>
          <w:rFonts w:ascii="Optimum" w:hAnsi="Optimum" w:cs="Arial"/>
          <w:sz w:val="20"/>
          <w:szCs w:val="20"/>
        </w:rPr>
        <w:t xml:space="preserve">Los blancos biológicos de estos productos y los cultivos en los que </w:t>
      </w:r>
      <w:r w:rsidR="00637593" w:rsidRPr="00E950AD">
        <w:rPr>
          <w:rFonts w:ascii="Optimum" w:hAnsi="Optimum" w:cs="Arial"/>
          <w:sz w:val="20"/>
          <w:szCs w:val="20"/>
        </w:rPr>
        <w:t>están</w:t>
      </w:r>
      <w:r w:rsidR="00DC5DDB" w:rsidRPr="00E950AD">
        <w:rPr>
          <w:rFonts w:ascii="Optimum" w:hAnsi="Optimum" w:cs="Arial"/>
          <w:sz w:val="20"/>
          <w:szCs w:val="20"/>
        </w:rPr>
        <w:t xml:space="preserve"> autorizado</w:t>
      </w:r>
      <w:r w:rsidR="00637593" w:rsidRPr="00E950AD">
        <w:rPr>
          <w:rFonts w:ascii="Optimum" w:hAnsi="Optimum" w:cs="Arial"/>
          <w:sz w:val="20"/>
          <w:szCs w:val="20"/>
        </w:rPr>
        <w:t>s</w:t>
      </w:r>
      <w:r w:rsidR="00DC5DDB" w:rsidRPr="00E950AD">
        <w:rPr>
          <w:rFonts w:ascii="Optimum" w:hAnsi="Optimum" w:cs="Arial"/>
          <w:sz w:val="20"/>
          <w:szCs w:val="20"/>
        </w:rPr>
        <w:t xml:space="preserve"> son </w:t>
      </w:r>
      <w:r w:rsidR="00BF78B0" w:rsidRPr="00E950AD">
        <w:rPr>
          <w:rFonts w:ascii="Optimum" w:hAnsi="Optimum" w:cs="Arial"/>
          <w:sz w:val="20"/>
          <w:szCs w:val="20"/>
        </w:rPr>
        <w:t>diversos</w:t>
      </w:r>
      <w:r w:rsidR="00DC5DDB" w:rsidRPr="00E950AD">
        <w:rPr>
          <w:rFonts w:ascii="Optimum" w:hAnsi="Optimum" w:cs="Arial"/>
          <w:sz w:val="20"/>
          <w:szCs w:val="20"/>
        </w:rPr>
        <w:t xml:space="preserve"> e </w:t>
      </w:r>
      <w:r w:rsidR="001B55E4" w:rsidRPr="00E950AD">
        <w:rPr>
          <w:rFonts w:ascii="Optimum" w:hAnsi="Optimum" w:cs="Arial"/>
          <w:sz w:val="20"/>
          <w:szCs w:val="20"/>
        </w:rPr>
        <w:t>incluyen cereales, hortalizas, á</w:t>
      </w:r>
      <w:r w:rsidR="00DC5DDB" w:rsidRPr="00E950AD">
        <w:rPr>
          <w:rFonts w:ascii="Optimum" w:hAnsi="Optimum" w:cs="Arial"/>
          <w:sz w:val="20"/>
          <w:szCs w:val="20"/>
        </w:rPr>
        <w:t xml:space="preserve">rboles frutales y leguminosas. </w:t>
      </w:r>
    </w:p>
    <w:p w14:paraId="75675B06" w14:textId="77777777" w:rsidR="002D4CF1" w:rsidRDefault="002D4CF1" w:rsidP="00E950AD">
      <w:pPr>
        <w:spacing w:after="0" w:line="240" w:lineRule="auto"/>
        <w:jc w:val="both"/>
        <w:rPr>
          <w:rFonts w:ascii="Optimum" w:hAnsi="Optimum" w:cs="Arial"/>
          <w:sz w:val="20"/>
          <w:szCs w:val="20"/>
        </w:rPr>
      </w:pPr>
    </w:p>
    <w:p w14:paraId="092CE81C" w14:textId="36583F9B" w:rsidR="00BF78B0" w:rsidRPr="00E950AD" w:rsidRDefault="00DC5DDB" w:rsidP="00E950AD">
      <w:pPr>
        <w:spacing w:after="0" w:line="240" w:lineRule="auto"/>
        <w:jc w:val="both"/>
        <w:rPr>
          <w:rFonts w:ascii="Optimum" w:hAnsi="Optimum" w:cs="Arial"/>
          <w:sz w:val="20"/>
          <w:szCs w:val="20"/>
        </w:rPr>
      </w:pPr>
      <w:r w:rsidRPr="00E950AD">
        <w:rPr>
          <w:rFonts w:ascii="Optimum" w:hAnsi="Optimum" w:cs="Arial"/>
          <w:sz w:val="20"/>
          <w:szCs w:val="20"/>
        </w:rPr>
        <w:t xml:space="preserve">Sin embargo, el uso de estos productos no es tan </w:t>
      </w:r>
      <w:r w:rsidR="001B55E4" w:rsidRPr="00E950AD">
        <w:rPr>
          <w:rFonts w:ascii="Optimum" w:hAnsi="Optimum" w:cs="Arial"/>
          <w:sz w:val="20"/>
          <w:szCs w:val="20"/>
        </w:rPr>
        <w:t>difundido</w:t>
      </w:r>
      <w:r w:rsidRPr="00E950AD">
        <w:rPr>
          <w:rFonts w:ascii="Optimum" w:hAnsi="Optimum" w:cs="Arial"/>
          <w:sz w:val="20"/>
          <w:szCs w:val="20"/>
        </w:rPr>
        <w:t xml:space="preserve"> como se </w:t>
      </w:r>
      <w:r w:rsidR="001B55E4" w:rsidRPr="00E950AD">
        <w:rPr>
          <w:rFonts w:ascii="Optimum" w:hAnsi="Optimum" w:cs="Arial"/>
          <w:sz w:val="20"/>
          <w:szCs w:val="20"/>
        </w:rPr>
        <w:t>desea</w:t>
      </w:r>
      <w:r w:rsidRPr="00E950AD">
        <w:rPr>
          <w:rFonts w:ascii="Optimum" w:hAnsi="Optimum" w:cs="Arial"/>
          <w:sz w:val="20"/>
          <w:szCs w:val="20"/>
        </w:rPr>
        <w:t>ría</w:t>
      </w:r>
      <w:r w:rsidR="001B55E4" w:rsidRPr="00E950AD">
        <w:rPr>
          <w:rFonts w:ascii="Optimum" w:hAnsi="Optimum" w:cs="Arial"/>
          <w:sz w:val="20"/>
          <w:szCs w:val="20"/>
        </w:rPr>
        <w:t xml:space="preserve"> desde el punto de vista ambiental</w:t>
      </w:r>
      <w:r w:rsidRPr="00E950AD">
        <w:rPr>
          <w:rFonts w:ascii="Optimum" w:hAnsi="Optimum" w:cs="Arial"/>
          <w:sz w:val="20"/>
          <w:szCs w:val="20"/>
        </w:rPr>
        <w:t>, lo cual conlleva a que el objetivo de reducir la aplicación de químicos en los cultivos no se cumpla</w:t>
      </w:r>
      <w:r w:rsidR="001D5825" w:rsidRPr="00E950AD">
        <w:rPr>
          <w:rFonts w:ascii="Optimum" w:hAnsi="Optimum" w:cs="Arial"/>
          <w:sz w:val="20"/>
          <w:szCs w:val="20"/>
        </w:rPr>
        <w:t xml:space="preserve">. Según los datos recopilados de los registros del ICA, en 1974 Colombia tenía registrados 767 productos químicos para agricultura destinados al manejo de plagas y fitopatógenos, esta cantidad aumentó a 1300 en el año 2003 y a más de 2200 en el 2018. En comparación, los productos biológicos </w:t>
      </w:r>
      <w:r w:rsidR="00DF4613" w:rsidRPr="00E950AD">
        <w:rPr>
          <w:rFonts w:ascii="Optimum" w:hAnsi="Optimum" w:cs="Arial"/>
          <w:sz w:val="20"/>
          <w:szCs w:val="20"/>
        </w:rPr>
        <w:t xml:space="preserve">en Colombia </w:t>
      </w:r>
      <w:r w:rsidR="001D5825" w:rsidRPr="00E950AD">
        <w:rPr>
          <w:rFonts w:ascii="Optimum" w:hAnsi="Optimum" w:cs="Arial"/>
          <w:sz w:val="20"/>
          <w:szCs w:val="20"/>
        </w:rPr>
        <w:t xml:space="preserve">tienen una </w:t>
      </w:r>
      <w:r w:rsidR="00570E90" w:rsidRPr="00E950AD">
        <w:rPr>
          <w:rFonts w:ascii="Optimum" w:hAnsi="Optimum" w:cs="Arial"/>
          <w:sz w:val="20"/>
          <w:szCs w:val="20"/>
        </w:rPr>
        <w:t>participación</w:t>
      </w:r>
      <w:r w:rsidR="001D5825" w:rsidRPr="00E950AD">
        <w:rPr>
          <w:rFonts w:ascii="Optimum" w:hAnsi="Optimum" w:cs="Arial"/>
          <w:sz w:val="20"/>
          <w:szCs w:val="20"/>
        </w:rPr>
        <w:t xml:space="preserve"> de apenas el 10% </w:t>
      </w:r>
      <w:r w:rsidR="00881455" w:rsidRPr="00E950AD">
        <w:rPr>
          <w:rFonts w:ascii="Optimum" w:hAnsi="Optimum" w:cs="Arial"/>
          <w:sz w:val="20"/>
          <w:szCs w:val="20"/>
        </w:rPr>
        <w:t xml:space="preserve">del total </w:t>
      </w:r>
      <w:r w:rsidR="00570E90" w:rsidRPr="00E950AD">
        <w:rPr>
          <w:rFonts w:ascii="Optimum" w:hAnsi="Optimum" w:cs="Arial"/>
          <w:sz w:val="20"/>
          <w:szCs w:val="20"/>
        </w:rPr>
        <w:t xml:space="preserve">ofertado en el </w:t>
      </w:r>
      <w:r w:rsidR="00881455" w:rsidRPr="00E950AD">
        <w:rPr>
          <w:rFonts w:ascii="Optimum" w:hAnsi="Optimum" w:cs="Arial"/>
          <w:sz w:val="20"/>
          <w:szCs w:val="20"/>
        </w:rPr>
        <w:t xml:space="preserve">mercado </w:t>
      </w:r>
      <w:r w:rsidR="00570E90" w:rsidRPr="00E950AD">
        <w:rPr>
          <w:rFonts w:ascii="Optimum" w:hAnsi="Optimum" w:cs="Arial"/>
          <w:sz w:val="20"/>
          <w:szCs w:val="20"/>
        </w:rPr>
        <w:t xml:space="preserve">incidiendo </w:t>
      </w:r>
      <w:r w:rsidR="000B7211" w:rsidRPr="00E950AD">
        <w:rPr>
          <w:rFonts w:ascii="Optimum" w:hAnsi="Optimum" w:cs="Arial"/>
          <w:sz w:val="20"/>
          <w:szCs w:val="20"/>
        </w:rPr>
        <w:t xml:space="preserve">en </w:t>
      </w:r>
      <w:r w:rsidR="00570E90" w:rsidRPr="00E950AD">
        <w:rPr>
          <w:rFonts w:ascii="Optimum" w:hAnsi="Optimum" w:cs="Arial"/>
          <w:sz w:val="20"/>
          <w:szCs w:val="20"/>
        </w:rPr>
        <w:t>que s</w:t>
      </w:r>
      <w:r w:rsidR="00BF78B0" w:rsidRPr="00E950AD">
        <w:rPr>
          <w:rFonts w:ascii="Optimum" w:hAnsi="Optimum" w:cs="Arial"/>
          <w:sz w:val="20"/>
          <w:szCs w:val="20"/>
        </w:rPr>
        <w:t xml:space="preserve">u aplicación en campo </w:t>
      </w:r>
      <w:r w:rsidR="000B7211" w:rsidRPr="00E950AD">
        <w:rPr>
          <w:rFonts w:ascii="Optimum" w:hAnsi="Optimum" w:cs="Arial"/>
          <w:sz w:val="20"/>
          <w:szCs w:val="20"/>
        </w:rPr>
        <w:t>sea</w:t>
      </w:r>
      <w:r w:rsidR="00BF78B0" w:rsidRPr="00E950AD">
        <w:rPr>
          <w:rFonts w:ascii="Optimum" w:hAnsi="Optimum" w:cs="Arial"/>
          <w:sz w:val="20"/>
          <w:szCs w:val="20"/>
        </w:rPr>
        <w:t xml:space="preserve"> </w:t>
      </w:r>
      <w:r w:rsidR="000B7211" w:rsidRPr="00E950AD">
        <w:rPr>
          <w:rFonts w:ascii="Optimum" w:hAnsi="Optimum" w:cs="Arial"/>
          <w:sz w:val="20"/>
          <w:szCs w:val="20"/>
        </w:rPr>
        <w:t>más</w:t>
      </w:r>
      <w:r w:rsidR="00BF78B0" w:rsidRPr="00E950AD">
        <w:rPr>
          <w:rFonts w:ascii="Optimum" w:hAnsi="Optimum" w:cs="Arial"/>
          <w:sz w:val="20"/>
          <w:szCs w:val="20"/>
        </w:rPr>
        <w:t xml:space="preserve"> escasa. </w:t>
      </w:r>
    </w:p>
    <w:p w14:paraId="191BE7AC" w14:textId="77777777" w:rsidR="002D4CF1" w:rsidRDefault="002D4CF1" w:rsidP="00E950AD">
      <w:pPr>
        <w:spacing w:after="0" w:line="240" w:lineRule="auto"/>
        <w:jc w:val="both"/>
        <w:rPr>
          <w:rFonts w:ascii="Optimum" w:hAnsi="Optimum" w:cs="Arial"/>
          <w:sz w:val="20"/>
          <w:szCs w:val="20"/>
        </w:rPr>
      </w:pPr>
    </w:p>
    <w:p w14:paraId="2B7835F9" w14:textId="40B129DF" w:rsidR="00DF4613" w:rsidRPr="00E950AD" w:rsidRDefault="00570E90" w:rsidP="00E950AD">
      <w:pPr>
        <w:spacing w:after="0" w:line="240" w:lineRule="auto"/>
        <w:jc w:val="both"/>
        <w:rPr>
          <w:rFonts w:ascii="Optimum" w:hAnsi="Optimum" w:cs="Arial"/>
          <w:sz w:val="20"/>
          <w:szCs w:val="20"/>
        </w:rPr>
      </w:pPr>
      <w:r w:rsidRPr="00E950AD">
        <w:rPr>
          <w:rFonts w:ascii="Optimum" w:hAnsi="Optimum" w:cs="Arial"/>
          <w:sz w:val="20"/>
          <w:szCs w:val="20"/>
        </w:rPr>
        <w:t xml:space="preserve">Aunque es un factor que influye en el bajo uso de </w:t>
      </w:r>
      <w:r w:rsidR="000B7211" w:rsidRPr="00E950AD">
        <w:rPr>
          <w:rFonts w:ascii="Optimum" w:hAnsi="Optimum" w:cs="Arial"/>
          <w:sz w:val="20"/>
          <w:szCs w:val="20"/>
        </w:rPr>
        <w:t xml:space="preserve">los </w:t>
      </w:r>
      <w:r w:rsidRPr="00E950AD">
        <w:rPr>
          <w:rFonts w:ascii="Optimum" w:hAnsi="Optimum" w:cs="Arial"/>
          <w:sz w:val="20"/>
          <w:szCs w:val="20"/>
        </w:rPr>
        <w:t xml:space="preserve">productos biológicos, la menor cantidad de insumos disponibles en comparación a los químicos no es el único </w:t>
      </w:r>
      <w:r w:rsidR="00B554FA" w:rsidRPr="00E950AD">
        <w:rPr>
          <w:rFonts w:ascii="Optimum" w:hAnsi="Optimum" w:cs="Arial"/>
          <w:sz w:val="20"/>
          <w:szCs w:val="20"/>
        </w:rPr>
        <w:t>elemento</w:t>
      </w:r>
      <w:r w:rsidRPr="00E950AD">
        <w:rPr>
          <w:rFonts w:ascii="Optimum" w:hAnsi="Optimum" w:cs="Arial"/>
          <w:sz w:val="20"/>
          <w:szCs w:val="20"/>
        </w:rPr>
        <w:t xml:space="preserve"> que ha restringido el uso de biocontroladores en el país. Es un hecho que en Colombia</w:t>
      </w:r>
      <w:r w:rsidR="00BF78B0" w:rsidRPr="00E950AD">
        <w:rPr>
          <w:rFonts w:ascii="Optimum" w:hAnsi="Optimum" w:cs="Arial"/>
          <w:sz w:val="20"/>
          <w:szCs w:val="20"/>
        </w:rPr>
        <w:t xml:space="preserve"> se tiene poca divulgación sobre </w:t>
      </w:r>
      <w:r w:rsidR="00DF4613" w:rsidRPr="00E950AD">
        <w:rPr>
          <w:rFonts w:ascii="Optimum" w:hAnsi="Optimum" w:cs="Arial"/>
          <w:sz w:val="20"/>
          <w:szCs w:val="20"/>
        </w:rPr>
        <w:t xml:space="preserve">la existencia de estos insumos, </w:t>
      </w:r>
      <w:r w:rsidR="00BF78B0" w:rsidRPr="00E950AD">
        <w:rPr>
          <w:rFonts w:ascii="Optimum" w:hAnsi="Optimum" w:cs="Arial"/>
          <w:sz w:val="20"/>
          <w:szCs w:val="20"/>
        </w:rPr>
        <w:t xml:space="preserve">las bases científicas </w:t>
      </w:r>
      <w:r w:rsidR="00DF4613" w:rsidRPr="00E950AD">
        <w:rPr>
          <w:rFonts w:ascii="Optimum" w:hAnsi="Optimum" w:cs="Arial"/>
          <w:sz w:val="20"/>
          <w:szCs w:val="20"/>
        </w:rPr>
        <w:t>asociadas a su desarrollo</w:t>
      </w:r>
      <w:r w:rsidR="00BF78B0" w:rsidRPr="00E950AD">
        <w:rPr>
          <w:rFonts w:ascii="Optimum" w:hAnsi="Optimum" w:cs="Arial"/>
          <w:sz w:val="20"/>
          <w:szCs w:val="20"/>
        </w:rPr>
        <w:t xml:space="preserve"> </w:t>
      </w:r>
      <w:r w:rsidR="00DF4613" w:rsidRPr="00E950AD">
        <w:rPr>
          <w:rFonts w:ascii="Optimum" w:hAnsi="Optimum" w:cs="Arial"/>
          <w:sz w:val="20"/>
          <w:szCs w:val="20"/>
        </w:rPr>
        <w:t>y sus efectos en campo. Numerosos grupos de investigación en universidades públicas y privadas y</w:t>
      </w:r>
      <w:r w:rsidR="00881455" w:rsidRPr="00E950AD">
        <w:rPr>
          <w:rFonts w:ascii="Optimum" w:hAnsi="Optimum" w:cs="Arial"/>
          <w:sz w:val="20"/>
          <w:szCs w:val="20"/>
        </w:rPr>
        <w:t xml:space="preserve"> diversas</w:t>
      </w:r>
      <w:r w:rsidR="00DF4613" w:rsidRPr="00E950AD">
        <w:rPr>
          <w:rFonts w:ascii="Optimum" w:hAnsi="Optimum" w:cs="Arial"/>
          <w:sz w:val="20"/>
          <w:szCs w:val="20"/>
        </w:rPr>
        <w:t xml:space="preserve"> empresas del país invierten buena parte de sus recursos (humanos y físicos) en la investigación de los pato</w:t>
      </w:r>
      <w:r w:rsidR="00881455" w:rsidRPr="00E950AD">
        <w:rPr>
          <w:rFonts w:ascii="Optimum" w:hAnsi="Optimum" w:cs="Arial"/>
          <w:sz w:val="20"/>
          <w:szCs w:val="20"/>
        </w:rPr>
        <w:t>-</w:t>
      </w:r>
      <w:r w:rsidR="00DF4613" w:rsidRPr="00E950AD">
        <w:rPr>
          <w:rFonts w:ascii="Optimum" w:hAnsi="Optimum" w:cs="Arial"/>
          <w:sz w:val="20"/>
          <w:szCs w:val="20"/>
        </w:rPr>
        <w:t>sistemas más relevantes de la agricultura</w:t>
      </w:r>
      <w:r w:rsidRPr="00E950AD">
        <w:rPr>
          <w:rFonts w:ascii="Optimum" w:hAnsi="Optimum" w:cs="Arial"/>
          <w:sz w:val="20"/>
          <w:szCs w:val="20"/>
        </w:rPr>
        <w:t xml:space="preserve"> nacional</w:t>
      </w:r>
      <w:r w:rsidR="00DF4613" w:rsidRPr="00E950AD">
        <w:rPr>
          <w:rFonts w:ascii="Optimum" w:hAnsi="Optimum" w:cs="Arial"/>
          <w:sz w:val="20"/>
          <w:szCs w:val="20"/>
        </w:rPr>
        <w:t xml:space="preserve">. Sin embargo, los resultados de estas investigaciones no son divulgados apropiadamente y se limitan en muchos casos a eventos científicos a los que acuden pocas personas involucradas en el agro colombiano reduciendo la posibilidad de transferir la información obtenida en los laboratorios al campo en donde idealmente debería verse reflejado su impacto. </w:t>
      </w:r>
    </w:p>
    <w:p w14:paraId="5E9379F0" w14:textId="77777777" w:rsidR="002D4CF1" w:rsidRDefault="002D4CF1" w:rsidP="00E950AD">
      <w:pPr>
        <w:spacing w:after="0" w:line="240" w:lineRule="auto"/>
        <w:jc w:val="both"/>
        <w:rPr>
          <w:rFonts w:ascii="Optimum" w:hAnsi="Optimum" w:cs="Arial"/>
          <w:sz w:val="20"/>
          <w:szCs w:val="20"/>
        </w:rPr>
      </w:pPr>
    </w:p>
    <w:p w14:paraId="0EB8C7CB" w14:textId="37469A6B" w:rsidR="00DC5DDB" w:rsidRPr="00E950AD" w:rsidRDefault="00DF4613" w:rsidP="00E950AD">
      <w:pPr>
        <w:spacing w:after="0" w:line="240" w:lineRule="auto"/>
        <w:jc w:val="both"/>
        <w:rPr>
          <w:rFonts w:ascii="Optimum" w:hAnsi="Optimum" w:cs="Arial"/>
          <w:sz w:val="20"/>
          <w:szCs w:val="20"/>
        </w:rPr>
      </w:pPr>
      <w:r w:rsidRPr="00E950AD">
        <w:rPr>
          <w:rFonts w:ascii="Optimum" w:hAnsi="Optimum" w:cs="Arial"/>
          <w:sz w:val="20"/>
          <w:szCs w:val="20"/>
        </w:rPr>
        <w:t xml:space="preserve">Esta falla en la comunicación genera que sean pocos los agricultores que de primera mano pueden probar e incluir en sus planes de manejo integrado opciones como los controladores biológicos. </w:t>
      </w:r>
      <w:r w:rsidR="00432506" w:rsidRPr="00E950AD">
        <w:rPr>
          <w:rFonts w:ascii="Optimum" w:hAnsi="Optimum" w:cs="Arial"/>
          <w:sz w:val="20"/>
          <w:szCs w:val="20"/>
        </w:rPr>
        <w:t xml:space="preserve">En este contexto, </w:t>
      </w:r>
      <w:r w:rsidR="00A04539" w:rsidRPr="00E950AD">
        <w:rPr>
          <w:rFonts w:ascii="Optimum" w:hAnsi="Optimum" w:cs="Arial"/>
          <w:sz w:val="20"/>
          <w:szCs w:val="20"/>
        </w:rPr>
        <w:t xml:space="preserve">diversos autores han propuesto que para solventar la necesidad de </w:t>
      </w:r>
      <w:r w:rsidR="00432506" w:rsidRPr="00E950AD">
        <w:rPr>
          <w:rFonts w:ascii="Optimum" w:hAnsi="Optimum" w:cs="Arial"/>
          <w:sz w:val="20"/>
          <w:szCs w:val="20"/>
        </w:rPr>
        <w:t xml:space="preserve">integrar </w:t>
      </w:r>
      <w:r w:rsidR="00A04539" w:rsidRPr="00E950AD">
        <w:rPr>
          <w:rFonts w:ascii="Optimum" w:hAnsi="Optimum" w:cs="Arial"/>
          <w:sz w:val="20"/>
          <w:szCs w:val="20"/>
        </w:rPr>
        <w:t xml:space="preserve">los agentes de biocontrol en los sistemas productivos es pertinente incluir a los agricultores en las fases de evaluación en campo (ensayos comerciales y semi-comerciales) de esta forma se logra divulgar la información sobre los productos, avanzar en los procesos de registro y demostrar su eficiencia en campo (Fravel, 2005). </w:t>
      </w:r>
    </w:p>
    <w:p w14:paraId="5AB9DED4" w14:textId="77777777" w:rsidR="002D4CF1" w:rsidRDefault="002D4CF1" w:rsidP="00E950AD">
      <w:pPr>
        <w:spacing w:after="0" w:line="240" w:lineRule="auto"/>
        <w:jc w:val="both"/>
        <w:rPr>
          <w:rFonts w:ascii="Optimum" w:hAnsi="Optimum" w:cs="Arial"/>
          <w:sz w:val="20"/>
          <w:szCs w:val="20"/>
        </w:rPr>
      </w:pPr>
    </w:p>
    <w:p w14:paraId="4BBBE04E" w14:textId="5690E57F" w:rsidR="00773B43" w:rsidRPr="00E950AD" w:rsidRDefault="00944622" w:rsidP="00E950AD">
      <w:pPr>
        <w:spacing w:after="0" w:line="240" w:lineRule="auto"/>
        <w:jc w:val="both"/>
        <w:rPr>
          <w:rFonts w:ascii="Optimum" w:hAnsi="Optimum" w:cs="Arial"/>
          <w:sz w:val="20"/>
          <w:szCs w:val="20"/>
        </w:rPr>
      </w:pPr>
      <w:r w:rsidRPr="00E950AD">
        <w:rPr>
          <w:rFonts w:ascii="Optimum" w:hAnsi="Optimum" w:cs="Arial"/>
          <w:sz w:val="20"/>
          <w:szCs w:val="20"/>
        </w:rPr>
        <w:t>Así mismo, es deseable que haya un aco</w:t>
      </w:r>
      <w:r w:rsidR="00BA690C" w:rsidRPr="00E950AD">
        <w:rPr>
          <w:rFonts w:ascii="Optimum" w:hAnsi="Optimum" w:cs="Arial"/>
          <w:sz w:val="20"/>
          <w:szCs w:val="20"/>
        </w:rPr>
        <w:t>mpañamiento con empresas (pú</w:t>
      </w:r>
      <w:r w:rsidRPr="00E950AD">
        <w:rPr>
          <w:rFonts w:ascii="Optimum" w:hAnsi="Optimum" w:cs="Arial"/>
          <w:sz w:val="20"/>
          <w:szCs w:val="20"/>
        </w:rPr>
        <w:t>blicas o privadas</w:t>
      </w:r>
      <w:r w:rsidR="00BA690C" w:rsidRPr="00E950AD">
        <w:rPr>
          <w:rFonts w:ascii="Optimum" w:hAnsi="Optimum" w:cs="Arial"/>
          <w:sz w:val="20"/>
          <w:szCs w:val="20"/>
        </w:rPr>
        <w:t>) que apoyen el desarrollo no só</w:t>
      </w:r>
      <w:r w:rsidRPr="00E950AD">
        <w:rPr>
          <w:rFonts w:ascii="Optimum" w:hAnsi="Optimum" w:cs="Arial"/>
          <w:sz w:val="20"/>
          <w:szCs w:val="20"/>
        </w:rPr>
        <w:t xml:space="preserve">lo de la investigación básica sino además del producto comercial que puede derivar de ella para permitir un </w:t>
      </w:r>
      <w:r w:rsidR="00637593" w:rsidRPr="00E950AD">
        <w:rPr>
          <w:rFonts w:ascii="Optimum" w:hAnsi="Optimum" w:cs="Arial"/>
          <w:sz w:val="20"/>
          <w:szCs w:val="20"/>
        </w:rPr>
        <w:t>tránsito</w:t>
      </w:r>
      <w:r w:rsidRPr="00E950AD">
        <w:rPr>
          <w:rFonts w:ascii="Optimum" w:hAnsi="Optimum" w:cs="Arial"/>
          <w:sz w:val="20"/>
          <w:szCs w:val="20"/>
        </w:rPr>
        <w:t xml:space="preserve"> m</w:t>
      </w:r>
      <w:r w:rsidR="00637593" w:rsidRPr="00E950AD">
        <w:rPr>
          <w:rFonts w:ascii="Optimum" w:hAnsi="Optimum" w:cs="Arial"/>
          <w:sz w:val="20"/>
          <w:szCs w:val="20"/>
        </w:rPr>
        <w:t>á</w:t>
      </w:r>
      <w:r w:rsidRPr="00E950AD">
        <w:rPr>
          <w:rFonts w:ascii="Optimum" w:hAnsi="Optimum" w:cs="Arial"/>
          <w:sz w:val="20"/>
          <w:szCs w:val="20"/>
        </w:rPr>
        <w:t>s fluido del conocimiento</w:t>
      </w:r>
      <w:r w:rsidR="00BA690C" w:rsidRPr="00E950AD">
        <w:rPr>
          <w:rFonts w:ascii="Optimum" w:hAnsi="Optimum" w:cs="Arial"/>
          <w:sz w:val="20"/>
          <w:szCs w:val="20"/>
        </w:rPr>
        <w:t xml:space="preserve"> adquirido hacia el agricultor.</w:t>
      </w:r>
      <w:r w:rsidRPr="00E950AD">
        <w:rPr>
          <w:rFonts w:ascii="Optimum" w:hAnsi="Optimum" w:cs="Arial"/>
          <w:sz w:val="20"/>
          <w:szCs w:val="20"/>
        </w:rPr>
        <w:t xml:space="preserve"> </w:t>
      </w:r>
      <w:r w:rsidR="00B145A3" w:rsidRPr="00E950AD">
        <w:rPr>
          <w:rFonts w:ascii="Optimum" w:hAnsi="Optimum" w:cs="Arial"/>
          <w:sz w:val="20"/>
          <w:szCs w:val="20"/>
        </w:rPr>
        <w:t xml:space="preserve">De esta forma el desarrollo biotecnológico logrado a través de la investigación puede generar un impacto social real en el país </w:t>
      </w:r>
      <w:r w:rsidR="006B10DA" w:rsidRPr="00E950AD">
        <w:rPr>
          <w:rFonts w:ascii="Optimum" w:hAnsi="Optimum" w:cs="Arial"/>
          <w:sz w:val="20"/>
          <w:szCs w:val="20"/>
        </w:rPr>
        <w:t xml:space="preserve">al tiempo que apoya la formación de talento humano y reduce la brecha existente en los sectores involucrados en la academia, la industria y la agricultura colombiana. </w:t>
      </w:r>
    </w:p>
    <w:p w14:paraId="0761AD0B" w14:textId="77777777" w:rsidR="000C3E82" w:rsidRPr="00E950AD" w:rsidRDefault="000C3E82" w:rsidP="00E950AD">
      <w:pPr>
        <w:spacing w:after="0" w:line="240" w:lineRule="auto"/>
        <w:jc w:val="both"/>
        <w:rPr>
          <w:rFonts w:ascii="Optimum" w:hAnsi="Optimum" w:cs="Arial"/>
          <w:b/>
          <w:sz w:val="20"/>
          <w:szCs w:val="20"/>
        </w:rPr>
      </w:pPr>
    </w:p>
    <w:p w14:paraId="57C4F59D" w14:textId="339572CB" w:rsidR="00B145A3" w:rsidRPr="00E950AD" w:rsidRDefault="00B145A3" w:rsidP="00E950AD">
      <w:pPr>
        <w:spacing w:after="0" w:line="240" w:lineRule="auto"/>
        <w:jc w:val="both"/>
        <w:rPr>
          <w:rFonts w:ascii="Optimum" w:hAnsi="Optimum" w:cs="Arial"/>
          <w:b/>
          <w:sz w:val="20"/>
          <w:szCs w:val="20"/>
        </w:rPr>
      </w:pPr>
      <w:r w:rsidRPr="00E950AD">
        <w:rPr>
          <w:rFonts w:ascii="Optimum" w:hAnsi="Optimum" w:cs="Arial"/>
          <w:b/>
          <w:sz w:val="20"/>
          <w:szCs w:val="20"/>
        </w:rPr>
        <w:t>REFERENCIAS</w:t>
      </w:r>
    </w:p>
    <w:p w14:paraId="27A64169" w14:textId="77777777" w:rsidR="002D4CF1" w:rsidRDefault="002D4CF1" w:rsidP="00E950AD">
      <w:pPr>
        <w:spacing w:after="0" w:line="240" w:lineRule="auto"/>
        <w:jc w:val="both"/>
        <w:rPr>
          <w:rFonts w:ascii="Optimum" w:hAnsi="Optimum" w:cs="Arial"/>
          <w:sz w:val="20"/>
          <w:szCs w:val="20"/>
          <w:lang w:val="en-US"/>
        </w:rPr>
      </w:pPr>
    </w:p>
    <w:p w14:paraId="1495B779" w14:textId="19DD2617" w:rsidR="00DA5A4B" w:rsidRPr="00E950AD" w:rsidRDefault="00DA5A4B" w:rsidP="002D4CF1">
      <w:pPr>
        <w:spacing w:after="0" w:line="240" w:lineRule="auto"/>
        <w:ind w:left="397" w:hanging="397"/>
        <w:jc w:val="both"/>
        <w:rPr>
          <w:rFonts w:ascii="Optimum" w:hAnsi="Optimum" w:cs="Arial"/>
          <w:sz w:val="20"/>
          <w:szCs w:val="20"/>
        </w:rPr>
      </w:pPr>
      <w:r w:rsidRPr="00E950AD">
        <w:rPr>
          <w:rFonts w:ascii="Optimum" w:hAnsi="Optimum" w:cs="Arial"/>
          <w:sz w:val="20"/>
          <w:szCs w:val="20"/>
          <w:lang w:val="en-US"/>
        </w:rPr>
        <w:t xml:space="preserve">Ab Rahman, S. F. S., Singh, E., Pieterse, C. M., &amp; Schenk, P. M. (2018). Emerging microbial biocontrol strategies for plant pathogens. </w:t>
      </w:r>
      <w:r w:rsidRPr="00E950AD">
        <w:rPr>
          <w:rFonts w:ascii="Optimum" w:hAnsi="Optimum" w:cs="Arial"/>
          <w:i/>
          <w:sz w:val="20"/>
          <w:szCs w:val="20"/>
          <w:lang w:val="en-US"/>
        </w:rPr>
        <w:t>Plant Science, 267</w:t>
      </w:r>
      <w:r w:rsidRPr="00E950AD">
        <w:rPr>
          <w:rFonts w:ascii="Optimum" w:hAnsi="Optimum" w:cs="Arial"/>
          <w:sz w:val="20"/>
          <w:szCs w:val="20"/>
          <w:lang w:val="en-US"/>
        </w:rPr>
        <w:t>, 102-111.</w:t>
      </w:r>
    </w:p>
    <w:p w14:paraId="50024421" w14:textId="61FF41CF" w:rsidR="00895A6D" w:rsidRPr="00E950AD" w:rsidRDefault="00895A6D" w:rsidP="002D4CF1">
      <w:pPr>
        <w:spacing w:after="0" w:line="240" w:lineRule="auto"/>
        <w:ind w:left="397" w:hanging="397"/>
        <w:jc w:val="both"/>
        <w:rPr>
          <w:rFonts w:ascii="Optimum" w:hAnsi="Optimum" w:cs="Arial"/>
          <w:sz w:val="20"/>
          <w:szCs w:val="20"/>
          <w:lang w:val="en-US"/>
        </w:rPr>
      </w:pPr>
      <w:r w:rsidRPr="00E950AD">
        <w:rPr>
          <w:rFonts w:ascii="Optimum" w:hAnsi="Optimum" w:cs="Arial"/>
          <w:sz w:val="20"/>
          <w:szCs w:val="20"/>
          <w:lang w:val="en-US"/>
        </w:rPr>
        <w:t xml:space="preserve">Balouiri, M., Sadiki, M., &amp; Ibnsouda, S. K. (2016). Methods for in vitro evaluating antimicrobial activity: A review. </w:t>
      </w:r>
      <w:r w:rsidRPr="00E950AD">
        <w:rPr>
          <w:rFonts w:ascii="Optimum" w:hAnsi="Optimum" w:cs="Arial"/>
          <w:i/>
          <w:sz w:val="20"/>
          <w:szCs w:val="20"/>
          <w:lang w:val="en-US"/>
        </w:rPr>
        <w:t>Journal of pharmaceutical analysis, 6</w:t>
      </w:r>
      <w:r w:rsidRPr="00E950AD">
        <w:rPr>
          <w:rFonts w:ascii="Optimum" w:hAnsi="Optimum" w:cs="Arial"/>
          <w:sz w:val="20"/>
          <w:szCs w:val="20"/>
          <w:lang w:val="en-US"/>
        </w:rPr>
        <w:t>(2), 71-79.</w:t>
      </w:r>
    </w:p>
    <w:p w14:paraId="49950C05" w14:textId="22F299C8" w:rsidR="00275C4A" w:rsidRPr="00E950AD" w:rsidRDefault="00275C4A" w:rsidP="002D4CF1">
      <w:pPr>
        <w:spacing w:after="0" w:line="240" w:lineRule="auto"/>
        <w:ind w:left="397" w:hanging="397"/>
        <w:jc w:val="both"/>
        <w:rPr>
          <w:rFonts w:ascii="Optimum" w:hAnsi="Optimum" w:cs="Arial"/>
          <w:sz w:val="20"/>
          <w:szCs w:val="20"/>
          <w:lang w:val="en-US"/>
        </w:rPr>
      </w:pPr>
      <w:r w:rsidRPr="00E950AD">
        <w:rPr>
          <w:rFonts w:ascii="Optimum" w:hAnsi="Optimum" w:cs="Arial"/>
          <w:sz w:val="20"/>
          <w:szCs w:val="20"/>
          <w:lang w:val="en-US"/>
        </w:rPr>
        <w:t xml:space="preserve">Cahill, D. M., Rookes, J. E., Wilson, B. A., Gibson, L., &amp; McDougall, K. L. (2008). Phytophthora cinnamomi and Australia’s biodiversity: impacts, predictions and progress towards control. </w:t>
      </w:r>
      <w:r w:rsidRPr="00E950AD">
        <w:rPr>
          <w:rFonts w:ascii="Optimum" w:hAnsi="Optimum" w:cs="Arial"/>
          <w:i/>
          <w:sz w:val="20"/>
          <w:szCs w:val="20"/>
          <w:lang w:val="en-US"/>
        </w:rPr>
        <w:t>Australian Journal of Botany, 56</w:t>
      </w:r>
      <w:r w:rsidRPr="00E950AD">
        <w:rPr>
          <w:rFonts w:ascii="Optimum" w:hAnsi="Optimum" w:cs="Arial"/>
          <w:sz w:val="20"/>
          <w:szCs w:val="20"/>
          <w:lang w:val="en-US"/>
        </w:rPr>
        <w:t>(4), 279-310.</w:t>
      </w:r>
    </w:p>
    <w:p w14:paraId="3B893C7E" w14:textId="37C1172B" w:rsidR="0088044B" w:rsidRPr="00E950AD" w:rsidRDefault="0088044B" w:rsidP="002D4CF1">
      <w:pPr>
        <w:spacing w:after="0" w:line="240" w:lineRule="auto"/>
        <w:ind w:left="397" w:hanging="397"/>
        <w:jc w:val="both"/>
        <w:rPr>
          <w:rFonts w:ascii="Optimum" w:hAnsi="Optimum" w:cs="Arial"/>
          <w:sz w:val="20"/>
          <w:szCs w:val="20"/>
          <w:lang w:val="en-US"/>
        </w:rPr>
      </w:pPr>
      <w:r w:rsidRPr="00E950AD">
        <w:rPr>
          <w:rFonts w:ascii="Optimum" w:hAnsi="Optimum" w:cs="Arial"/>
          <w:sz w:val="20"/>
          <w:szCs w:val="20"/>
        </w:rPr>
        <w:t xml:space="preserve">Dita, M., Barquero, M., Heck, D., Mizubuti, E. S., &amp; Staver, C. P. (2018). </w:t>
      </w:r>
      <w:r w:rsidRPr="00E950AD">
        <w:rPr>
          <w:rFonts w:ascii="Optimum" w:hAnsi="Optimum" w:cs="Arial"/>
          <w:sz w:val="20"/>
          <w:szCs w:val="20"/>
          <w:lang w:val="en-US"/>
        </w:rPr>
        <w:t xml:space="preserve">Fusarium wilt of banana: Current knowledge on epidemiology and research needs toward sustainable disease management. </w:t>
      </w:r>
      <w:r w:rsidRPr="00E950AD">
        <w:rPr>
          <w:rFonts w:ascii="Optimum" w:hAnsi="Optimum" w:cs="Arial"/>
          <w:i/>
          <w:sz w:val="20"/>
          <w:szCs w:val="20"/>
          <w:lang w:val="en-US"/>
        </w:rPr>
        <w:t>Frontiers in plant science, 9</w:t>
      </w:r>
      <w:r w:rsidRPr="00E950AD">
        <w:rPr>
          <w:rFonts w:ascii="Optimum" w:hAnsi="Optimum" w:cs="Arial"/>
          <w:sz w:val="20"/>
          <w:szCs w:val="20"/>
          <w:lang w:val="en-US"/>
        </w:rPr>
        <w:t>.</w:t>
      </w:r>
    </w:p>
    <w:p w14:paraId="0576F4D9" w14:textId="79368495" w:rsidR="00275C4A" w:rsidRPr="00E950AD" w:rsidRDefault="00275C4A" w:rsidP="002D4CF1">
      <w:pPr>
        <w:spacing w:after="0" w:line="240" w:lineRule="auto"/>
        <w:ind w:left="397" w:hanging="397"/>
        <w:jc w:val="both"/>
        <w:rPr>
          <w:rFonts w:ascii="Optimum" w:hAnsi="Optimum" w:cs="Arial"/>
          <w:sz w:val="20"/>
          <w:szCs w:val="20"/>
          <w:lang w:val="en-US"/>
        </w:rPr>
      </w:pPr>
      <w:r w:rsidRPr="00E950AD">
        <w:rPr>
          <w:rFonts w:ascii="Optimum" w:hAnsi="Optimum" w:cs="Arial"/>
          <w:sz w:val="20"/>
          <w:szCs w:val="20"/>
          <w:lang w:val="en-US"/>
        </w:rPr>
        <w:t>Donnelly, J. S. (2002). Great Irish Potato Famine. The History Press.</w:t>
      </w:r>
    </w:p>
    <w:p w14:paraId="16122C2E" w14:textId="26066701" w:rsidR="00060D08" w:rsidRPr="00E950AD" w:rsidRDefault="00060D08" w:rsidP="002D4CF1">
      <w:pPr>
        <w:spacing w:after="0" w:line="240" w:lineRule="auto"/>
        <w:ind w:left="397" w:hanging="397"/>
        <w:jc w:val="both"/>
        <w:rPr>
          <w:rFonts w:ascii="Optimum" w:hAnsi="Optimum" w:cs="Arial"/>
          <w:color w:val="000000" w:themeColor="text1"/>
          <w:sz w:val="20"/>
          <w:szCs w:val="20"/>
          <w:lang w:val="en-US"/>
        </w:rPr>
      </w:pPr>
      <w:r w:rsidRPr="00E950AD">
        <w:rPr>
          <w:rFonts w:ascii="Optimum" w:hAnsi="Optimum" w:cs="Arial"/>
          <w:sz w:val="20"/>
          <w:szCs w:val="20"/>
          <w:lang w:val="en-US"/>
        </w:rPr>
        <w:t xml:space="preserve">Environmental Protection Agency (2019). Biopesticide Active Ingredients. URL: </w:t>
      </w:r>
      <w:r w:rsidRPr="00E950AD">
        <w:rPr>
          <w:rStyle w:val="Hipervnculo"/>
          <w:rFonts w:ascii="Optimum" w:hAnsi="Optimum" w:cs="Arial"/>
          <w:color w:val="000000" w:themeColor="text1"/>
          <w:sz w:val="20"/>
          <w:szCs w:val="20"/>
          <w:u w:val="none"/>
          <w:lang w:val="en-US"/>
        </w:rPr>
        <w:t>https://www.epa.gov/ingredients-used-pesticide-products/biopesticide-active-ingredients</w:t>
      </w:r>
      <w:r w:rsidRPr="00E950AD">
        <w:rPr>
          <w:rFonts w:ascii="Optimum" w:hAnsi="Optimum"/>
          <w:color w:val="000000" w:themeColor="text1"/>
          <w:sz w:val="20"/>
          <w:szCs w:val="20"/>
          <w:lang w:val="en-US"/>
        </w:rPr>
        <w:t xml:space="preserve"> </w:t>
      </w:r>
    </w:p>
    <w:p w14:paraId="54C37A26" w14:textId="3D62AB20" w:rsidR="00A04539" w:rsidRPr="00E950AD" w:rsidRDefault="00A04539" w:rsidP="002D4CF1">
      <w:pPr>
        <w:spacing w:after="0" w:line="240" w:lineRule="auto"/>
        <w:ind w:left="397" w:hanging="397"/>
        <w:jc w:val="both"/>
        <w:rPr>
          <w:rFonts w:ascii="Optimum" w:hAnsi="Optimum" w:cs="Arial"/>
          <w:sz w:val="20"/>
          <w:szCs w:val="20"/>
        </w:rPr>
      </w:pPr>
      <w:r w:rsidRPr="00E950AD">
        <w:rPr>
          <w:rFonts w:ascii="Optimum" w:hAnsi="Optimum" w:cs="Arial"/>
          <w:sz w:val="20"/>
          <w:szCs w:val="20"/>
          <w:lang w:val="en-US"/>
        </w:rPr>
        <w:t xml:space="preserve">Fravel, D. R. (2005). Commercialization and implementation of biocontrol. </w:t>
      </w:r>
      <w:r w:rsidRPr="00E950AD">
        <w:rPr>
          <w:rFonts w:ascii="Optimum" w:hAnsi="Optimum" w:cs="Arial"/>
          <w:i/>
          <w:sz w:val="20"/>
          <w:szCs w:val="20"/>
        </w:rPr>
        <w:t>Annu. Rev. Phytopathol., 43</w:t>
      </w:r>
      <w:r w:rsidRPr="00E950AD">
        <w:rPr>
          <w:rFonts w:ascii="Optimum" w:hAnsi="Optimum" w:cs="Arial"/>
          <w:sz w:val="20"/>
          <w:szCs w:val="20"/>
        </w:rPr>
        <w:t>, 337-359.</w:t>
      </w:r>
    </w:p>
    <w:p w14:paraId="0AA37A8E" w14:textId="44F8333F" w:rsidR="006A08E2" w:rsidRPr="00E950AD" w:rsidRDefault="006A08E2" w:rsidP="002D4CF1">
      <w:pPr>
        <w:spacing w:after="0" w:line="240" w:lineRule="auto"/>
        <w:ind w:left="397" w:hanging="397"/>
        <w:jc w:val="both"/>
        <w:rPr>
          <w:rFonts w:ascii="Optimum" w:hAnsi="Optimum" w:cs="Arial"/>
          <w:sz w:val="20"/>
          <w:szCs w:val="20"/>
        </w:rPr>
      </w:pPr>
      <w:r w:rsidRPr="00E950AD">
        <w:rPr>
          <w:rFonts w:ascii="Optimum" w:hAnsi="Optimum" w:cs="Arial"/>
          <w:sz w:val="20"/>
          <w:szCs w:val="20"/>
        </w:rPr>
        <w:t>Instituto Colombiano Agropecuario (2019). Productos registrados de bioinsumos-2018. URL:</w:t>
      </w:r>
      <w:r w:rsidRPr="00E950AD">
        <w:rPr>
          <w:rStyle w:val="Hipervnculo"/>
          <w:rFonts w:ascii="Optimum" w:hAnsi="Optimum" w:cs="Arial"/>
          <w:color w:val="000000" w:themeColor="text1"/>
          <w:sz w:val="20"/>
          <w:szCs w:val="20"/>
          <w:u w:val="none"/>
        </w:rPr>
        <w:t>https://www.ica.gov.co/getdoc/2ad9e987-8f69-4358-b8a9-e6ee6dcc8132/productos-bioinsumos-mayo-13-de-2008.aspx</w:t>
      </w:r>
    </w:p>
    <w:p w14:paraId="466DC347" w14:textId="0BD1CC9E" w:rsidR="00DA5A4B" w:rsidRPr="00E950AD" w:rsidRDefault="00DA5A4B" w:rsidP="002D4CF1">
      <w:pPr>
        <w:spacing w:after="0" w:line="240" w:lineRule="auto"/>
        <w:ind w:left="397" w:hanging="397"/>
        <w:jc w:val="both"/>
        <w:rPr>
          <w:rFonts w:ascii="Optimum" w:hAnsi="Optimum" w:cs="Arial"/>
          <w:sz w:val="20"/>
          <w:szCs w:val="20"/>
          <w:lang w:val="en-US"/>
        </w:rPr>
      </w:pPr>
      <w:r w:rsidRPr="00E950AD">
        <w:rPr>
          <w:rFonts w:ascii="Optimum" w:hAnsi="Optimum" w:cs="Arial"/>
          <w:sz w:val="20"/>
          <w:szCs w:val="20"/>
        </w:rPr>
        <w:t xml:space="preserve">Ingram, J. (2011). </w:t>
      </w:r>
      <w:r w:rsidRPr="00E950AD">
        <w:rPr>
          <w:rFonts w:ascii="Optimum" w:hAnsi="Optimum" w:cs="Arial"/>
          <w:sz w:val="20"/>
          <w:szCs w:val="20"/>
          <w:lang w:val="en-US"/>
        </w:rPr>
        <w:t xml:space="preserve">A food systems approach to researching food security and its interactions with global environmental change. </w:t>
      </w:r>
      <w:r w:rsidRPr="00E950AD">
        <w:rPr>
          <w:rFonts w:ascii="Optimum" w:hAnsi="Optimum" w:cs="Arial"/>
          <w:i/>
          <w:sz w:val="20"/>
          <w:szCs w:val="20"/>
          <w:lang w:val="en-US"/>
        </w:rPr>
        <w:t>Food Security, 3</w:t>
      </w:r>
      <w:r w:rsidRPr="00E950AD">
        <w:rPr>
          <w:rFonts w:ascii="Optimum" w:hAnsi="Optimum" w:cs="Arial"/>
          <w:sz w:val="20"/>
          <w:szCs w:val="20"/>
          <w:lang w:val="en-US"/>
        </w:rPr>
        <w:t>(4), 417-431.</w:t>
      </w:r>
    </w:p>
    <w:p w14:paraId="511EE4DC" w14:textId="1D443383" w:rsidR="00E4797B" w:rsidRPr="00E950AD" w:rsidRDefault="00E4797B" w:rsidP="002D4CF1">
      <w:pPr>
        <w:spacing w:after="0" w:line="240" w:lineRule="auto"/>
        <w:ind w:left="397" w:hanging="397"/>
        <w:jc w:val="both"/>
        <w:rPr>
          <w:rFonts w:ascii="Optimum" w:hAnsi="Optimum" w:cs="Arial"/>
          <w:sz w:val="20"/>
          <w:szCs w:val="20"/>
          <w:lang w:val="en-US"/>
        </w:rPr>
      </w:pPr>
      <w:r w:rsidRPr="00E950AD">
        <w:rPr>
          <w:rFonts w:ascii="Optimum" w:hAnsi="Optimum" w:cs="Arial"/>
          <w:sz w:val="20"/>
          <w:szCs w:val="20"/>
          <w:lang w:val="en-US"/>
        </w:rPr>
        <w:t xml:space="preserve">Nihorimbere, V., Ongena, M., Smargiassi, M., &amp; Thonart, P. (2011). Beneficial effect of the rhizosphere microbial community for plant growth and health. </w:t>
      </w:r>
      <w:r w:rsidRPr="00E950AD">
        <w:rPr>
          <w:rFonts w:ascii="Optimum" w:hAnsi="Optimum" w:cs="Arial"/>
          <w:i/>
          <w:sz w:val="20"/>
          <w:szCs w:val="20"/>
          <w:lang w:val="en-US"/>
        </w:rPr>
        <w:t>Biotechnologie, Agronomie, Société et Environnement, 15</w:t>
      </w:r>
      <w:r w:rsidRPr="00E950AD">
        <w:rPr>
          <w:rFonts w:ascii="Optimum" w:hAnsi="Optimum" w:cs="Arial"/>
          <w:sz w:val="20"/>
          <w:szCs w:val="20"/>
          <w:lang w:val="en-US"/>
        </w:rPr>
        <w:t>(2), 327-337.</w:t>
      </w:r>
    </w:p>
    <w:p w14:paraId="168A5ED6" w14:textId="17AFDF86" w:rsidR="00275C4A" w:rsidRPr="00E950AD" w:rsidRDefault="00275C4A" w:rsidP="002D4CF1">
      <w:pPr>
        <w:spacing w:after="0" w:line="240" w:lineRule="auto"/>
        <w:ind w:left="397" w:hanging="397"/>
        <w:jc w:val="both"/>
        <w:rPr>
          <w:rFonts w:ascii="Optimum" w:hAnsi="Optimum" w:cs="Arial"/>
          <w:sz w:val="20"/>
          <w:szCs w:val="20"/>
          <w:lang w:val="en-US"/>
        </w:rPr>
      </w:pPr>
      <w:r w:rsidRPr="00E950AD">
        <w:rPr>
          <w:rFonts w:ascii="Optimum" w:hAnsi="Optimum" w:cs="Arial"/>
          <w:sz w:val="20"/>
          <w:szCs w:val="20"/>
          <w:lang w:val="en-US"/>
        </w:rPr>
        <w:t xml:space="preserve">Padmanabhan, S. Y. (1973). The great Bengal famine. </w:t>
      </w:r>
      <w:r w:rsidRPr="00E950AD">
        <w:rPr>
          <w:rFonts w:ascii="Optimum" w:hAnsi="Optimum" w:cs="Arial"/>
          <w:i/>
          <w:sz w:val="20"/>
          <w:szCs w:val="20"/>
          <w:lang w:val="en-US"/>
        </w:rPr>
        <w:t>Annual Review of Phytopathology, 11</w:t>
      </w:r>
      <w:r w:rsidRPr="00E950AD">
        <w:rPr>
          <w:rFonts w:ascii="Optimum" w:hAnsi="Optimum" w:cs="Arial"/>
          <w:sz w:val="20"/>
          <w:szCs w:val="20"/>
          <w:lang w:val="en-US"/>
        </w:rPr>
        <w:t>(1), 11-24.</w:t>
      </w:r>
    </w:p>
    <w:p w14:paraId="10996611" w14:textId="63158E8D" w:rsidR="000663D6" w:rsidRPr="00E950AD" w:rsidRDefault="000663D6" w:rsidP="002D4CF1">
      <w:pPr>
        <w:spacing w:after="0" w:line="240" w:lineRule="auto"/>
        <w:ind w:left="397" w:hanging="397"/>
        <w:jc w:val="both"/>
        <w:rPr>
          <w:rFonts w:ascii="Optimum" w:hAnsi="Optimum" w:cs="Arial"/>
          <w:sz w:val="20"/>
          <w:szCs w:val="20"/>
          <w:lang w:val="en-US"/>
        </w:rPr>
      </w:pPr>
      <w:r w:rsidRPr="00E950AD">
        <w:rPr>
          <w:rFonts w:ascii="Optimum" w:hAnsi="Optimum" w:cs="Arial"/>
          <w:sz w:val="20"/>
          <w:szCs w:val="20"/>
          <w:lang w:val="en-US"/>
        </w:rPr>
        <w:t>Pal, K. K., &amp; Gardener, B. M. (2006). Biological control of plant pathogens.</w:t>
      </w:r>
      <w:r w:rsidR="00773B43" w:rsidRPr="00E950AD">
        <w:rPr>
          <w:rFonts w:ascii="Optimum" w:hAnsi="Optimum" w:cs="Arial"/>
          <w:sz w:val="20"/>
          <w:szCs w:val="20"/>
          <w:lang w:val="en-US"/>
        </w:rPr>
        <w:t xml:space="preserve"> </w:t>
      </w:r>
      <w:r w:rsidR="00773B43" w:rsidRPr="00E950AD">
        <w:rPr>
          <w:rFonts w:ascii="Optimum" w:hAnsi="Optimum" w:cs="Arial"/>
          <w:i/>
          <w:sz w:val="20"/>
          <w:szCs w:val="20"/>
          <w:lang w:val="en-US"/>
        </w:rPr>
        <w:t>Plant Health Instructor. 2</w:t>
      </w:r>
      <w:r w:rsidR="00773B43" w:rsidRPr="00E950AD">
        <w:rPr>
          <w:rFonts w:ascii="Optimum" w:hAnsi="Optimum" w:cs="Arial"/>
          <w:sz w:val="20"/>
          <w:szCs w:val="20"/>
          <w:lang w:val="en-US"/>
        </w:rPr>
        <w:t>, 1117-1142.</w:t>
      </w:r>
    </w:p>
    <w:p w14:paraId="0A4C6EF0" w14:textId="5FA038F5" w:rsidR="00D8303A" w:rsidRPr="00E950AD" w:rsidRDefault="00D8303A" w:rsidP="002D4CF1">
      <w:pPr>
        <w:spacing w:after="0" w:line="240" w:lineRule="auto"/>
        <w:ind w:left="397" w:hanging="397"/>
        <w:jc w:val="both"/>
        <w:rPr>
          <w:rFonts w:ascii="Optimum" w:hAnsi="Optimum" w:cs="Arial"/>
          <w:sz w:val="20"/>
          <w:szCs w:val="20"/>
        </w:rPr>
      </w:pPr>
      <w:r w:rsidRPr="00E950AD">
        <w:rPr>
          <w:rFonts w:ascii="Optimum" w:hAnsi="Optimum" w:cs="Arial"/>
          <w:sz w:val="20"/>
          <w:szCs w:val="20"/>
        </w:rPr>
        <w:t>Pedraza-Zapata D.M, Sanchez</w:t>
      </w:r>
      <w:r w:rsidR="002F0A06" w:rsidRPr="00E950AD">
        <w:rPr>
          <w:rFonts w:ascii="Optimum" w:hAnsi="Optimum" w:cs="Arial"/>
          <w:sz w:val="20"/>
          <w:szCs w:val="20"/>
        </w:rPr>
        <w:t>-Garibello</w:t>
      </w:r>
      <w:r w:rsidRPr="00E950AD">
        <w:rPr>
          <w:rFonts w:ascii="Optimum" w:hAnsi="Optimum" w:cs="Arial"/>
          <w:sz w:val="20"/>
          <w:szCs w:val="20"/>
        </w:rPr>
        <w:t xml:space="preserve"> M., Quevedo</w:t>
      </w:r>
      <w:r w:rsidR="002F0A06" w:rsidRPr="00E950AD">
        <w:rPr>
          <w:rFonts w:ascii="Optimum" w:hAnsi="Optimum" w:cs="Arial"/>
          <w:sz w:val="20"/>
          <w:szCs w:val="20"/>
        </w:rPr>
        <w:t>-</w:t>
      </w:r>
      <w:r w:rsidRPr="00E950AD">
        <w:rPr>
          <w:rFonts w:ascii="Optimum" w:hAnsi="Optimum" w:cs="Arial"/>
          <w:sz w:val="20"/>
          <w:szCs w:val="20"/>
        </w:rPr>
        <w:t>Hidalgo B</w:t>
      </w:r>
      <w:r w:rsidR="002F0A06" w:rsidRPr="00E950AD">
        <w:rPr>
          <w:rFonts w:ascii="Optimum" w:hAnsi="Optimum" w:cs="Arial"/>
          <w:sz w:val="20"/>
          <w:szCs w:val="20"/>
        </w:rPr>
        <w:t xml:space="preserve">., Moreno-Sarmiento N. </w:t>
      </w:r>
      <w:r w:rsidR="002F0A06" w:rsidRPr="00E950AD">
        <w:rPr>
          <w:rFonts w:ascii="Optimum" w:hAnsi="Optimum" w:cs="Arial"/>
          <w:sz w:val="20"/>
          <w:szCs w:val="20"/>
          <w:lang w:val="en-US"/>
        </w:rPr>
        <w:t xml:space="preserve">&amp; Gutierrez-Rojas I. </w:t>
      </w:r>
      <w:r w:rsidR="002F0A06" w:rsidRPr="00E950AD">
        <w:rPr>
          <w:rFonts w:ascii="Optimum" w:hAnsi="Optimum" w:cs="Arial"/>
          <w:sz w:val="20"/>
          <w:szCs w:val="20"/>
          <w:lang w:val="es-ES"/>
        </w:rPr>
        <w:t xml:space="preserve">(2017). Promising cellulolytic fungi isolates for rice straw degradation. </w:t>
      </w:r>
      <w:r w:rsidR="002F0A06" w:rsidRPr="00E950AD">
        <w:rPr>
          <w:rFonts w:ascii="Optimum" w:hAnsi="Optimum" w:cs="Arial"/>
          <w:i/>
          <w:sz w:val="20"/>
          <w:szCs w:val="20"/>
          <w:lang w:val="es-ES"/>
        </w:rPr>
        <w:t>Journal of Microbiology. 55</w:t>
      </w:r>
      <w:r w:rsidR="002F0A06" w:rsidRPr="00E950AD">
        <w:rPr>
          <w:rFonts w:ascii="Optimum" w:hAnsi="Optimum" w:cs="Arial"/>
          <w:sz w:val="20"/>
          <w:szCs w:val="20"/>
          <w:lang w:val="es-ES"/>
        </w:rPr>
        <w:t>(9),  711–719</w:t>
      </w:r>
      <w:r w:rsidR="002F0A06" w:rsidRPr="00E950AD">
        <w:rPr>
          <w:rFonts w:ascii="Optimum" w:hAnsi="Optimum" w:cs="Arial"/>
          <w:sz w:val="20"/>
          <w:szCs w:val="20"/>
        </w:rPr>
        <w:t xml:space="preserve"> </w:t>
      </w:r>
    </w:p>
    <w:p w14:paraId="1EDBF81C" w14:textId="22B83A18" w:rsidR="00ED337A" w:rsidRPr="00E950AD" w:rsidRDefault="00ED337A" w:rsidP="002D4CF1">
      <w:pPr>
        <w:spacing w:after="0" w:line="240" w:lineRule="auto"/>
        <w:ind w:left="397" w:hanging="397"/>
        <w:jc w:val="both"/>
        <w:rPr>
          <w:rFonts w:ascii="Optimum" w:hAnsi="Optimum" w:cs="Arial"/>
          <w:sz w:val="20"/>
          <w:szCs w:val="20"/>
        </w:rPr>
      </w:pPr>
      <w:r w:rsidRPr="00E950AD">
        <w:rPr>
          <w:rFonts w:ascii="Optimum" w:hAnsi="Optimum" w:cs="Arial"/>
          <w:sz w:val="20"/>
          <w:szCs w:val="20"/>
        </w:rPr>
        <w:t xml:space="preserve">Pérez, C., &amp; Saavedra, E. (2011). Avances en el manejo integrado de la bacteria </w:t>
      </w:r>
      <w:r w:rsidRPr="00E950AD">
        <w:rPr>
          <w:rFonts w:ascii="Optimum" w:hAnsi="Optimum" w:cs="Arial"/>
          <w:i/>
          <w:iCs/>
          <w:sz w:val="20"/>
          <w:szCs w:val="20"/>
        </w:rPr>
        <w:t>Burkholderia glumae</w:t>
      </w:r>
      <w:r w:rsidRPr="00E950AD">
        <w:rPr>
          <w:rFonts w:ascii="Optimum" w:hAnsi="Optimum" w:cs="Arial"/>
          <w:sz w:val="20"/>
          <w:szCs w:val="20"/>
        </w:rPr>
        <w:t xml:space="preserve"> en el cultivo de arroz en el Caribe colombiano. </w:t>
      </w:r>
      <w:r w:rsidRPr="00E950AD">
        <w:rPr>
          <w:rFonts w:ascii="Optimum" w:hAnsi="Optimum" w:cs="Arial"/>
          <w:i/>
          <w:sz w:val="20"/>
          <w:szCs w:val="20"/>
        </w:rPr>
        <w:t>Revista Colombiana de Ciencia Animal-RECIA</w:t>
      </w:r>
      <w:r w:rsidRPr="00E950AD">
        <w:rPr>
          <w:rFonts w:ascii="Optimum" w:hAnsi="Optimum" w:cs="Arial"/>
          <w:sz w:val="20"/>
          <w:szCs w:val="20"/>
        </w:rPr>
        <w:t>, 111-124.</w:t>
      </w:r>
    </w:p>
    <w:p w14:paraId="23CB1DF8" w14:textId="78BD79A2" w:rsidR="00FE5A02" w:rsidRPr="00E950AD" w:rsidRDefault="00FE5A02" w:rsidP="002D4CF1">
      <w:pPr>
        <w:spacing w:after="0" w:line="240" w:lineRule="auto"/>
        <w:ind w:left="397" w:hanging="397"/>
        <w:jc w:val="both"/>
        <w:rPr>
          <w:rFonts w:ascii="Optimum" w:hAnsi="Optimum" w:cs="Arial"/>
          <w:sz w:val="20"/>
          <w:szCs w:val="20"/>
          <w:lang w:val="en-US"/>
        </w:rPr>
      </w:pPr>
      <w:r w:rsidRPr="00E950AD">
        <w:rPr>
          <w:rFonts w:ascii="Optimum" w:hAnsi="Optimum" w:cs="Arial"/>
          <w:sz w:val="20"/>
          <w:szCs w:val="20"/>
        </w:rPr>
        <w:t xml:space="preserve">Pliego, C., Ramos, C., de Vicente, A., &amp; Cazorla, F. M. (2011). </w:t>
      </w:r>
      <w:r w:rsidRPr="00E950AD">
        <w:rPr>
          <w:rFonts w:ascii="Optimum" w:hAnsi="Optimum" w:cs="Arial"/>
          <w:sz w:val="20"/>
          <w:szCs w:val="20"/>
          <w:lang w:val="en-US"/>
        </w:rPr>
        <w:t xml:space="preserve">Screening for candidate bacterial biocontrol agents against soilborne fungal plant pathogens. </w:t>
      </w:r>
      <w:r w:rsidRPr="00E950AD">
        <w:rPr>
          <w:rFonts w:ascii="Optimum" w:hAnsi="Optimum" w:cs="Arial"/>
          <w:i/>
          <w:sz w:val="20"/>
          <w:szCs w:val="20"/>
          <w:lang w:val="en-US"/>
        </w:rPr>
        <w:t>Plant and soil, 340</w:t>
      </w:r>
      <w:r w:rsidRPr="00E950AD">
        <w:rPr>
          <w:rFonts w:ascii="Optimum" w:hAnsi="Optimum" w:cs="Arial"/>
          <w:sz w:val="20"/>
          <w:szCs w:val="20"/>
          <w:lang w:val="en-US"/>
        </w:rPr>
        <w:t>(1-2), 505-520.</w:t>
      </w:r>
    </w:p>
    <w:p w14:paraId="4477916F" w14:textId="0BDC76ED" w:rsidR="006B2C6D" w:rsidRPr="00E950AD" w:rsidRDefault="006B2C6D" w:rsidP="002D4CF1">
      <w:pPr>
        <w:spacing w:after="0" w:line="240" w:lineRule="auto"/>
        <w:ind w:left="397" w:hanging="397"/>
        <w:jc w:val="both"/>
        <w:rPr>
          <w:rFonts w:ascii="Optimum" w:hAnsi="Optimum" w:cs="Arial"/>
          <w:sz w:val="20"/>
          <w:szCs w:val="20"/>
          <w:lang w:val="en-US"/>
        </w:rPr>
      </w:pPr>
      <w:r w:rsidRPr="00E950AD">
        <w:rPr>
          <w:rFonts w:ascii="Optimum" w:hAnsi="Optimum" w:cs="Arial"/>
          <w:sz w:val="20"/>
          <w:szCs w:val="20"/>
          <w:lang w:val="en-US"/>
        </w:rPr>
        <w:t>Roberts, M. J., Schimmelpfennig, D. E., Ashley, E., Livingston, M. J., Ash, M. S., &amp; Vasavada, U. (2006). The value of plant disease early-warning systems: a case study of USDA's soybean rust coordinated framework (No. 1477-2016-121162).</w:t>
      </w:r>
    </w:p>
    <w:p w14:paraId="6AB85C10" w14:textId="3EDEE2E8" w:rsidR="0066676D" w:rsidRPr="00E950AD" w:rsidRDefault="0066676D" w:rsidP="002D4CF1">
      <w:pPr>
        <w:spacing w:after="0" w:line="240" w:lineRule="auto"/>
        <w:ind w:left="397" w:hanging="397"/>
        <w:jc w:val="both"/>
        <w:rPr>
          <w:rFonts w:ascii="Optimum" w:hAnsi="Optimum" w:cs="Arial"/>
          <w:sz w:val="20"/>
          <w:szCs w:val="20"/>
          <w:lang w:val="en-US"/>
        </w:rPr>
      </w:pPr>
      <w:r w:rsidRPr="00E950AD">
        <w:rPr>
          <w:rFonts w:ascii="Optimum" w:hAnsi="Optimum" w:cs="Arial"/>
          <w:sz w:val="20"/>
          <w:szCs w:val="20"/>
          <w:lang w:val="en-US"/>
        </w:rPr>
        <w:lastRenderedPageBreak/>
        <w:t xml:space="preserve">Rockström, J., Williams, J., Daily, G., Noble, A., Matthews, N., Gordon, L., ... &amp; de Fraiture, C. (2017). Sustainable intensification of agriculture for human prosperity and global sustainability. </w:t>
      </w:r>
      <w:r w:rsidRPr="00E950AD">
        <w:rPr>
          <w:rFonts w:ascii="Optimum" w:hAnsi="Optimum" w:cs="Arial"/>
          <w:i/>
          <w:sz w:val="20"/>
          <w:szCs w:val="20"/>
          <w:lang w:val="en-US"/>
        </w:rPr>
        <w:t>Ambio, 46</w:t>
      </w:r>
      <w:r w:rsidRPr="00E950AD">
        <w:rPr>
          <w:rFonts w:ascii="Optimum" w:hAnsi="Optimum" w:cs="Arial"/>
          <w:sz w:val="20"/>
          <w:szCs w:val="20"/>
          <w:lang w:val="en-US"/>
        </w:rPr>
        <w:t>(1), 4-17.</w:t>
      </w:r>
    </w:p>
    <w:p w14:paraId="58A0DF38" w14:textId="5D387C4C" w:rsidR="002771A2" w:rsidRPr="00E950AD" w:rsidRDefault="006B2C6D" w:rsidP="002D4CF1">
      <w:pPr>
        <w:spacing w:after="0" w:line="240" w:lineRule="auto"/>
        <w:ind w:left="397" w:hanging="397"/>
        <w:rPr>
          <w:rFonts w:ascii="Optimum" w:hAnsi="Optimum" w:cs="Arial"/>
          <w:sz w:val="20"/>
          <w:szCs w:val="20"/>
          <w:lang w:val="en-US"/>
        </w:rPr>
      </w:pPr>
      <w:r w:rsidRPr="00E950AD">
        <w:rPr>
          <w:rFonts w:ascii="Optimum" w:hAnsi="Optimum" w:cs="Arial"/>
          <w:sz w:val="20"/>
          <w:szCs w:val="20"/>
          <w:lang w:val="en-US"/>
        </w:rPr>
        <w:t>Savary, S., Ficke, A., Aubertot, J. N., &amp; Hollier, C. (2012). Crop losses due to diseases and their implications for global food production losses and food security.</w:t>
      </w:r>
    </w:p>
    <w:p w14:paraId="5B05615A" w14:textId="3165EE05" w:rsidR="00D40047" w:rsidRPr="00E950AD" w:rsidRDefault="00D40047" w:rsidP="002D4CF1">
      <w:pPr>
        <w:spacing w:after="0" w:line="240" w:lineRule="auto"/>
        <w:ind w:left="397" w:hanging="397"/>
        <w:rPr>
          <w:rFonts w:ascii="Optimum" w:hAnsi="Optimum"/>
          <w:color w:val="000000" w:themeColor="text1"/>
          <w:sz w:val="20"/>
          <w:szCs w:val="20"/>
        </w:rPr>
      </w:pPr>
      <w:r w:rsidRPr="00E950AD">
        <w:rPr>
          <w:rFonts w:ascii="Optimum" w:hAnsi="Optimum" w:cs="Arial"/>
          <w:sz w:val="20"/>
          <w:szCs w:val="20"/>
          <w:lang w:val="en-US"/>
        </w:rPr>
        <w:t>United Nations. Department of Economic and Social Affairs. Population Division. (2017). World population prospects: The 2017 revision. UN.</w:t>
      </w:r>
      <w:r w:rsidR="002914A0" w:rsidRPr="00E950AD">
        <w:rPr>
          <w:rFonts w:ascii="Optimum" w:hAnsi="Optimum" w:cs="Arial"/>
          <w:sz w:val="20"/>
          <w:szCs w:val="20"/>
          <w:lang w:val="en-US"/>
        </w:rPr>
        <w:t xml:space="preserve"> URL: </w:t>
      </w:r>
      <w:r w:rsidR="002914A0" w:rsidRPr="00E950AD">
        <w:rPr>
          <w:rStyle w:val="Hipervnculo"/>
          <w:rFonts w:ascii="Optimum" w:hAnsi="Optimum" w:cs="Arial"/>
          <w:color w:val="000000" w:themeColor="text1"/>
          <w:sz w:val="20"/>
          <w:szCs w:val="20"/>
          <w:u w:val="none"/>
          <w:lang w:val="en-US"/>
        </w:rPr>
        <w:t>http://www.un.org/en/development/desa/population/events/pdf/other/21/21June_FINAL%20PRESS%20RELEASE_WPP17.pdf</w:t>
      </w:r>
    </w:p>
    <w:p w14:paraId="627DDB0A" w14:textId="77777777" w:rsidR="002914A0" w:rsidRPr="00E950AD" w:rsidRDefault="002914A0" w:rsidP="002D4CF1">
      <w:pPr>
        <w:spacing w:after="0" w:line="240" w:lineRule="auto"/>
        <w:ind w:left="397" w:hanging="397"/>
        <w:rPr>
          <w:rFonts w:ascii="Optimum" w:hAnsi="Optimum" w:cs="Arial"/>
          <w:sz w:val="20"/>
          <w:szCs w:val="20"/>
          <w:lang w:val="en-US"/>
        </w:rPr>
      </w:pPr>
    </w:p>
    <w:p w14:paraId="55B21115" w14:textId="77777777" w:rsidR="002771A2" w:rsidRPr="00E950AD" w:rsidRDefault="002771A2" w:rsidP="00E950AD">
      <w:pPr>
        <w:spacing w:after="0" w:line="240" w:lineRule="auto"/>
        <w:rPr>
          <w:rFonts w:ascii="Optimum" w:hAnsi="Optimum"/>
          <w:sz w:val="20"/>
          <w:szCs w:val="20"/>
          <w:lang w:val="en-US"/>
        </w:rPr>
      </w:pPr>
    </w:p>
    <w:sectPr w:rsidR="002771A2" w:rsidRPr="00E950A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AAB821" w14:textId="77777777" w:rsidR="00CC0548" w:rsidRDefault="00CC0548" w:rsidP="002771A2">
      <w:pPr>
        <w:spacing w:after="0" w:line="240" w:lineRule="auto"/>
      </w:pPr>
      <w:r>
        <w:separator/>
      </w:r>
    </w:p>
  </w:endnote>
  <w:endnote w:type="continuationSeparator" w:id="0">
    <w:p w14:paraId="75125469" w14:textId="77777777" w:rsidR="00CC0548" w:rsidRDefault="00CC0548" w:rsidP="00277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timum">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358A5" w14:textId="77777777" w:rsidR="00CC0548" w:rsidRDefault="00CC0548" w:rsidP="002771A2">
      <w:pPr>
        <w:spacing w:after="0" w:line="240" w:lineRule="auto"/>
      </w:pPr>
      <w:r>
        <w:separator/>
      </w:r>
    </w:p>
  </w:footnote>
  <w:footnote w:type="continuationSeparator" w:id="0">
    <w:p w14:paraId="23C2484C" w14:textId="77777777" w:rsidR="00CC0548" w:rsidRDefault="00CC0548" w:rsidP="002771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MzNbU0NjezNDAwNrZU0lEKTi0uzszPAykwqgUA2mzkLSwAAAA="/>
  </w:docVars>
  <w:rsids>
    <w:rsidRoot w:val="00DD50B1"/>
    <w:rsid w:val="00006642"/>
    <w:rsid w:val="00045C82"/>
    <w:rsid w:val="00060D08"/>
    <w:rsid w:val="000663D6"/>
    <w:rsid w:val="000A5042"/>
    <w:rsid w:val="000B7211"/>
    <w:rsid w:val="000C3E82"/>
    <w:rsid w:val="000F71F9"/>
    <w:rsid w:val="0017592E"/>
    <w:rsid w:val="001B55E4"/>
    <w:rsid w:val="001C63B5"/>
    <w:rsid w:val="001D5825"/>
    <w:rsid w:val="00223261"/>
    <w:rsid w:val="00271F2E"/>
    <w:rsid w:val="00275C4A"/>
    <w:rsid w:val="002771A2"/>
    <w:rsid w:val="002914A0"/>
    <w:rsid w:val="002D1DA4"/>
    <w:rsid w:val="002D4CF1"/>
    <w:rsid w:val="002F0A06"/>
    <w:rsid w:val="00310114"/>
    <w:rsid w:val="00367EEB"/>
    <w:rsid w:val="003F0FD9"/>
    <w:rsid w:val="00432506"/>
    <w:rsid w:val="004F12D9"/>
    <w:rsid w:val="005141C2"/>
    <w:rsid w:val="00530638"/>
    <w:rsid w:val="00537E54"/>
    <w:rsid w:val="00570E90"/>
    <w:rsid w:val="005E3D6F"/>
    <w:rsid w:val="005E7A43"/>
    <w:rsid w:val="00602B72"/>
    <w:rsid w:val="00622CA1"/>
    <w:rsid w:val="00637593"/>
    <w:rsid w:val="0066676D"/>
    <w:rsid w:val="00671806"/>
    <w:rsid w:val="006A08E2"/>
    <w:rsid w:val="006B10DA"/>
    <w:rsid w:val="006B2C6D"/>
    <w:rsid w:val="006C432F"/>
    <w:rsid w:val="007132EE"/>
    <w:rsid w:val="00713EAA"/>
    <w:rsid w:val="00761FF9"/>
    <w:rsid w:val="00773B43"/>
    <w:rsid w:val="007955B0"/>
    <w:rsid w:val="0088044B"/>
    <w:rsid w:val="00881455"/>
    <w:rsid w:val="00894DDA"/>
    <w:rsid w:val="00895A6D"/>
    <w:rsid w:val="009125E5"/>
    <w:rsid w:val="00944622"/>
    <w:rsid w:val="00962513"/>
    <w:rsid w:val="009D6EFB"/>
    <w:rsid w:val="00A0428C"/>
    <w:rsid w:val="00A04539"/>
    <w:rsid w:val="00A15BC6"/>
    <w:rsid w:val="00A3095F"/>
    <w:rsid w:val="00A360ED"/>
    <w:rsid w:val="00A41DAC"/>
    <w:rsid w:val="00A76947"/>
    <w:rsid w:val="00AA602F"/>
    <w:rsid w:val="00B145A3"/>
    <w:rsid w:val="00B32B6E"/>
    <w:rsid w:val="00B554FA"/>
    <w:rsid w:val="00B85572"/>
    <w:rsid w:val="00BA690C"/>
    <w:rsid w:val="00BD24C0"/>
    <w:rsid w:val="00BF39FE"/>
    <w:rsid w:val="00BF78B0"/>
    <w:rsid w:val="00C249F5"/>
    <w:rsid w:val="00C41492"/>
    <w:rsid w:val="00C65C57"/>
    <w:rsid w:val="00CC0548"/>
    <w:rsid w:val="00D2639F"/>
    <w:rsid w:val="00D30317"/>
    <w:rsid w:val="00D40047"/>
    <w:rsid w:val="00D50D48"/>
    <w:rsid w:val="00D71128"/>
    <w:rsid w:val="00D73514"/>
    <w:rsid w:val="00D8303A"/>
    <w:rsid w:val="00DA5A4B"/>
    <w:rsid w:val="00DC5DDB"/>
    <w:rsid w:val="00DD50B1"/>
    <w:rsid w:val="00DE077D"/>
    <w:rsid w:val="00DE30DD"/>
    <w:rsid w:val="00DF4613"/>
    <w:rsid w:val="00DF4E55"/>
    <w:rsid w:val="00E4797B"/>
    <w:rsid w:val="00E758D1"/>
    <w:rsid w:val="00E950AD"/>
    <w:rsid w:val="00EA0327"/>
    <w:rsid w:val="00ED337A"/>
    <w:rsid w:val="00F274A0"/>
    <w:rsid w:val="00FA1F65"/>
    <w:rsid w:val="00FE5A02"/>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40467B"/>
  <w15:docId w15:val="{55FF26AF-7C71-4988-B55C-B7EF04E50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771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771A2"/>
  </w:style>
  <w:style w:type="paragraph" w:styleId="Piedepgina">
    <w:name w:val="footer"/>
    <w:basedOn w:val="Normal"/>
    <w:link w:val="PiedepginaCar"/>
    <w:uiPriority w:val="99"/>
    <w:unhideWhenUsed/>
    <w:rsid w:val="002771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771A2"/>
  </w:style>
  <w:style w:type="paragraph" w:styleId="Textonotapie">
    <w:name w:val="footnote text"/>
    <w:basedOn w:val="Normal"/>
    <w:link w:val="TextonotapieCar"/>
    <w:uiPriority w:val="99"/>
    <w:semiHidden/>
    <w:unhideWhenUsed/>
    <w:rsid w:val="002771A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771A2"/>
    <w:rPr>
      <w:sz w:val="20"/>
      <w:szCs w:val="20"/>
    </w:rPr>
  </w:style>
  <w:style w:type="character" w:styleId="Refdenotaalpie">
    <w:name w:val="footnote reference"/>
    <w:basedOn w:val="Fuentedeprrafopredeter"/>
    <w:uiPriority w:val="99"/>
    <w:semiHidden/>
    <w:unhideWhenUsed/>
    <w:rsid w:val="002771A2"/>
    <w:rPr>
      <w:vertAlign w:val="superscript"/>
    </w:rPr>
  </w:style>
  <w:style w:type="character" w:styleId="Hipervnculo">
    <w:name w:val="Hyperlink"/>
    <w:basedOn w:val="Fuentedeprrafopredeter"/>
    <w:uiPriority w:val="99"/>
    <w:unhideWhenUsed/>
    <w:rsid w:val="002914A0"/>
    <w:rPr>
      <w:color w:val="0000FF"/>
      <w:u w:val="single"/>
    </w:rPr>
  </w:style>
  <w:style w:type="character" w:customStyle="1" w:styleId="Mencinsinresolver1">
    <w:name w:val="Mención sin resolver1"/>
    <w:basedOn w:val="Fuentedeprrafopredeter"/>
    <w:uiPriority w:val="99"/>
    <w:semiHidden/>
    <w:unhideWhenUsed/>
    <w:rsid w:val="006A08E2"/>
    <w:rPr>
      <w:color w:val="605E5C"/>
      <w:shd w:val="clear" w:color="auto" w:fill="E1DFDD"/>
    </w:rPr>
  </w:style>
  <w:style w:type="character" w:styleId="Hipervnculovisitado">
    <w:name w:val="FollowedHyperlink"/>
    <w:basedOn w:val="Fuentedeprrafopredeter"/>
    <w:uiPriority w:val="99"/>
    <w:semiHidden/>
    <w:unhideWhenUsed/>
    <w:rsid w:val="00DC5DDB"/>
    <w:rPr>
      <w:color w:val="954F72" w:themeColor="followedHyperlink"/>
      <w:u w:val="single"/>
    </w:rPr>
  </w:style>
  <w:style w:type="paragraph" w:styleId="Prrafodelista">
    <w:name w:val="List Paragraph"/>
    <w:basedOn w:val="Normal"/>
    <w:uiPriority w:val="34"/>
    <w:qFormat/>
    <w:rsid w:val="00A360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99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75570-62DF-4E13-94D8-2F4662FE8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2767</Words>
  <Characters>15220</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Vinchira</dc:creator>
  <cp:keywords/>
  <dc:description/>
  <cp:lastModifiedBy>HP</cp:lastModifiedBy>
  <cp:revision>9</cp:revision>
  <dcterms:created xsi:type="dcterms:W3CDTF">2019-06-26T23:38:00Z</dcterms:created>
  <dcterms:modified xsi:type="dcterms:W3CDTF">2019-07-03T21:14:00Z</dcterms:modified>
</cp:coreProperties>
</file>